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tabs>
          <w:tab w:val="clear" w:pos="720"/>
          <w:tab w:val="left" w:pos="993" w:leader="none"/>
        </w:tabs>
        <w:ind w:left="1560" w:right="-143"/>
        <w:jc w:val="both"/>
        <w:rPr>
          <w:b/>
          <w:bCs/>
        </w:rPr>
      </w:pPr>
      <w:r>
        <w:rPr>
          <w:b/>
          <w:bCs/>
        </w:rPr>
      </w:r>
    </w:p>
    <w:p>
      <w:pPr>
        <w:pStyle w:val="Normal"/>
        <w:spacing w:lineRule="auto" w:line="240" w:before="0" w:after="0"/>
        <w:jc w:val="right"/>
        <w:rPr>
          <w:rFonts w:ascii="Times New Roman" w:hAnsi="Times New Roman" w:cs="Times New Roman"/>
          <w:i/>
          <w:i/>
          <w:color w:val="000000"/>
          <w:sz w:val="24"/>
          <w:szCs w:val="24"/>
          <w:lang w:val="lt-LT"/>
        </w:rPr>
      </w:pPr>
      <w:r>
        <w:rPr>
          <w:rFonts w:cs="Times New Roman" w:ascii="Times New Roman" w:hAnsi="Times New Roman"/>
          <w:i/>
          <w:color w:val="000000"/>
          <w:sz w:val="24"/>
          <w:szCs w:val="24"/>
          <w:lang w:val="lt-LT"/>
        </w:rPr>
        <w:t xml:space="preserve">Pirkimo sąlygų </w:t>
      </w:r>
    </w:p>
    <w:p>
      <w:pPr>
        <w:pStyle w:val="Normal"/>
        <w:spacing w:lineRule="auto" w:line="240" w:before="0" w:after="0"/>
        <w:jc w:val="right"/>
        <w:rPr>
          <w:rFonts w:ascii="Times New Roman" w:hAnsi="Times New Roman" w:cs="Times New Roman"/>
          <w:i/>
          <w:i/>
          <w:color w:val="000000"/>
          <w:sz w:val="24"/>
          <w:szCs w:val="24"/>
          <w:lang w:val="lt-LT"/>
        </w:rPr>
      </w:pPr>
      <w:r>
        <w:rPr>
          <w:rFonts w:cs="Times New Roman" w:ascii="Times New Roman" w:hAnsi="Times New Roman"/>
          <w:i/>
          <w:color w:val="000000"/>
          <w:sz w:val="24"/>
          <w:szCs w:val="24"/>
          <w:lang w:val="lt-LT"/>
        </w:rPr>
        <w:t>5 priedas</w:t>
      </w:r>
    </w:p>
    <w:p>
      <w:pPr>
        <w:pStyle w:val="Subtitle"/>
        <w:spacing w:before="0" w:after="0"/>
        <w:jc w:val="center"/>
        <w:rPr/>
      </w:pPr>
      <w:r>
        <w:rPr>
          <w:rFonts w:cs="Times New Roman" w:ascii="Times New Roman" w:hAnsi="Times New Roman"/>
          <w:b/>
          <w:smallCaps/>
          <w:color w:val="auto"/>
          <w:spacing w:val="0"/>
          <w:sz w:val="24"/>
          <w:szCs w:val="24"/>
          <w:lang w:val="lt-LT"/>
        </w:rPr>
        <w:t xml:space="preserve">TIEKĖJŲ KVALIFIKACIJOS REIKALAVIMAI IR REIKALAVIMAI LAIKYTIS </w:t>
      </w:r>
      <w:r>
        <w:rPr>
          <w:rFonts w:cs="Times New Roman" w:ascii="Times New Roman" w:hAnsi="Times New Roman"/>
          <w:b/>
          <w:color w:val="auto"/>
          <w:spacing w:val="0"/>
          <w:sz w:val="24"/>
          <w:szCs w:val="24"/>
          <w:lang w:val="lt-LT"/>
        </w:rPr>
        <w:t>KOKYBĖS VADYBOS SISTEMOS IR (ARBA) APLINKOS APSAUGOS VADYBOS SISTEMOS STANDARTŲ</w:t>
      </w:r>
    </w:p>
    <w:p>
      <w:pPr>
        <w:pStyle w:val="Standard"/>
        <w:rPr>
          <w:rFonts w:ascii="Times New Roman" w:hAnsi="Times New Roman" w:cs="Times New Roman"/>
          <w:lang w:val="lt-LT" w:eastAsia="en-US"/>
        </w:rPr>
      </w:pPr>
      <w:r>
        <w:rPr>
          <w:rFonts w:cs="Times New Roman" w:ascii="Times New Roman" w:hAnsi="Times New Roman"/>
          <w:lang w:val="lt-LT" w:eastAsia="en-US"/>
        </w:rPr>
      </w:r>
    </w:p>
    <w:p>
      <w:pPr>
        <w:pStyle w:val="ListParagraph"/>
        <w:numPr>
          <w:ilvl w:val="0"/>
          <w:numId w:val="5"/>
        </w:numPr>
        <w:tabs>
          <w:tab w:val="clear" w:pos="720"/>
          <w:tab w:val="left" w:pos="851" w:leader="none"/>
        </w:tabs>
        <w:suppressAutoHyphens w:val="true"/>
        <w:spacing w:lineRule="auto" w:line="240" w:before="0" w:after="0"/>
        <w:ind w:firstLine="567" w:left="0"/>
        <w:contextualSpacing w:val="false"/>
        <w:jc w:val="both"/>
        <w:textAlignment w:val="baseline"/>
        <w:rPr>
          <w:rFonts w:ascii="Times New Roman" w:hAnsi="Times New Roman" w:cs="Times New Roman"/>
          <w:lang w:val="lt-LT"/>
        </w:rPr>
      </w:pPr>
      <w:r>
        <w:rPr>
          <w:rFonts w:cs="Times New Roman" w:ascii="Times New Roman" w:hAnsi="Times New Roman"/>
          <w:lang w:val="lt-LT"/>
        </w:rPr>
        <w:t>Tiekėjo kvalifikacija turi atitikti šiame priede nustatytus reikalavimus kvalifikacijai. Jeigu tiekėjo kvalifikacija dėl teisės verstis atitinkama veikla nėra tikrinama arba tikrinama ne visa apimtimi, tiekėjas perkančiajai organizacijai įsipareigoja, kad sutartį vykdys tik teisę verstis atitinkama veikla turintys asmenys.</w:t>
      </w:r>
    </w:p>
    <w:p>
      <w:pPr>
        <w:pStyle w:val="ListParagraph"/>
        <w:numPr>
          <w:ilvl w:val="0"/>
          <w:numId w:val="6"/>
        </w:numPr>
        <w:tabs>
          <w:tab w:val="clear" w:pos="720"/>
          <w:tab w:val="left" w:pos="851" w:leader="none"/>
        </w:tabs>
        <w:suppressAutoHyphens w:val="true"/>
        <w:spacing w:lineRule="auto" w:line="240" w:before="0" w:after="0"/>
        <w:ind w:firstLine="567" w:left="0"/>
        <w:contextualSpacing w:val="false"/>
        <w:jc w:val="both"/>
        <w:textAlignment w:val="baseline"/>
        <w:rPr>
          <w:rFonts w:ascii="Times New Roman" w:hAnsi="Times New Roman" w:cs="Times New Roman"/>
          <w:lang w:val="lt-LT"/>
        </w:rPr>
      </w:pPr>
      <w:r>
        <w:rPr>
          <w:rFonts w:cs="Times New Roman" w:ascii="Times New Roman" w:hAnsi="Times New Roman"/>
          <w:lang w:val="lt-LT"/>
        </w:rPr>
        <w:t>Vienam asmeniui nėra ribojamas skirtingų specialistų pozicijų, kurioms jis siūlomas, skaičius.</w:t>
      </w:r>
    </w:p>
    <w:p>
      <w:pPr>
        <w:pStyle w:val="Normal"/>
        <w:tabs>
          <w:tab w:val="clear" w:pos="720"/>
          <w:tab w:val="left" w:pos="851" w:leader="none"/>
        </w:tabs>
        <w:suppressAutoHyphens w:val="true"/>
        <w:spacing w:lineRule="auto" w:line="240" w:before="0" w:after="0"/>
        <w:jc w:val="both"/>
        <w:textAlignment w:val="baseline"/>
        <w:rPr>
          <w:rFonts w:ascii="Times New Roman" w:hAnsi="Times New Roman" w:cs="Times New Roman"/>
          <w:lang w:val="lt-LT"/>
        </w:rPr>
      </w:pPr>
      <w:r>
        <w:rPr>
          <w:rFonts w:cs="Times New Roman" w:ascii="Times New Roman" w:hAnsi="Times New Roman"/>
          <w:lang w:val="lt-LT"/>
        </w:rPr>
      </w:r>
    </w:p>
    <w:p>
      <w:pPr>
        <w:pStyle w:val="Normal"/>
        <w:widowControl w:val="false"/>
        <w:spacing w:lineRule="auto" w:line="240" w:before="0" w:after="0"/>
        <w:contextualSpacing/>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bl>
      <w:tblPr>
        <w:tblW w:w="97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95"/>
        <w:gridCol w:w="4373"/>
        <w:gridCol w:w="4679"/>
      </w:tblGrid>
      <w:tr>
        <w:trPr>
          <w:cantSplit w:val="true"/>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851" w:left="-959"/>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Eil.</w:t>
            </w:r>
          </w:p>
          <w:p>
            <w:pPr>
              <w:pStyle w:val="Normal"/>
              <w:spacing w:lineRule="auto" w:line="240" w:before="0" w:after="0"/>
              <w:ind w:firstLine="851" w:left="-959"/>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Nr.</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Kvalifikacijos reikalavimai</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8"/>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Patvirtinančių dokumentų sąrašas</w:t>
            </w:r>
          </w:p>
        </w:tc>
      </w:tr>
      <w:tr>
        <w:trPr>
          <w:cantSplit w:val="true"/>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8"/>
              <w:jc w:val="center"/>
              <w:rPr>
                <w:rFonts w:ascii="Times New Roman" w:hAnsi="Times New Roman" w:eastAsia="Times New Roman" w:cs="Times New Roman"/>
                <w:b/>
                <w:i/>
                <w:i/>
                <w:sz w:val="24"/>
                <w:szCs w:val="24"/>
                <w:lang w:val="lt-LT" w:eastAsia="lt-LT"/>
              </w:rPr>
            </w:pPr>
            <w:r>
              <w:rPr>
                <w:rFonts w:eastAsia="Times New Roman" w:cs="Times New Roman" w:ascii="Times New Roman" w:hAnsi="Times New Roman"/>
                <w:b/>
                <w:i/>
                <w:sz w:val="24"/>
                <w:szCs w:val="24"/>
                <w:lang w:val="lt-LT" w:eastAsia="lt-LT"/>
              </w:rPr>
              <w:t>Finansinio ir ekonominio pajėgumo reikalavimai</w:t>
            </w:r>
          </w:p>
        </w:tc>
      </w:tr>
      <w:tr>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1.</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Tiekėjo vidutinės metinės pajamos per paskutiniais 2 finansinius metus, o jei ūkio subjektas įregistruotas vėliau ar veiklą tinkamoje srityje pradėjo vėliau – nuo ūkio subjekto įregistravimo pradžios, yra ne mažesnės nei 500 000,00 Eur be PVM. Laikoma, kad su atliekamu pirkimu susijusi veikla yra: statinių projektavimo ir/ar projektų vykdymo priežiūros paslaugos.</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Pateikiama (prašoma galimo laimėtojo):</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Ūkio subjekto vadovo ir ūkio subjekto vyriausiojo buhalterio (buhalterio) arba kito asmens, galinčio tvarkyti ūkio subjekto buhalterinę apskaitą pagal teisės aktus, pasirašyta paskutinių trijų metų vidutinių metinių pajamų deklaracija, o jeigu ūkio subjektas įregistruotas vėliau, – vidutinių metinių pajamų deklaracija per paskutinius tris metus nuo ūkio subjekto įregistravimo pradžios;</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Paskutinių dviejų metų pelno nuostolių ataskaitų kopijos;</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 xml:space="preserve"> </w:t>
            </w:r>
            <w:r>
              <w:rPr>
                <w:rFonts w:eastAsia="Times New Roman" w:cs="Times New Roman" w:ascii="Times New Roman" w:hAnsi="Times New Roman"/>
                <w:iCs/>
                <w:sz w:val="24"/>
                <w:szCs w:val="24"/>
                <w:lang w:val="lt-LT"/>
              </w:rPr>
              <w:t>Jei pasiūlymą teikia ūkio subjekto grupė (kurių pajėgumais remiamasi), ūkio subjekto grupės narių reikšmės gali būti sumuojamos.</w:t>
            </w:r>
          </w:p>
          <w:p>
            <w:pPr>
              <w:pStyle w:val="Normal"/>
              <w:spacing w:lineRule="auto" w:line="240" w:before="0" w:after="0"/>
              <w:jc w:val="both"/>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p>
            <w:pPr>
              <w:pStyle w:val="Normal"/>
              <w:spacing w:lineRule="auto" w:line="240" w:before="0" w:after="0"/>
              <w:jc w:val="both"/>
              <w:rPr>
                <w:rFonts w:ascii="Times New Roman" w:hAnsi="Times New Roman" w:eastAsia="Times New Roman" w:cs="Times New Roman"/>
                <w:i/>
                <w:i/>
                <w:sz w:val="24"/>
                <w:szCs w:val="24"/>
                <w:lang w:val="lt-LT"/>
              </w:rPr>
            </w:pPr>
            <w:r>
              <w:rPr>
                <w:rFonts w:eastAsia="Times New Roman" w:cs="Times New Roman" w:ascii="Times New Roman" w:hAnsi="Times New Roman"/>
                <w:i/>
                <w:sz w:val="24"/>
                <w:szCs w:val="24"/>
                <w:lang w:val="lt-LT"/>
              </w:rPr>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b/>
                <w:i/>
                <w:sz w:val="24"/>
                <w:szCs w:val="24"/>
                <w:lang w:val="lt-LT" w:eastAsia="lt-LT"/>
              </w:rPr>
              <w:t>Techninio ir profesinio pajėgumo reikalavimai</w:t>
            </w:r>
          </w:p>
        </w:tc>
      </w:tr>
      <w:tr>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Tiekėjas per paskutinius 3 metus iki pasiūlymo pateikimo termino pabaigos yra tinkamai parengęs visuomeninės ar komercinės paskirties pastato naujos statybos ir/ar rekonstrukcijos ir/ar kapitalinio remonto techninio ir/ar techninio darbo projekto parengimo sutartį, kai projektuojamo pastato plotas  ne mažesnis kaip  2700 m</w:t>
            </w:r>
            <w:r>
              <w:rPr>
                <w:rFonts w:eastAsia="Times New Roman" w:cs="Times New Roman" w:ascii="Times New Roman" w:hAnsi="Times New Roman"/>
                <w:sz w:val="24"/>
                <w:szCs w:val="24"/>
                <w:vertAlign w:val="superscript"/>
                <w:lang w:val="lt-LT" w:eastAsia="lt-LT"/>
              </w:rPr>
              <w:t>2</w:t>
            </w:r>
            <w:r>
              <w:rPr>
                <w:rFonts w:eastAsia="Times New Roman" w:cs="Times New Roman" w:ascii="Times New Roman" w:hAnsi="Times New Roman"/>
                <w:sz w:val="24"/>
                <w:szCs w:val="24"/>
                <w:lang w:val="lt-LT" w:eastAsia="lt-LT"/>
              </w:rPr>
              <w:t xml:space="preserve"> ir jam yra gautas statybą leidžiantis dokumentas ir teigiama ekspertizės išvada.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t>Terminas bus laikomas tinkamu, jei projektavimo paslaugų galutinis perdavimas patenka į tris paskutinius metus. Pastatai (-as) yra nekilnojamųjų kultūros vertybių teritorijoje (jų apsaugos zonoje)</w:t>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Times New Roman" w:cs="Times New Roman"/>
                <w:bCs/>
                <w:sz w:val="24"/>
                <w:szCs w:val="24"/>
                <w:lang w:val="lt-LT" w:eastAsia="lt-LT"/>
              </w:rPr>
            </w:pPr>
            <w:r>
              <w:rPr>
                <w:rFonts w:eastAsia="Times New Roman" w:cs="Times New Roman" w:ascii="Times New Roman" w:hAnsi="Times New Roman"/>
                <w:bCs/>
                <w:sz w:val="24"/>
                <w:szCs w:val="24"/>
                <w:lang w:val="lt-LT" w:eastAsia="lt-LT"/>
              </w:rPr>
              <w:t>Pateikiamas pagrindinių per pastaruosius 3 metus suteiktų paslaugų sąrašas, kuriame nurodyti pastatų bendri plotai, datos ir paslaugų gavėjai (tiek viešieji, tiek privatieji). Kartu pateikiamos užsakovų pažymos, kuriose nurodytos suteiktų paslaugų bendros sumos, datos, paslaugų gavėjai, ar paslaugos buvo suteiktos tinkamai.</w:t>
            </w:r>
            <w:r>
              <w:rPr>
                <w:lang w:val="lt-LT"/>
              </w:rPr>
              <w:t xml:space="preserve"> </w:t>
            </w:r>
            <w:r>
              <w:rPr>
                <w:rFonts w:eastAsia="Times New Roman" w:cs="Times New Roman" w:ascii="Times New Roman" w:hAnsi="Times New Roman"/>
                <w:bCs/>
                <w:sz w:val="24"/>
                <w:szCs w:val="24"/>
                <w:lang w:val="lt-LT" w:eastAsia="lt-LT"/>
              </w:rPr>
              <w:t>Pateikiama statybą leidžiančio (arba lygiaverčio) dokumento bei ekspertizės išvados kopija.</w:t>
            </w:r>
          </w:p>
          <w:p>
            <w:pPr>
              <w:pStyle w:val="Normal"/>
              <w:spacing w:lineRule="auto" w:line="240" w:before="0" w:after="0"/>
              <w:rPr>
                <w:rFonts w:ascii="Times New Roman" w:hAnsi="Times New Roman" w:eastAsia="Times New Roman" w:cs="Times New Roman"/>
                <w:sz w:val="14"/>
                <w:szCs w:val="14"/>
                <w:lang w:val="lt-LT"/>
              </w:rPr>
            </w:pPr>
            <w:r>
              <w:rPr>
                <w:rFonts w:eastAsia="Times New Roman" w:cs="Times New Roman" w:ascii="Times New Roman" w:hAnsi="Times New Roman"/>
                <w:sz w:val="14"/>
                <w:szCs w:val="14"/>
                <w:lang w:val="lt-LT"/>
              </w:rPr>
            </w:r>
          </w:p>
          <w:p>
            <w:pPr>
              <w:pStyle w:val="Normal"/>
              <w:spacing w:before="0" w:after="0"/>
              <w:ind w:firstLine="578"/>
              <w:jc w:val="both"/>
              <w:rPr>
                <w:rFonts w:ascii="Times New Roman" w:hAnsi="Times New Roman" w:eastAsia="Times New Roman" w:cs="Times New Roman"/>
                <w:bCs/>
                <w:i/>
                <w:i/>
                <w:iCs/>
                <w:sz w:val="24"/>
                <w:szCs w:val="24"/>
                <w:lang w:val="lt-LT" w:eastAsia="lt-LT"/>
              </w:rPr>
            </w:pPr>
            <w:r>
              <w:rPr>
                <w:rFonts w:eastAsia="Times New Roman" w:cs="Times New Roman" w:ascii="Symbol" w:hAnsi="Symbol"/>
                <w:bCs/>
                <w:iCs/>
                <w:sz w:val="24"/>
                <w:szCs w:val="24"/>
                <w:lang w:val="lt-LT" w:eastAsia="lt-LT"/>
              </w:rPr>
              <w:t></w:t>
            </w:r>
            <w:r>
              <w:rPr>
                <w:rFonts w:eastAsia="Times New Roman" w:cs="Times New Roman" w:ascii="Symbol" w:hAnsi="Symbol"/>
                <w:bCs/>
                <w:iCs/>
                <w:sz w:val="24"/>
                <w:szCs w:val="24"/>
                <w:lang w:val="lt-LT" w:eastAsia="lt-LT"/>
              </w:rPr>
              <w:tab/>
            </w:r>
            <w:r>
              <w:rPr>
                <w:rFonts w:eastAsia="Times New Roman" w:cs="Times New Roman" w:ascii="Times New Roman" w:hAnsi="Times New Roman"/>
                <w:bCs/>
                <w:iCs/>
                <w:color w:val="000000"/>
                <w:sz w:val="24"/>
                <w:szCs w:val="24"/>
                <w:lang w:val="lt-LT" w:eastAsia="lt-LT"/>
              </w:rPr>
              <w:t>jeigu pasiūlymą teikia ūkio subjektų grupė – reikalavimą turi atitikti visi ūkio subjektų grupės nariai kartu (ūkio subjektų grupės narių turima patirtis sumuojama), atsižvelgiant į jų prisiimamus įsipareigojimus;</w:t>
            </w:r>
          </w:p>
          <w:p>
            <w:pPr>
              <w:pStyle w:val="Normal"/>
              <w:spacing w:before="0" w:after="0"/>
              <w:ind w:firstLine="578"/>
              <w:jc w:val="both"/>
              <w:rPr>
                <w:rFonts w:ascii="Times New Roman" w:hAnsi="Times New Roman" w:eastAsia="Times New Roman" w:cs="Times New Roman"/>
                <w:bCs/>
                <w:color w:val="000000"/>
                <w:sz w:val="24"/>
                <w:szCs w:val="24"/>
                <w:lang w:val="lt-LT" w:eastAsia="lt-LT"/>
              </w:rPr>
            </w:pPr>
            <w:r>
              <w:rPr>
                <w:rFonts w:eastAsia="Times New Roman" w:cs="Times New Roman" w:ascii="Symbol" w:hAnsi="Symbol"/>
                <w:bCs/>
                <w:color w:val="000000"/>
                <w:sz w:val="24"/>
                <w:szCs w:val="24"/>
                <w:lang w:val="lt-LT" w:eastAsia="lt-LT"/>
              </w:rPr>
              <w:t></w:t>
            </w:r>
            <w:r>
              <w:rPr>
                <w:rFonts w:eastAsia="Times New Roman" w:cs="Times New Roman" w:ascii="Symbol" w:hAnsi="Symbol"/>
                <w:bCs/>
                <w:color w:val="000000"/>
                <w:sz w:val="24"/>
                <w:szCs w:val="24"/>
                <w:lang w:val="lt-LT" w:eastAsia="lt-LT"/>
              </w:rPr>
              <w:tab/>
            </w:r>
            <w:r>
              <w:rPr>
                <w:rFonts w:eastAsia="Times New Roman" w:cs="Times New Roman" w:ascii="Times New Roman" w:hAnsi="Times New Roman"/>
                <w:bCs/>
                <w:color w:val="000000"/>
                <w:sz w:val="24"/>
                <w:szCs w:val="24"/>
                <w:lang w:val="lt-LT" w:eastAsia="lt-LT"/>
              </w:rPr>
              <w:t>tiekėjas gali remtis kitų ūkio subjektų pajėgumais tik tuo atveju, jeigu tie subjektai patys vykdys tą pirkimo sutarties dalį, kuriai reikia jų turimų pajėgumų;</w:t>
            </w:r>
          </w:p>
          <w:p>
            <w:pPr>
              <w:pStyle w:val="Normal"/>
              <w:spacing w:before="0" w:after="0"/>
              <w:ind w:firstLine="578"/>
              <w:jc w:val="both"/>
              <w:rPr>
                <w:rFonts w:ascii="Times New Roman" w:hAnsi="Times New Roman" w:eastAsia="Times New Roman" w:cs="Times New Roman"/>
                <w:bCs/>
                <w:sz w:val="24"/>
                <w:szCs w:val="24"/>
                <w:lang w:val="lt-LT" w:eastAsia="lt-LT"/>
              </w:rPr>
            </w:pPr>
            <w:r>
              <w:rPr>
                <w:rFonts w:eastAsia="Times New Roman" w:cs="Times New Roman" w:ascii="Symbol" w:hAnsi="Symbol"/>
                <w:bCs/>
                <w:sz w:val="24"/>
                <w:szCs w:val="24"/>
                <w:lang w:val="lt-LT" w:eastAsia="lt-LT"/>
              </w:rPr>
              <w:t></w:t>
            </w:r>
            <w:r>
              <w:rPr>
                <w:rFonts w:eastAsia="Times New Roman" w:cs="Times New Roman" w:ascii="Symbol" w:hAnsi="Symbol"/>
                <w:bCs/>
                <w:sz w:val="24"/>
                <w:szCs w:val="24"/>
                <w:lang w:val="lt-LT" w:eastAsia="lt-LT"/>
              </w:rPr>
              <w:tab/>
            </w:r>
            <w:r>
              <w:rPr>
                <w:rFonts w:eastAsia="Times New Roman" w:cs="Times New Roman" w:ascii="Times New Roman" w:hAnsi="Times New Roman"/>
                <w:bCs/>
                <w:iCs/>
                <w:color w:val="000000"/>
                <w:sz w:val="24"/>
                <w:szCs w:val="24"/>
                <w:lang w:val="lt-LT" w:eastAsia="lt-LT"/>
              </w:rPr>
              <w:t xml:space="preserve">subtiekėjams šis reikalavimas </w:t>
            </w:r>
            <w:r>
              <w:rPr>
                <w:rFonts w:eastAsia="Times New Roman" w:cs="Times New Roman" w:ascii="Times New Roman" w:hAnsi="Times New Roman"/>
                <w:bCs/>
                <w:color w:val="000000"/>
                <w:sz w:val="24"/>
                <w:szCs w:val="24"/>
                <w:lang w:val="lt-LT" w:eastAsia="lt-LT"/>
              </w:rPr>
              <w:t>nenustatomas</w:t>
            </w:r>
            <w:r>
              <w:rPr>
                <w:rFonts w:eastAsia="Times New Roman" w:cs="Times New Roman" w:ascii="Times New Roman" w:hAnsi="Times New Roman"/>
                <w:bCs/>
                <w:iCs/>
                <w:color w:val="000000"/>
                <w:sz w:val="24"/>
                <w:szCs w:val="24"/>
                <w:lang w:val="lt-LT" w:eastAsia="lt-LT"/>
              </w:rPr>
              <w:t>.</w:t>
            </w:r>
          </w:p>
          <w:p>
            <w:pPr>
              <w:pStyle w:val="Normal"/>
              <w:spacing w:lineRule="auto" w:line="240" w:before="0" w:after="0"/>
              <w:rPr>
                <w:rFonts w:ascii="Times New Roman" w:hAnsi="Times New Roman" w:eastAsia="Times New Roman" w:cs="Times New Roman"/>
                <w:sz w:val="14"/>
                <w:szCs w:val="14"/>
                <w:lang w:val="lt-LT"/>
              </w:rPr>
            </w:pPr>
            <w:r>
              <w:rPr>
                <w:rFonts w:eastAsia="Times New Roman" w:cs="Times New Roman" w:ascii="Times New Roman" w:hAnsi="Times New Roman"/>
                <w:sz w:val="14"/>
                <w:szCs w:val="14"/>
                <w:lang w:val="lt-LT"/>
              </w:rPr>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bCs/>
                <w:i/>
                <w:sz w:val="24"/>
                <w:szCs w:val="24"/>
                <w:lang w:val="lt-LT"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val="lt-LT" w:eastAsia="lt-LT"/>
              </w:rPr>
            </w:pPr>
            <w:r>
              <w:rPr>
                <w:rFonts w:eastAsia="Times New Roman" w:cs="Times New Roman" w:ascii="Times New Roman" w:hAnsi="Times New Roman"/>
                <w:b/>
                <w:bCs/>
                <w:sz w:val="24"/>
                <w:szCs w:val="24"/>
                <w:lang w:val="lt-LT" w:eastAsia="lt-LT"/>
              </w:rPr>
              <w:t>Specialisto patirtis</w:t>
            </w:r>
          </w:p>
        </w:tc>
      </w:tr>
      <w:tr>
        <w:trPr>
          <w:trHeight w:val="422"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1080" w:leader="none"/>
              </w:tabs>
              <w:spacing w:lineRule="auto" w:line="240" w:before="0" w:after="0"/>
              <w:ind w:right="-149"/>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2.</w:t>
            </w:r>
          </w:p>
        </w:tc>
        <w:tc>
          <w:tcPr>
            <w:tcW w:w="4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 xml:space="preserve">Tiekėjas pirkimo sutarties vykdymui turi </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turėti pakankamai kvalifikuotų specialistų:</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 xml:space="preserve">1) bent vieną kvalifikuotą ypatingo  statinio projekto vadovą, kuris per paskutinius 3 metus iki pasiūlymų pateikimo termino yra </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sėkmingai vadovavęs visuomeninės arba komercinės paskirties pastato naujos statybos ir/ar rekonstrukcijos ir/ar kapitalinio remonto techninio ir/ar techninio darbo projekto parengimo sutarčiai, kai suprojektuoto pastato plotas ne mažesnis kaip   2700 m</w:t>
            </w:r>
            <w:r>
              <w:rPr>
                <w:rFonts w:eastAsia="Times New Roman" w:cs="Times New Roman" w:ascii="Times New Roman" w:hAnsi="Times New Roman"/>
                <w:sz w:val="24"/>
                <w:szCs w:val="24"/>
                <w:vertAlign w:val="superscript"/>
                <w:lang w:val="lt-LT" w:eastAsia="lt-LT"/>
              </w:rPr>
              <w:t>2</w:t>
            </w:r>
            <w:r>
              <w:rPr>
                <w:rFonts w:eastAsia="Times New Roman" w:cs="Times New Roman" w:ascii="Times New Roman" w:hAnsi="Times New Roman"/>
                <w:sz w:val="24"/>
                <w:szCs w:val="24"/>
                <w:lang w:val="lt-LT" w:eastAsia="lt-LT"/>
              </w:rPr>
              <w:t xml:space="preserve"> ir jam yra gautas statybą leidžiantis dokumentas ir teigiama ekspertizės išvada.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p>
            <w:pPr>
              <w:pStyle w:val="Normal"/>
              <w:widowControl w:val="false"/>
              <w:spacing w:lineRule="auto" w:line="240" w:before="0" w:after="0"/>
              <w:jc w:val="both"/>
              <w:rPr>
                <w:rFonts w:ascii="Times New Roman" w:hAnsi="Times New Roman" w:eastAsia="Calibri" w:cs="Times New Roman"/>
                <w:i/>
                <w:i/>
                <w:sz w:val="24"/>
                <w:szCs w:val="24"/>
                <w:lang w:val="lt-LT" w:eastAsia="lt-LT"/>
              </w:rPr>
            </w:pPr>
            <w:r>
              <w:rPr>
                <w:rFonts w:eastAsia="Calibri" w:cs="Times New Roman" w:ascii="Times New Roman" w:hAnsi="Times New Roman"/>
                <w:i/>
                <w:sz w:val="24"/>
                <w:szCs w:val="24"/>
                <w:lang w:val="lt-LT" w:eastAsia="lt-LT"/>
              </w:rPr>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t>Pastatai nekilnojamųjų kultūros vertybių teritorijoje (jų apsaugos zonoje)</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Tiekėjo ar jo įgalioto asmens parašu</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patvirtintas specialistų (-o), kurie (-is) bus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atsakingi (-as) už pirkimo sutarties vykdymą,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sąrašas, nurodant vardą, pavardę, specialisto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funkcijas projekte, specialisto kvalifikaciją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patvirtinančius dokumentus, specialisto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paslaugų teikimo Tiekėjui teisinę formą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(darbo sutartis, susitarimai dėl darbo santykių</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sukūrimo ateityje ar kt.).</w:t>
            </w:r>
            <w:r>
              <w:rPr>
                <w:rFonts w:eastAsia="Times New Roman" w:cs="Times New Roman" w:ascii="Times New Roman" w:hAnsi="Times New Roman"/>
                <w:sz w:val="24"/>
                <w:szCs w:val="24"/>
                <w:lang w:val="lt-LT" w:eastAsia="lt-LT"/>
              </w:rPr>
              <w:t xml:space="preserve"> Pateikiamas užpildytas p</w:t>
            </w:r>
            <w:r>
              <w:rPr>
                <w:rFonts w:eastAsia="Calibri" w:cs="Times New Roman" w:ascii="Times New Roman" w:hAnsi="Times New Roman"/>
                <w:sz w:val="24"/>
                <w:szCs w:val="24"/>
                <w:lang w:val="lt-LT" w:eastAsia="lt-LT"/>
              </w:rPr>
              <w:t>irkimo sąlygų 10 priedas.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 xml:space="preserve">• </w:t>
            </w:r>
            <w:r>
              <w:rPr>
                <w:rFonts w:eastAsia="Calibri" w:cs="Times New Roman" w:ascii="Times New Roman" w:hAnsi="Times New Roman"/>
                <w:sz w:val="24"/>
                <w:szCs w:val="24"/>
                <w:lang w:val="lt-LT" w:eastAsia="lt-LT"/>
              </w:rPr>
              <w:t>Siūlomų specialistų reikalaujamą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kvalifikaciją įrodančių atestatų kopijos.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Užsienio šalių specialistai – Europos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Sąjungos valstybės narės, Šveicarijos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Konfederacijos arba valstybės,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pasirašiusios Europos ekonominės erdvės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sutartį, piliečiai ir kiti fiziniai asmenys,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kurie naudojasi Europos Sąjungos teisės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aktuose jiems suteiktomis judėjimo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valstybėse narėse teisėmis – iki sutarties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sudarymo turi pateikti LR teisės aktuose</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numatytų institucijų išduotų teisės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pripažinimo dokumentų, patvirtinančių</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teisę eiti reikalaujamas pareigas, kopijas.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Užsienio šalies specialistai turi pateikti</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kilmės šalyje išduoto atestato/dokumento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kopiją ir prašymo SPSC išduoti Teisės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pripažinimo dokumentą kopiją.</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 xml:space="preserve">• </w:t>
            </w:r>
            <w:r>
              <w:rPr>
                <w:rFonts w:eastAsia="Calibri" w:cs="Times New Roman" w:ascii="Times New Roman" w:hAnsi="Times New Roman"/>
                <w:sz w:val="24"/>
                <w:szCs w:val="24"/>
                <w:lang w:val="lt-LT" w:eastAsia="lt-LT"/>
              </w:rPr>
              <w:t>Specialisto sutikimas teikti pirkimo</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sutartyje nurodytas paslaugas ir (ar) atlikti</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darbus, jei jis dirba kitoje įmonėje (ne</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Tiekėjo ar subtiekėjo įmonėje) ir Tiekėjo ar</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subtiekėjo patvirtinimas, kad laimėjęs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konkursą įdarbins šį specialistą (taikoma</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tik tuo atveju, jei šis specialistas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nesiūlomas kaip subtiekėjas).</w:t>
            </w:r>
          </w:p>
          <w:p>
            <w:pPr>
              <w:pStyle w:val="ListParagraph"/>
              <w:numPr>
                <w:ilvl w:val="0"/>
                <w:numId w:val="3"/>
              </w:numPr>
              <w:spacing w:lineRule="auto" w:line="240" w:before="0" w:after="0"/>
              <w:ind w:hanging="360" w:left="306"/>
              <w:contextualSpacing/>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Statybą leidžiančio dokumento bei ekspertinės išvados kopija.</w:t>
            </w:r>
          </w:p>
          <w:p>
            <w:pPr>
              <w:pStyle w:val="Normal"/>
              <w:tabs>
                <w:tab w:val="clear" w:pos="720"/>
                <w:tab w:val="left" w:pos="320" w:leader="none"/>
              </w:tabs>
              <w:spacing w:lineRule="auto" w:line="240" w:before="0" w:after="0"/>
              <w:contextualSpacing/>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r>
          </w:p>
          <w:p>
            <w:pPr>
              <w:pStyle w:val="Normal"/>
              <w:spacing w:lineRule="auto" w:line="240" w:before="0" w:after="0"/>
              <w:rPr>
                <w:rFonts w:ascii="Times New Roman" w:hAnsi="Times New Roman" w:eastAsia="Times New Roman" w:cs="Times New Roman"/>
                <w:color w:val="000000"/>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tc>
      </w:tr>
      <w:tr>
        <w:trPr>
          <w:trHeight w:val="422"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1080" w:leader="none"/>
              </w:tabs>
              <w:spacing w:lineRule="auto" w:line="240" w:before="0" w:after="0"/>
              <w:ind w:right="-149"/>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3.</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Kitais ūkio subjektais tiekėjas gali remtis, kad atitiktų šį reikalavimą, tik tokiu atveju, jei tie ūkio subjektai patys atliks veiklas, kurioms reikia profesinio civilinės atsakomybės draudimo.</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Pateikiama: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draudimo įmonės liudijimo kopija ar kiti įrodymai, kad teikėjas yra apsidraudęs profesiniu civilinės atsakomybės draudimu.</w:t>
            </w:r>
          </w:p>
          <w:p>
            <w:pPr>
              <w:pStyle w:val="Normal"/>
              <w:spacing w:lineRule="auto" w:line="240" w:before="0" w:after="0"/>
              <w:jc w:val="both"/>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r>
          </w:p>
          <w:p>
            <w:pPr>
              <w:pStyle w:val="Normal"/>
              <w:spacing w:lineRule="auto" w:line="240" w:before="0" w:after="0"/>
              <w:jc w:val="both"/>
              <w:rPr>
                <w:rFonts w:ascii="Times New Roman" w:hAnsi="Times New Roman" w:eastAsia="Calibri" w:cs="Times New Roman"/>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tc>
      </w:tr>
    </w:tbl>
    <w:p>
      <w:pPr>
        <w:pStyle w:val="Normal"/>
        <w:numPr>
          <w:ilvl w:val="0"/>
          <w:numId w:val="0"/>
        </w:numPr>
        <w:spacing w:lineRule="auto" w:line="240" w:before="0" w:after="0"/>
        <w:ind w:firstLine="567"/>
        <w:jc w:val="center"/>
        <w:outlineLvl w:val="1"/>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r>
    </w:p>
    <w:p>
      <w:pPr>
        <w:pStyle w:val="Normal"/>
        <w:numPr>
          <w:ilvl w:val="0"/>
          <w:numId w:val="0"/>
        </w:numPr>
        <w:spacing w:lineRule="auto" w:line="240" w:before="0" w:after="0"/>
        <w:ind w:firstLine="567"/>
        <w:outlineLvl w:val="1"/>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Normal"/>
        <w:numPr>
          <w:ilvl w:val="0"/>
          <w:numId w:val="0"/>
        </w:numPr>
        <w:spacing w:lineRule="auto" w:line="240" w:before="0" w:after="0"/>
        <w:ind w:firstLine="567"/>
        <w:outlineLvl w:val="1"/>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Normal"/>
        <w:numPr>
          <w:ilvl w:val="0"/>
          <w:numId w:val="0"/>
        </w:numPr>
        <w:spacing w:lineRule="auto" w:line="240" w:before="0" w:after="0"/>
        <w:ind w:firstLine="567"/>
        <w:jc w:val="center"/>
        <w:outlineLvl w:val="1"/>
        <w:rPr>
          <w:rFonts w:ascii="Times New Roman" w:hAnsi="Times New Roman" w:eastAsia="Times New Roman" w:cs="Times New Roman"/>
          <w:b/>
          <w:lang w:val="lt-LT"/>
        </w:rPr>
      </w:pPr>
      <w:r>
        <w:rPr>
          <w:rFonts w:eastAsia="Times New Roman" w:cs="Times New Roman" w:ascii="Times New Roman" w:hAnsi="Times New Roman"/>
          <w:b/>
          <w:lang w:val="lt-LT"/>
        </w:rPr>
        <w:t>Aplinkos apsaugos vadybos sistemos standartų reikalavimai</w:t>
      </w:r>
    </w:p>
    <w:tbl>
      <w:tblPr>
        <w:tblW w:w="10440"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810"/>
        <w:gridCol w:w="5940"/>
        <w:gridCol w:w="3690"/>
      </w:tblGrid>
      <w:tr>
        <w:trPr>
          <w:trHeight w:val="610"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lang w:val="lt-LT" w:eastAsia="lt-LT"/>
              </w:rPr>
              <w:t>Eil. Nr.</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spacing w:val="2"/>
                <w:lang w:val="lt-LT" w:eastAsia="lt-LT"/>
              </w:rPr>
              <w:t xml:space="preserve">Aplinkos apsaugos vadybos sistemos standartų </w:t>
            </w:r>
            <w:r>
              <w:rPr>
                <w:rFonts w:eastAsia="Times New Roman" w:cs="Times New Roman" w:ascii="Times New Roman" w:hAnsi="Times New Roman"/>
                <w:b/>
                <w:lang w:val="lt-LT" w:eastAsia="lt-LT"/>
              </w:rPr>
              <w:t>reikalavimai</w:t>
            </w:r>
          </w:p>
        </w:tc>
        <w:tc>
          <w:tcPr>
            <w:tcW w:w="3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spacing w:val="2"/>
                <w:lang w:val="lt-LT" w:eastAsia="lt-LT"/>
              </w:rPr>
              <w:t>Aplinkos apsaugos vadybos sistemos standartų</w:t>
            </w:r>
            <w:r>
              <w:rPr>
                <w:rFonts w:eastAsia="Times New Roman" w:cs="Times New Roman" w:ascii="Times New Roman" w:hAnsi="Times New Roman"/>
                <w:b/>
                <w:lang w:val="lt-LT" w:eastAsia="lt-LT"/>
              </w:rPr>
              <w:t xml:space="preserve"> reikalavimų atitikimą įrodantys dokumentai</w:t>
            </w:r>
          </w:p>
        </w:tc>
      </w:tr>
      <w:tr>
        <w:trPr>
          <w:trHeight w:val="5587"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 xml:space="preserve">1. </w:t>
            </w:r>
          </w:p>
        </w:tc>
        <w:tc>
          <w:tcPr>
            <w:tcW w:w="5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lang w:val="lt-LT" w:eastAsia="lt-LT"/>
              </w:rPr>
            </w:pPr>
            <w:r>
              <w:rPr>
                <w:rFonts w:eastAsia="SimSun" w:cs="Times New Roman" w:ascii="Times New Roman" w:hAnsi="Times New Roman"/>
                <w:lang w:val="lt-LT" w:eastAsia="lt-LT"/>
              </w:rPr>
              <w:t>Tiekėjas, pagal atliekamų paslaugų pobūdį (projektavimo veikla), laikosi:</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xml:space="preserve">-  Europos Sąjungos aplinkos apsaugos vadybos ir audito sistemos </w:t>
            </w:r>
            <w:r>
              <w:rPr>
                <w:rFonts w:eastAsia="SimSun" w:cs="Times New Roman" w:ascii="Times New Roman" w:hAnsi="Times New Roman"/>
                <w:i/>
                <w:iCs/>
                <w:lang w:val="lt-LT" w:eastAsia="lt-LT"/>
              </w:rPr>
              <w:t xml:space="preserve">(angl. Eco-Managment and Audit Scheme, EMAS) </w:t>
            </w:r>
            <w:r>
              <w:rPr>
                <w:rFonts w:eastAsia="SimSun" w:cs="Times New Roman" w:ascii="Times New Roman" w:hAnsi="Times New Roman"/>
                <w:lang w:val="lt-LT"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Pr>
                <w:rFonts w:eastAsia="Times New Roman" w:cs="Times New Roman" w:ascii="Times New Roman" w:hAnsi="Times New Roman"/>
                <w:lang w:val="lt-LT" w:eastAsia="lt-LT"/>
              </w:rPr>
              <w:t xml:space="preserve">panaikinančio Reglamentą (EB) Nr. 761/2001 ir Komisijos sprendimus 2001/681/EB bei 2006/193/EB (OL 2009 L 342, p. 1), </w:t>
            </w:r>
            <w:r>
              <w:rPr>
                <w:rFonts w:eastAsia="SimSun" w:cs="Times New Roman" w:ascii="Times New Roman" w:hAnsi="Times New Roman"/>
                <w:lang w:val="lt-LT" w:eastAsia="lt-LT"/>
              </w:rPr>
              <w:t>45 straipsnį, arba kitų aplinkos apsaugos vadybos standartų reikalavimų, arba</w:t>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 standarto LST EN ISO 14001:2015 (arba lygiaverčio standarto) reikalavimų.</w:t>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tc>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lang w:val="lt-LT" w:eastAsia="lt-LT"/>
              </w:rPr>
            </w:pPr>
            <w:r>
              <w:rPr>
                <w:rFonts w:eastAsia="SimSun" w:cs="Times New Roman" w:ascii="Times New Roman" w:hAnsi="Times New Roman"/>
                <w:lang w:val="lt-LT" w:eastAsia="lt-LT"/>
              </w:rPr>
              <w:t>Pateikiamas nepriklausomos sertifikavimo įstaigos išduotas sertifikatas, patvirtinantis, kad Tiekėjas, laikosi:</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xml:space="preserve">- kitų aplinkos apsaugos vadybos sistemų, pripažįstamų pagal 2009 m. lapkričio 25 d. Europos Parlamento ir Tarybos reglamentu (EB) Nr. 1221/2009 dėl organizacijų savanoriškojo Bendrijos aplinkosaugos vadybos ir audito sistemos (EMAS) taikymo, </w:t>
            </w:r>
            <w:r>
              <w:rPr>
                <w:rFonts w:eastAsia="Times New Roman" w:cs="Times New Roman" w:ascii="Times New Roman" w:hAnsi="Times New Roman"/>
                <w:lang w:val="lt-LT" w:eastAsia="lt-LT"/>
              </w:rPr>
              <w:t xml:space="preserve">panaikinančio Reglamentą (EB) Nr. 761/2001 ir Komisijos sprendimus 2001/681/EB bei 2006/193/EB (OL 2009 L 342, p. 1), </w:t>
            </w:r>
            <w:r>
              <w:rPr>
                <w:rFonts w:eastAsia="SimSun" w:cs="Times New Roman" w:ascii="Times New Roman" w:hAnsi="Times New Roman"/>
                <w:lang w:val="lt-LT" w:eastAsia="lt-LT"/>
              </w:rPr>
              <w:t>45 straipsnį, arba kitų aplinkos apsaugos vadybos standartų reikalavimų, arba</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standarto LST EN ISO 14001:2015 (arba lygiaverčio standarto) reikalavimų.</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Perkančioji organizacija pripažįsta ir kitose Europos Sąjungos valstybėse - narėse įsisteigusių nepriklausomų įstaigų išduotus lygiaverčius sertifikatus.</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Jei tiekėjas numato paslaugų dalį pavesti atlikti kitam ūkio subjektui, tuomet jis turi atitikti keliamą reikalavimą priklausomai nuo prisiimamų įsipareigojimų.</w:t>
            </w:r>
          </w:p>
          <w:p>
            <w:pPr>
              <w:pStyle w:val="Normal"/>
              <w:spacing w:lineRule="auto" w:line="240" w:before="0" w:after="0"/>
              <w:jc w:val="both"/>
              <w:rPr>
                <w:rFonts w:ascii="Times New Roman" w:hAnsi="Times New Roman" w:eastAsia="SimSun" w:cs="Times New Roman"/>
                <w:i/>
                <w:i/>
                <w:iCs/>
                <w:lang w:val="lt-LT" w:eastAsia="lt-LT"/>
              </w:rPr>
            </w:pPr>
            <w:r>
              <w:rPr>
                <w:rFonts w:eastAsia="SimSun" w:cs="Times New Roman" w:ascii="Times New Roman" w:hAnsi="Times New Roman"/>
                <w:i/>
                <w:iCs/>
                <w:lang w:val="lt-LT" w:eastAsia="lt-LT"/>
              </w:rPr>
              <w:t>CVP IS priemonėmis pateikiamos skaitmeninės dokumentų kopijos.</w:t>
            </w:r>
          </w:p>
        </w:tc>
      </w:tr>
    </w:tbl>
    <w:p>
      <w:pPr>
        <w:pStyle w:val="Normal"/>
        <w:spacing w:before="0" w:after="160"/>
        <w:rPr>
          <w:lang w:val="lt-LT" w:eastAsia="en-GB"/>
        </w:rPr>
      </w:pPr>
      <w:r>
        <w:rPr>
          <w:lang w:val="lt-LT" w:eastAsia="en-GB"/>
        </w:rPr>
      </w:r>
    </w:p>
    <w:sectPr>
      <w:type w:val="nextPage"/>
      <w:pgSz w:w="12240" w:h="15840"/>
      <w:pgMar w:left="900" w:right="990" w:gutter="0" w:header="0" w:top="1418"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Helvetica Neue Light">
    <w:charset w:val="00"/>
    <w:family w:val="roman"/>
    <w:pitch w:val="variable"/>
  </w:font>
  <w:font w:name="Symbo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0"/>
      <w:numFmt w:val="bullet"/>
      <w:lvlText w:val="-"/>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0"/>
      <w:numFmt w:val="bullet"/>
      <w:lvlText w:val="-"/>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08c"/>
    <w:pPr>
      <w:widowControl/>
      <w:bidi w:val="0"/>
      <w:spacing w:lineRule="auto" w:line="259" w:before="0" w:after="160"/>
      <w:jc w:val="left"/>
    </w:pPr>
    <w:rPr>
      <w:rFonts w:ascii="Calibri" w:hAnsi="Calibri" w:eastAsia="Calibri"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f7608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f7608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f7608c"/>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f7608c"/>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f7608c"/>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f7608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7608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7608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7608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7608c"/>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f7608c"/>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f7608c"/>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f7608c"/>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f7608c"/>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f7608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7608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7608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7608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f7608c"/>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7608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7608c"/>
    <w:rPr>
      <w:i/>
      <w:iCs/>
      <w:color w:themeColor="text1" w:themeTint="bf" w:val="404040"/>
    </w:rPr>
  </w:style>
  <w:style w:type="character" w:styleId="IntenseEmphasis">
    <w:name w:val="Intense Emphasis"/>
    <w:basedOn w:val="DefaultParagraphFont"/>
    <w:uiPriority w:val="21"/>
    <w:qFormat/>
    <w:rsid w:val="00f7608c"/>
    <w:rPr>
      <w:i/>
      <w:iCs/>
      <w:color w:themeColor="accent1" w:themeShade="bf" w:val="2F5496"/>
    </w:rPr>
  </w:style>
  <w:style w:type="character" w:styleId="IntenseQuoteChar" w:customStyle="1">
    <w:name w:val="Intense Quote Char"/>
    <w:basedOn w:val="DefaultParagraphFont"/>
    <w:link w:val="IntenseQuote"/>
    <w:uiPriority w:val="30"/>
    <w:qFormat/>
    <w:rsid w:val="00f7608c"/>
    <w:rPr>
      <w:i/>
      <w:iCs/>
      <w:color w:themeColor="accent1" w:themeShade="bf" w:val="2F5496"/>
    </w:rPr>
  </w:style>
  <w:style w:type="character" w:styleId="IntenseReference">
    <w:name w:val="Intense Reference"/>
    <w:basedOn w:val="DefaultParagraphFont"/>
    <w:uiPriority w:val="32"/>
    <w:qFormat/>
    <w:rsid w:val="00f7608c"/>
    <w:rPr>
      <w:b/>
      <w:bCs/>
      <w:smallCaps/>
      <w:color w:themeColor="accent1" w:themeShade="bf" w:val="2F5496"/>
      <w:spacing w:val="5"/>
    </w:rPr>
  </w:style>
  <w:style w:type="character" w:styleId="ListParagraphChar" w:customStyle="1">
    <w:name w:val="List Paragraph Char"/>
    <w:link w:val="ListParagraph"/>
    <w:uiPriority w:val="34"/>
    <w:qFormat/>
    <w:locked/>
    <w:rsid w:val="00f7608c"/>
    <w:rPr/>
  </w:style>
  <w:style w:type="character" w:styleId="Annotationreference">
    <w:name w:val="annotation reference"/>
    <w:basedOn w:val="DefaultParagraphFont"/>
    <w:uiPriority w:val="99"/>
    <w:semiHidden/>
    <w:unhideWhenUsed/>
    <w:qFormat/>
    <w:rsid w:val="00414283"/>
    <w:rPr>
      <w:sz w:val="16"/>
      <w:szCs w:val="16"/>
    </w:rPr>
  </w:style>
  <w:style w:type="character" w:styleId="CommentTextChar" w:customStyle="1">
    <w:name w:val="Comment Text Char"/>
    <w:basedOn w:val="DefaultParagraphFont"/>
    <w:link w:val="Annotationtext"/>
    <w:uiPriority w:val="99"/>
    <w:semiHidden/>
    <w:qFormat/>
    <w:rsid w:val="00414283"/>
    <w:rPr>
      <w:kern w:val="0"/>
      <w:sz w:val="20"/>
      <w:szCs w:val="20"/>
      <w14:ligatures w14:val="none"/>
    </w:rPr>
  </w:style>
  <w:style w:type="character" w:styleId="CommentSubjectChar" w:customStyle="1">
    <w:name w:val="Comment Subject Char"/>
    <w:basedOn w:val="CommentTextChar"/>
    <w:link w:val="Annotationsubject"/>
    <w:uiPriority w:val="99"/>
    <w:semiHidden/>
    <w:qFormat/>
    <w:rsid w:val="00414283"/>
    <w:rPr>
      <w:b/>
      <w:bCs/>
      <w:kern w:val="0"/>
      <w:sz w:val="20"/>
      <w:szCs w:val="20"/>
      <w14:ligatures w14:val="none"/>
    </w:rPr>
  </w:style>
  <w:style w:type="character" w:styleId="Normaltextrun" w:customStyle="1">
    <w:name w:val="normaltextrun"/>
    <w:basedOn w:val="DefaultParagraphFont"/>
    <w:qFormat/>
    <w:rsid w:val="00df4bb0"/>
    <w:rPr/>
  </w:style>
  <w:style w:type="character" w:styleId="BodyTextChar" w:customStyle="1">
    <w:name w:val="Body Text Char"/>
    <w:qFormat/>
    <w:locked/>
    <w:rsid w:val="00cb52b3"/>
    <w:rPr>
      <w:rFonts w:ascii="Times New Roman" w:hAnsi="Times New Roman" w:eastAsia="Times New Roman" w:cs="Times New Roman"/>
    </w:rPr>
  </w:style>
  <w:style w:type="character" w:styleId="BodyTextChar1" w:customStyle="1">
    <w:name w:val="Body Text Char1"/>
    <w:basedOn w:val="DefaultParagraphFont"/>
    <w:uiPriority w:val="99"/>
    <w:semiHidden/>
    <w:qFormat/>
    <w:rsid w:val="00cb52b3"/>
    <w:rPr>
      <w:kern w:val="0"/>
      <w:sz w:val="22"/>
      <w:szCs w:val="22"/>
      <w14:ligatures w14:val="none"/>
    </w:rPr>
  </w:style>
  <w:style w:type="paragraph" w:styleId="Heading" w:customStyle="1">
    <w:name w:val="Heading"/>
    <w:next w:val="Normal"/>
    <w:qFormat/>
    <w:rsid w:val="00f7608c"/>
    <w:pPr>
      <w:widowControl/>
      <w:pBdr/>
      <w:bidi w:val="0"/>
      <w:spacing w:lineRule="auto" w:line="240" w:before="0" w:after="0"/>
      <w:jc w:val="left"/>
      <w:outlineLvl w:val="0"/>
    </w:pPr>
    <w:rPr>
      <w:rFonts w:ascii="Times New Roman" w:hAnsi="Times New Roman" w:eastAsia="Arial Unicode MS" w:cs="Arial Unicode MS"/>
      <w:b/>
      <w:bCs/>
      <w:caps/>
      <w:color w:val="444444"/>
      <w:spacing w:val="3"/>
      <w:kern w:val="0"/>
      <w:sz w:val="22"/>
      <w:szCs w:val="22"/>
      <w:u w:val="none" w:color="444444"/>
      <w:lang w:eastAsia="en-GB" w:val="en-US" w:bidi="ar-SA"/>
      <w14:textOutline w14:w="12700" w14:cap="flat" w14:cmpd="sng" w14:algn="ctr">
        <w14:noFill/>
        <w14:prstDash w14:val="solid"/>
        <w14:miter w14:lim="400000"/>
      </w14:textOutline>
      <w14:ligatures w14:val="none"/>
    </w:rPr>
  </w:style>
  <w:style w:type="paragraph" w:styleId="BodyText">
    <w:name w:val="Body Text"/>
    <w:basedOn w:val="Normal"/>
    <w:link w:val="BodyTextChar"/>
    <w:unhideWhenUsed/>
    <w:qFormat/>
    <w:rsid w:val="00cb52b3"/>
    <w:pPr>
      <w:spacing w:lineRule="auto" w:line="240" w:before="0" w:after="0"/>
      <w:jc w:val="both"/>
    </w:pPr>
    <w:rPr>
      <w:rFonts w:ascii="Times New Roman" w:hAnsi="Times New Roman" w:eastAsia="Times New Roman" w:cs="Times New Roman"/>
      <w:kern w:val="2"/>
      <w:sz w:val="24"/>
      <w:szCs w:val="24"/>
      <w14:ligatures w14:val="standardContextual"/>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f7608c"/>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7608c"/>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7608c"/>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f7608c"/>
    <w:pPr>
      <w:spacing w:before="0" w:after="160"/>
      <w:ind w:left="720"/>
      <w:contextualSpacing/>
    </w:pPr>
    <w:rPr/>
  </w:style>
  <w:style w:type="paragraph" w:styleId="IntenseQuote">
    <w:name w:val="Intense Quote"/>
    <w:basedOn w:val="Normal"/>
    <w:next w:val="Normal"/>
    <w:link w:val="IntenseQuoteChar"/>
    <w:uiPriority w:val="30"/>
    <w:qFormat/>
    <w:rsid w:val="00f7608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Body2" w:customStyle="1">
    <w:name w:val="Body 2"/>
    <w:qFormat/>
    <w:rsid w:val="00f7608c"/>
    <w:pPr>
      <w:widowControl/>
      <w:pBdr/>
      <w:suppressAutoHyphens w:val="true"/>
      <w:bidi w:val="0"/>
      <w:spacing w:lineRule="auto" w:line="240" w:before="0" w:after="40"/>
      <w:jc w:val="both"/>
    </w:pPr>
    <w:rPr>
      <w:rFonts w:ascii="Times New Roman" w:hAnsi="Times New Roman" w:eastAsia="Arial Unicode MS" w:cs="Arial Unicode MS"/>
      <w:color w:val="000000"/>
      <w:kern w:val="0"/>
      <w:sz w:val="22"/>
      <w:szCs w:val="22"/>
      <w:u w:val="none" w:color="000000"/>
      <w:lang w:eastAsia="en-GB" w:val="en-US" w:bidi="ar-SA"/>
      <w14:textOutline w14:w="12700" w14:cap="flat" w14:cmpd="sng" w14:algn="ctr">
        <w14:noFill/>
        <w14:prstDash w14:val="solid"/>
        <w14:miter w14:lim="400000"/>
      </w14:textOutline>
      <w14:ligatures w14:val="none"/>
    </w:rPr>
  </w:style>
  <w:style w:type="paragraph" w:styleId="BodyA" w:customStyle="1">
    <w:name w:val="Body A"/>
    <w:qFormat/>
    <w:rsid w:val="00f7608c"/>
    <w:pPr>
      <w:widowControl/>
      <w:pBdr/>
      <w:bidi w:val="0"/>
      <w:spacing w:lineRule="auto" w:line="312" w:before="0" w:after="0"/>
      <w:jc w:val="left"/>
    </w:pPr>
    <w:rPr>
      <w:rFonts w:ascii="Helvetica Neue Light" w:hAnsi="Helvetica Neue Light" w:eastAsia="Helvetica Neue Light" w:cs="Helvetica Neue Light"/>
      <w:color w:val="000000"/>
      <w:kern w:val="0"/>
      <w:sz w:val="20"/>
      <w:szCs w:val="20"/>
      <w:u w:val="none" w:color="000000"/>
      <w:lang w:eastAsia="en-GB" w:val="en-US" w:bidi="ar-SA"/>
      <w14:textOutline w14:w="12700" w14:cap="flat" w14:cmpd="sng" w14:algn="ctr">
        <w14:noFill/>
        <w14:prstDash w14:val="solid"/>
        <w14:miter w14:lim="400000"/>
      </w14:textOutline>
      <w14:ligatures w14:val="none"/>
    </w:rPr>
  </w:style>
  <w:style w:type="paragraph" w:styleId="Annotationtext">
    <w:name w:val="annotation text"/>
    <w:basedOn w:val="Normal"/>
    <w:link w:val="CommentTextChar"/>
    <w:uiPriority w:val="99"/>
    <w:semiHidden/>
    <w:unhideWhenUsed/>
    <w:qFormat/>
    <w:rsid w:val="0041428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414283"/>
    <w:pPr/>
    <w:rPr>
      <w:b/>
      <w:bCs/>
    </w:rPr>
  </w:style>
  <w:style w:type="paragraph" w:styleId="Standard" w:customStyle="1">
    <w:name w:val="Standard"/>
    <w:qFormat/>
    <w:rsid w:val="00cf025b"/>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en-US"/>
      <w14:ligatures w14:val="none"/>
    </w:rPr>
  </w:style>
  <w:style w:type="paragraph" w:styleId="Paragraph" w:customStyle="1">
    <w:name w:val="paragraph"/>
    <w:basedOn w:val="Normal"/>
    <w:qFormat/>
    <w:rsid w:val="00df4bb0"/>
    <w:pPr>
      <w:spacing w:lineRule="auto" w:line="240"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0a57d9"/>
    <w:pPr>
      <w:widowControl/>
      <w:bidi w:val="0"/>
      <w:spacing w:lineRule="auto" w:line="240" w:before="0" w:after="0"/>
      <w:jc w:val="left"/>
    </w:pPr>
    <w:rPr>
      <w:rFonts w:ascii="Calibri" w:hAnsi="Calibri" w:eastAsia="Calibri" w:cs=""/>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7608c"/>
    <w:pPr>
      <w:spacing w:after="0" w:line="240" w:lineRule="auto"/>
    </w:pPr>
    <w:rPr>
      <w:lang w:val="lt-LT"/>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3EF0-A9E3-449A-BD21-CF0B2943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Application>LibreOffice/7.6.4.1$Windows_X86_64 LibreOffice_project/e19e193f88cd6c0525a17fb7a176ed8e6a3e2aa1</Application>
  <AppVersion>15.0000</AppVersion>
  <Pages>3</Pages>
  <Words>1036</Words>
  <Characters>7352</Characters>
  <CharactersWithSpaces>8313</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2025-07-22T12:39:00Z</dcterms:created>
  <dc:creator>Ruslanas Ruslanas</dc:creator>
  <dc:description/>
  <dc:language>en-US</dc:language>
  <cp:lastModifiedBy>Ruslanas Ruslanas</cp:lastModifiedBy>
  <dcterms:modified xsi:type="dcterms:W3CDTF">2025-08-12T16:46:00Z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