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Pr="00D71C40" w:rsidRDefault="00F113D0" w:rsidP="00311E1C">
      <w:pPr>
        <w:pStyle w:val="NoSpacing"/>
        <w:jc w:val="both"/>
        <w:rPr>
          <w:rFonts w:ascii="Arial" w:hAnsi="Arial" w:cs="Arial"/>
        </w:rPr>
      </w:pPr>
    </w:p>
    <w:p w14:paraId="2A85B1B1" w14:textId="77777777" w:rsidR="00311E1C" w:rsidRPr="00D71C40" w:rsidRDefault="00311E1C" w:rsidP="00311E1C">
      <w:pPr>
        <w:pStyle w:val="NoSpacing"/>
        <w:jc w:val="both"/>
        <w:rPr>
          <w:rFonts w:ascii="Arial" w:hAnsi="Arial" w:cs="Arial"/>
        </w:rPr>
      </w:pPr>
    </w:p>
    <w:p w14:paraId="71E6E20E" w14:textId="77777777" w:rsidR="00311E1C" w:rsidRPr="00D71C40" w:rsidRDefault="00311E1C" w:rsidP="00311E1C">
      <w:pPr>
        <w:pStyle w:val="NoSpacing"/>
        <w:jc w:val="both"/>
        <w:rPr>
          <w:rFonts w:ascii="Arial" w:hAnsi="Arial" w:cs="Arial"/>
        </w:rPr>
      </w:pPr>
    </w:p>
    <w:p w14:paraId="090E1EED" w14:textId="7D193E22" w:rsidR="00163795" w:rsidRPr="00D71C40" w:rsidRDefault="004C1979" w:rsidP="004C1979">
      <w:pPr>
        <w:jc w:val="right"/>
        <w:rPr>
          <w:rFonts w:ascii="Arial" w:hAnsi="Arial" w:cs="Arial"/>
          <w:b/>
          <w:bCs/>
          <w:sz w:val="22"/>
          <w:szCs w:val="22"/>
          <w:lang w:val="lt-LT"/>
        </w:rPr>
      </w:pPr>
      <w:r w:rsidRPr="00D71C40">
        <w:rPr>
          <w:rFonts w:ascii="Arial" w:hAnsi="Arial" w:cs="Arial"/>
          <w:b/>
          <w:bCs/>
          <w:sz w:val="22"/>
          <w:szCs w:val="22"/>
          <w:lang w:val="lt-LT"/>
        </w:rPr>
        <w:t>202</w:t>
      </w:r>
      <w:r w:rsidR="00FB018D" w:rsidRPr="00D71C40">
        <w:rPr>
          <w:rFonts w:ascii="Arial" w:hAnsi="Arial" w:cs="Arial"/>
          <w:b/>
          <w:bCs/>
          <w:sz w:val="22"/>
          <w:szCs w:val="22"/>
          <w:lang w:val="lt-LT"/>
        </w:rPr>
        <w:t>5</w:t>
      </w:r>
      <w:r w:rsidRPr="00D71C40">
        <w:rPr>
          <w:rFonts w:ascii="Arial" w:hAnsi="Arial" w:cs="Arial"/>
          <w:b/>
          <w:bCs/>
          <w:sz w:val="22"/>
          <w:szCs w:val="22"/>
          <w:lang w:val="lt-LT"/>
        </w:rPr>
        <w:t>-</w:t>
      </w:r>
      <w:r w:rsidR="009234CA" w:rsidRPr="00D71C40">
        <w:rPr>
          <w:rFonts w:ascii="Arial" w:hAnsi="Arial" w:cs="Arial"/>
          <w:b/>
          <w:bCs/>
          <w:sz w:val="22"/>
          <w:szCs w:val="22"/>
          <w:lang w:val="lt-LT"/>
        </w:rPr>
        <w:t>08-</w:t>
      </w:r>
      <w:r w:rsidR="00F07AF3" w:rsidRPr="00D71C40">
        <w:rPr>
          <w:rFonts w:ascii="Arial" w:hAnsi="Arial" w:cs="Arial"/>
          <w:b/>
          <w:bCs/>
          <w:sz w:val="22"/>
          <w:szCs w:val="22"/>
          <w:lang w:val="lt-LT"/>
        </w:rPr>
        <w:t>2</w:t>
      </w:r>
      <w:r w:rsidR="00196C26">
        <w:rPr>
          <w:rFonts w:ascii="Arial" w:hAnsi="Arial" w:cs="Arial"/>
          <w:b/>
          <w:bCs/>
          <w:sz w:val="22"/>
          <w:szCs w:val="22"/>
          <w:lang w:val="lt-LT"/>
        </w:rPr>
        <w:t>6</w:t>
      </w:r>
    </w:p>
    <w:p w14:paraId="7DC51A6C" w14:textId="77777777" w:rsidR="00163795" w:rsidRPr="00D71C40" w:rsidRDefault="00163795" w:rsidP="00163795">
      <w:pPr>
        <w:rPr>
          <w:rFonts w:ascii="Arial" w:hAnsi="Arial" w:cs="Arial"/>
          <w:sz w:val="22"/>
          <w:szCs w:val="22"/>
          <w:lang w:val="lt-LT"/>
        </w:rPr>
      </w:pPr>
    </w:p>
    <w:p w14:paraId="03C57EF6" w14:textId="77777777" w:rsidR="00163795" w:rsidRPr="00D71C40" w:rsidRDefault="00163795" w:rsidP="00163795">
      <w:pPr>
        <w:rPr>
          <w:rFonts w:ascii="Arial" w:hAnsi="Arial" w:cs="Arial"/>
          <w:sz w:val="22"/>
          <w:szCs w:val="22"/>
          <w:lang w:val="lt-LT"/>
        </w:rPr>
      </w:pPr>
    </w:p>
    <w:p w14:paraId="10BCE261" w14:textId="77777777" w:rsidR="00163795" w:rsidRPr="00D71C40" w:rsidRDefault="00163795" w:rsidP="00163795">
      <w:pPr>
        <w:rPr>
          <w:rFonts w:ascii="Arial" w:hAnsi="Arial" w:cs="Arial"/>
          <w:b/>
          <w:bCs/>
          <w:sz w:val="22"/>
          <w:szCs w:val="22"/>
          <w:lang w:val="lt-LT"/>
        </w:rPr>
      </w:pPr>
    </w:p>
    <w:p w14:paraId="42A37426" w14:textId="2C9FE2BD" w:rsidR="004C1979" w:rsidRPr="00D71C40" w:rsidRDefault="004C1979" w:rsidP="004C1979">
      <w:pPr>
        <w:rPr>
          <w:rFonts w:ascii="Arial" w:hAnsi="Arial" w:cs="Arial"/>
          <w:b/>
          <w:bCs/>
          <w:sz w:val="22"/>
          <w:szCs w:val="22"/>
          <w:lang w:val="lt-LT"/>
        </w:rPr>
      </w:pPr>
      <w:r w:rsidRPr="00D71C40">
        <w:rPr>
          <w:rFonts w:ascii="Arial" w:hAnsi="Arial" w:cs="Arial"/>
          <w:b/>
          <w:bCs/>
          <w:sz w:val="22"/>
          <w:szCs w:val="22"/>
          <w:lang w:val="lt-LT"/>
        </w:rPr>
        <w:t>DĖL PIRKIMO DOKUMENTŲ PAAIŠKINIMO / PATIKSLINIMO Nr.</w:t>
      </w:r>
      <w:r w:rsidR="00324B49" w:rsidRPr="00D71C40">
        <w:rPr>
          <w:rFonts w:ascii="Arial" w:hAnsi="Arial" w:cs="Arial"/>
          <w:b/>
          <w:bCs/>
          <w:sz w:val="22"/>
          <w:szCs w:val="22"/>
          <w:lang w:val="lt-LT"/>
        </w:rPr>
        <w:t>4</w:t>
      </w:r>
    </w:p>
    <w:p w14:paraId="1AB90FC5" w14:textId="77777777" w:rsidR="00163795" w:rsidRPr="00D71C40" w:rsidRDefault="00163795" w:rsidP="00163795">
      <w:pPr>
        <w:rPr>
          <w:rFonts w:ascii="Arial" w:hAnsi="Arial" w:cs="Arial"/>
          <w:sz w:val="22"/>
          <w:szCs w:val="22"/>
          <w:lang w:val="lt-LT"/>
        </w:rPr>
      </w:pPr>
    </w:p>
    <w:p w14:paraId="489EA8E5" w14:textId="3912DA56" w:rsidR="00163795" w:rsidRPr="00D71C40" w:rsidRDefault="00163795" w:rsidP="00E8158A">
      <w:pPr>
        <w:pStyle w:val="BodyText"/>
        <w:ind w:firstLine="360"/>
        <w:jc w:val="both"/>
        <w:rPr>
          <w:rFonts w:ascii="Arial" w:hAnsi="Arial" w:cs="Arial"/>
          <w:sz w:val="22"/>
          <w:szCs w:val="22"/>
        </w:rPr>
      </w:pPr>
      <w:r w:rsidRPr="00D71C40">
        <w:rPr>
          <w:rFonts w:ascii="Arial" w:hAnsi="Arial" w:cs="Arial"/>
          <w:bCs/>
          <w:sz w:val="22"/>
          <w:szCs w:val="22"/>
        </w:rPr>
        <w:t xml:space="preserve">Akcinė bendrovė </w:t>
      </w:r>
      <w:r w:rsidR="00C1542C" w:rsidRPr="00D71C40">
        <w:rPr>
          <w:rFonts w:ascii="Arial" w:hAnsi="Arial" w:cs="Arial"/>
          <w:bCs/>
          <w:sz w:val="22"/>
          <w:szCs w:val="22"/>
        </w:rPr>
        <w:t>„</w:t>
      </w:r>
      <w:r w:rsidR="009633D2" w:rsidRPr="00D71C40">
        <w:rPr>
          <w:rFonts w:ascii="Arial" w:hAnsi="Arial" w:cs="Arial"/>
          <w:bCs/>
          <w:sz w:val="22"/>
          <w:szCs w:val="22"/>
        </w:rPr>
        <w:t>Via Lietuva</w:t>
      </w:r>
      <w:r w:rsidR="00C1542C" w:rsidRPr="00D71C40">
        <w:rPr>
          <w:rFonts w:ascii="Arial" w:hAnsi="Arial" w:cs="Arial"/>
          <w:bCs/>
          <w:sz w:val="22"/>
          <w:szCs w:val="22"/>
        </w:rPr>
        <w:t>“</w:t>
      </w:r>
      <w:r w:rsidRPr="00D71C40">
        <w:rPr>
          <w:rFonts w:ascii="Arial" w:hAnsi="Arial" w:cs="Arial"/>
          <w:bCs/>
          <w:sz w:val="22"/>
          <w:szCs w:val="22"/>
        </w:rPr>
        <w:t xml:space="preserve"> </w:t>
      </w:r>
      <w:r w:rsidR="00410FE7" w:rsidRPr="00D71C40">
        <w:rPr>
          <w:rFonts w:ascii="Arial" w:hAnsi="Arial" w:cs="Arial"/>
          <w:bCs/>
          <w:sz w:val="22"/>
          <w:szCs w:val="22"/>
        </w:rPr>
        <w:t xml:space="preserve">(toliau – Perkančioji organizacija) </w:t>
      </w:r>
      <w:r w:rsidRPr="00D71C40">
        <w:rPr>
          <w:rFonts w:ascii="Arial" w:hAnsi="Arial" w:cs="Arial"/>
          <w:bCs/>
          <w:sz w:val="22"/>
          <w:szCs w:val="22"/>
        </w:rPr>
        <w:t>gavo suinteresuot</w:t>
      </w:r>
      <w:r w:rsidR="00C1542C" w:rsidRPr="00D71C40">
        <w:rPr>
          <w:rFonts w:ascii="Arial" w:hAnsi="Arial" w:cs="Arial"/>
          <w:bCs/>
          <w:sz w:val="22"/>
          <w:szCs w:val="22"/>
        </w:rPr>
        <w:t>o</w:t>
      </w:r>
      <w:r w:rsidRPr="00D71C40">
        <w:rPr>
          <w:rFonts w:ascii="Arial" w:hAnsi="Arial" w:cs="Arial"/>
          <w:bCs/>
          <w:sz w:val="22"/>
          <w:szCs w:val="22"/>
        </w:rPr>
        <w:t xml:space="preserve"> tiekėj</w:t>
      </w:r>
      <w:r w:rsidR="009633D2" w:rsidRPr="00D71C40">
        <w:rPr>
          <w:rFonts w:ascii="Arial" w:hAnsi="Arial" w:cs="Arial"/>
          <w:bCs/>
          <w:sz w:val="22"/>
          <w:szCs w:val="22"/>
        </w:rPr>
        <w:t>o</w:t>
      </w:r>
      <w:r w:rsidRPr="00D71C40">
        <w:rPr>
          <w:rFonts w:ascii="Arial" w:hAnsi="Arial" w:cs="Arial"/>
          <w:bCs/>
          <w:sz w:val="22"/>
          <w:szCs w:val="22"/>
        </w:rPr>
        <w:t xml:space="preserve"> klausim</w:t>
      </w:r>
      <w:r w:rsidR="009633D2" w:rsidRPr="00D71C40">
        <w:rPr>
          <w:rFonts w:ascii="Arial" w:hAnsi="Arial" w:cs="Arial"/>
          <w:bCs/>
          <w:sz w:val="22"/>
          <w:szCs w:val="22"/>
        </w:rPr>
        <w:t>ą</w:t>
      </w:r>
      <w:r w:rsidRPr="00D71C40">
        <w:rPr>
          <w:rFonts w:ascii="Arial" w:hAnsi="Arial" w:cs="Arial"/>
          <w:bCs/>
          <w:sz w:val="22"/>
          <w:szCs w:val="22"/>
        </w:rPr>
        <w:t xml:space="preserve"> dėl </w:t>
      </w:r>
      <w:r w:rsidR="00DD76A6" w:rsidRPr="00D71C40">
        <w:rPr>
          <w:rFonts w:ascii="Arial" w:hAnsi="Arial" w:cs="Arial"/>
          <w:bCs/>
          <w:sz w:val="22"/>
          <w:szCs w:val="22"/>
        </w:rPr>
        <w:t>vykdomo pirkimo</w:t>
      </w:r>
      <w:r w:rsidRPr="00D71C40">
        <w:rPr>
          <w:rFonts w:ascii="Arial" w:hAnsi="Arial" w:cs="Arial"/>
          <w:b/>
          <w:sz w:val="22"/>
          <w:szCs w:val="22"/>
        </w:rPr>
        <w:t xml:space="preserve"> </w:t>
      </w:r>
      <w:r w:rsidR="00EC0702" w:rsidRPr="00D71C40">
        <w:rPr>
          <w:rFonts w:ascii="Arial" w:hAnsi="Arial" w:cs="Arial"/>
          <w:b/>
          <w:bCs/>
          <w:iCs/>
          <w:sz w:val="20"/>
        </w:rPr>
        <w:t>Rajoninio kelio Nr. 2703 Pikeliai–Židikai ruožo nuo 0,00 iki 6,135 km kapitalinio remonto TDP parengimas, PVP ir darbų atlikimas</w:t>
      </w:r>
      <w:r w:rsidR="00EC0702" w:rsidRPr="00D71C40">
        <w:rPr>
          <w:rFonts w:ascii="Arial" w:hAnsi="Arial" w:cs="Arial"/>
          <w:b/>
          <w:bCs/>
          <w:sz w:val="22"/>
          <w:szCs w:val="22"/>
        </w:rPr>
        <w:t xml:space="preserve"> </w:t>
      </w:r>
      <w:r w:rsidR="00CC78A1" w:rsidRPr="00D71C40">
        <w:rPr>
          <w:rFonts w:ascii="Arial" w:hAnsi="Arial" w:cs="Arial"/>
          <w:b/>
          <w:bCs/>
          <w:sz w:val="22"/>
          <w:szCs w:val="22"/>
        </w:rPr>
        <w:t xml:space="preserve"> </w:t>
      </w:r>
      <w:r w:rsidRPr="00D71C40">
        <w:rPr>
          <w:rFonts w:ascii="Arial" w:hAnsi="Arial" w:cs="Arial"/>
          <w:sz w:val="22"/>
          <w:szCs w:val="22"/>
        </w:rPr>
        <w:t xml:space="preserve">(CVP IS </w:t>
      </w:r>
      <w:r w:rsidR="00A72F0E" w:rsidRPr="00D71C40">
        <w:rPr>
          <w:rFonts w:ascii="Arial" w:hAnsi="Arial" w:cs="Arial"/>
          <w:sz w:val="22"/>
          <w:szCs w:val="22"/>
        </w:rPr>
        <w:t>ID</w:t>
      </w:r>
      <w:r w:rsidRPr="00D71C40">
        <w:rPr>
          <w:rFonts w:ascii="Arial" w:hAnsi="Arial" w:cs="Arial"/>
          <w:sz w:val="22"/>
          <w:szCs w:val="22"/>
        </w:rPr>
        <w:t xml:space="preserve"> </w:t>
      </w:r>
      <w:r w:rsidR="008F1CA4" w:rsidRPr="00D71C40">
        <w:rPr>
          <w:rFonts w:ascii="Arial" w:hAnsi="Arial" w:cs="Arial"/>
          <w:iCs/>
          <w:sz w:val="22"/>
          <w:szCs w:val="22"/>
        </w:rPr>
        <w:t>3881493</w:t>
      </w:r>
      <w:r w:rsidR="00A3601F" w:rsidRPr="00D71C40">
        <w:rPr>
          <w:rFonts w:ascii="Arial" w:hAnsi="Arial" w:cs="Arial"/>
          <w:bCs/>
          <w:sz w:val="22"/>
          <w:szCs w:val="22"/>
        </w:rPr>
        <w:t>),</w:t>
      </w:r>
      <w:r w:rsidRPr="00D71C40">
        <w:rPr>
          <w:rFonts w:ascii="Arial" w:hAnsi="Arial" w:cs="Arial"/>
          <w:bCs/>
          <w:sz w:val="22"/>
          <w:szCs w:val="22"/>
        </w:rPr>
        <w:t xml:space="preserve"> </w:t>
      </w:r>
      <w:r w:rsidR="00A3601F" w:rsidRPr="00D71C40">
        <w:rPr>
          <w:rFonts w:ascii="Arial" w:hAnsi="Arial" w:cs="Arial"/>
          <w:bCs/>
          <w:sz w:val="22"/>
          <w:szCs w:val="22"/>
        </w:rPr>
        <w:t>(</w:t>
      </w:r>
      <w:r w:rsidRPr="00D71C40">
        <w:rPr>
          <w:rFonts w:ascii="Arial" w:hAnsi="Arial" w:cs="Arial"/>
          <w:bCs/>
          <w:sz w:val="22"/>
          <w:szCs w:val="22"/>
        </w:rPr>
        <w:t>toliau</w:t>
      </w:r>
      <w:r w:rsidRPr="00D71C40">
        <w:rPr>
          <w:rFonts w:ascii="Arial" w:hAnsi="Arial" w:cs="Arial"/>
          <w:sz w:val="22"/>
          <w:szCs w:val="22"/>
        </w:rPr>
        <w:t xml:space="preserve"> – </w:t>
      </w:r>
      <w:r w:rsidRPr="00D71C40">
        <w:rPr>
          <w:rFonts w:ascii="Arial" w:hAnsi="Arial" w:cs="Arial"/>
          <w:b/>
          <w:bCs/>
          <w:sz w:val="22"/>
          <w:szCs w:val="22"/>
        </w:rPr>
        <w:t>pirkimas</w:t>
      </w:r>
      <w:r w:rsidRPr="00D71C40">
        <w:rPr>
          <w:rFonts w:ascii="Arial" w:hAnsi="Arial" w:cs="Arial"/>
          <w:sz w:val="22"/>
          <w:szCs w:val="22"/>
        </w:rPr>
        <w:t xml:space="preserve">), atliekamo </w:t>
      </w:r>
      <w:r w:rsidR="00F31C29" w:rsidRPr="00D71C40">
        <w:rPr>
          <w:rFonts w:ascii="Arial" w:hAnsi="Arial" w:cs="Arial"/>
          <w:sz w:val="22"/>
          <w:szCs w:val="22"/>
        </w:rPr>
        <w:t>tarptautinio</w:t>
      </w:r>
      <w:r w:rsidR="00C145F5" w:rsidRPr="00D71C40">
        <w:rPr>
          <w:rFonts w:ascii="Arial" w:hAnsi="Arial" w:cs="Arial"/>
          <w:sz w:val="22"/>
          <w:szCs w:val="22"/>
        </w:rPr>
        <w:t xml:space="preserve"> </w:t>
      </w:r>
      <w:r w:rsidRPr="00D71C40">
        <w:rPr>
          <w:rFonts w:ascii="Arial" w:hAnsi="Arial" w:cs="Arial"/>
          <w:sz w:val="22"/>
          <w:szCs w:val="22"/>
        </w:rPr>
        <w:t>atviro konkurso būdu.</w:t>
      </w:r>
    </w:p>
    <w:p w14:paraId="09C2391A" w14:textId="23EBF086" w:rsidR="00163795" w:rsidRPr="00D71C40" w:rsidRDefault="00312795" w:rsidP="00820EC8">
      <w:pPr>
        <w:tabs>
          <w:tab w:val="left" w:pos="5954"/>
          <w:tab w:val="left" w:pos="6946"/>
        </w:tabs>
        <w:ind w:firstLine="360"/>
        <w:jc w:val="both"/>
        <w:rPr>
          <w:rFonts w:ascii="Arial" w:hAnsi="Arial" w:cs="Arial"/>
          <w:sz w:val="22"/>
          <w:szCs w:val="22"/>
          <w:lang w:val="lt-LT"/>
        </w:rPr>
      </w:pPr>
      <w:r w:rsidRPr="00D71C40">
        <w:rPr>
          <w:rFonts w:ascii="Arial" w:hAnsi="Arial" w:cs="Arial"/>
          <w:sz w:val="22"/>
          <w:szCs w:val="22"/>
          <w:lang w:val="lt-LT"/>
        </w:rPr>
        <w:t>Perkančioji organizacija</w:t>
      </w:r>
      <w:r w:rsidR="00163795" w:rsidRPr="00D71C40">
        <w:rPr>
          <w:rFonts w:ascii="Arial" w:hAnsi="Arial" w:cs="Arial"/>
          <w:sz w:val="22"/>
          <w:szCs w:val="22"/>
          <w:lang w:val="lt-LT"/>
        </w:rPr>
        <w:t xml:space="preserve"> teikia suinteresuot</w:t>
      </w:r>
      <w:r w:rsidR="0095272C" w:rsidRPr="00D71C40">
        <w:rPr>
          <w:rFonts w:ascii="Arial" w:hAnsi="Arial" w:cs="Arial"/>
          <w:sz w:val="22"/>
          <w:szCs w:val="22"/>
          <w:lang w:val="lt-LT"/>
        </w:rPr>
        <w:t>o</w:t>
      </w:r>
      <w:r w:rsidR="00163795" w:rsidRPr="00D71C40">
        <w:rPr>
          <w:rFonts w:ascii="Arial" w:hAnsi="Arial" w:cs="Arial"/>
          <w:sz w:val="22"/>
          <w:szCs w:val="22"/>
          <w:lang w:val="lt-LT"/>
        </w:rPr>
        <w:t xml:space="preserve"> tiekėj</w:t>
      </w:r>
      <w:r w:rsidR="0095272C" w:rsidRPr="00D71C40">
        <w:rPr>
          <w:rFonts w:ascii="Arial" w:hAnsi="Arial" w:cs="Arial"/>
          <w:sz w:val="22"/>
          <w:szCs w:val="22"/>
          <w:lang w:val="lt-LT"/>
        </w:rPr>
        <w:t>o</w:t>
      </w:r>
      <w:r w:rsidR="00163795" w:rsidRPr="00D71C40">
        <w:rPr>
          <w:rFonts w:ascii="Arial" w:hAnsi="Arial" w:cs="Arial"/>
          <w:sz w:val="22"/>
          <w:szCs w:val="22"/>
          <w:lang w:val="lt-LT"/>
        </w:rPr>
        <w:t xml:space="preserve"> klausim</w:t>
      </w:r>
      <w:r w:rsidR="0095272C" w:rsidRPr="00D71C40">
        <w:rPr>
          <w:rFonts w:ascii="Arial" w:hAnsi="Arial" w:cs="Arial"/>
          <w:sz w:val="22"/>
          <w:szCs w:val="22"/>
          <w:lang w:val="lt-LT"/>
        </w:rPr>
        <w:t>ą</w:t>
      </w:r>
      <w:r w:rsidR="00163795" w:rsidRPr="00D71C40">
        <w:rPr>
          <w:rFonts w:ascii="Arial" w:hAnsi="Arial" w:cs="Arial"/>
          <w:sz w:val="22"/>
          <w:szCs w:val="22"/>
          <w:lang w:val="lt-LT"/>
        </w:rPr>
        <w:t xml:space="preserve"> ir atsakym</w:t>
      </w:r>
      <w:r w:rsidR="0095272C" w:rsidRPr="00D71C40">
        <w:rPr>
          <w:rFonts w:ascii="Arial" w:hAnsi="Arial" w:cs="Arial"/>
          <w:sz w:val="22"/>
          <w:szCs w:val="22"/>
          <w:lang w:val="lt-LT"/>
        </w:rPr>
        <w:t>ą</w:t>
      </w:r>
      <w:r w:rsidR="00163795" w:rsidRPr="00D71C40">
        <w:rPr>
          <w:rFonts w:ascii="Arial" w:hAnsi="Arial" w:cs="Arial"/>
          <w:sz w:val="22"/>
          <w:szCs w:val="22"/>
          <w:lang w:val="lt-LT"/>
        </w:rPr>
        <w:t xml:space="preserve"> į j</w:t>
      </w:r>
      <w:r w:rsidR="0095272C" w:rsidRPr="00D71C40">
        <w:rPr>
          <w:rFonts w:ascii="Arial" w:hAnsi="Arial" w:cs="Arial"/>
          <w:sz w:val="22"/>
          <w:szCs w:val="22"/>
          <w:lang w:val="lt-LT"/>
        </w:rPr>
        <w:t>į</w:t>
      </w:r>
      <w:r w:rsidR="00163795" w:rsidRPr="00D71C40">
        <w:rPr>
          <w:rFonts w:ascii="Arial" w:hAnsi="Arial" w:cs="Arial"/>
          <w:sz w:val="22"/>
          <w:szCs w:val="22"/>
          <w:lang w:val="lt-LT"/>
        </w:rPr>
        <w:t>*:</w:t>
      </w:r>
    </w:p>
    <w:tbl>
      <w:tblPr>
        <w:tblStyle w:val="TableGrid"/>
        <w:tblW w:w="5000" w:type="pct"/>
        <w:tblLayout w:type="fixed"/>
        <w:tblLook w:val="04A0" w:firstRow="1" w:lastRow="0" w:firstColumn="1" w:lastColumn="0" w:noHBand="0" w:noVBand="1"/>
      </w:tblPr>
      <w:tblGrid>
        <w:gridCol w:w="842"/>
        <w:gridCol w:w="6383"/>
        <w:gridCol w:w="7335"/>
      </w:tblGrid>
      <w:tr w:rsidR="00163795" w:rsidRPr="00D71C40" w14:paraId="785214EE" w14:textId="77777777" w:rsidTr="00820EC8">
        <w:tc>
          <w:tcPr>
            <w:tcW w:w="289" w:type="pct"/>
          </w:tcPr>
          <w:p w14:paraId="7B156119" w14:textId="77777777" w:rsidR="00163795" w:rsidRPr="00D71C40" w:rsidRDefault="00163795" w:rsidP="006817EA">
            <w:pPr>
              <w:jc w:val="center"/>
              <w:rPr>
                <w:rFonts w:ascii="Arial" w:hAnsi="Arial" w:cs="Arial"/>
                <w:sz w:val="22"/>
                <w:szCs w:val="22"/>
                <w:lang w:val="lt-LT"/>
              </w:rPr>
            </w:pPr>
            <w:r w:rsidRPr="00D71C40">
              <w:rPr>
                <w:rFonts w:ascii="Arial" w:hAnsi="Arial" w:cs="Arial"/>
                <w:b/>
                <w:bCs/>
                <w:sz w:val="22"/>
                <w:szCs w:val="22"/>
                <w:lang w:val="lt-LT"/>
              </w:rPr>
              <w:t>Eil. Nr.</w:t>
            </w:r>
          </w:p>
        </w:tc>
        <w:tc>
          <w:tcPr>
            <w:tcW w:w="2192" w:type="pct"/>
          </w:tcPr>
          <w:p w14:paraId="7E3B074C" w14:textId="77777777" w:rsidR="00163795" w:rsidRPr="00D71C40" w:rsidRDefault="00163795" w:rsidP="006817EA">
            <w:pPr>
              <w:jc w:val="center"/>
              <w:rPr>
                <w:rFonts w:ascii="Arial" w:hAnsi="Arial" w:cs="Arial"/>
                <w:sz w:val="22"/>
                <w:szCs w:val="22"/>
                <w:lang w:val="lt-LT"/>
              </w:rPr>
            </w:pPr>
            <w:r w:rsidRPr="00D71C40">
              <w:rPr>
                <w:rFonts w:ascii="Arial" w:hAnsi="Arial" w:cs="Arial"/>
                <w:b/>
                <w:bCs/>
                <w:sz w:val="22"/>
                <w:szCs w:val="22"/>
                <w:lang w:val="lt-LT"/>
              </w:rPr>
              <w:t>Klausimas</w:t>
            </w:r>
            <w:r w:rsidRPr="00D71C40">
              <w:rPr>
                <w:rFonts w:ascii="Arial" w:hAnsi="Arial" w:cs="Arial"/>
                <w:b/>
                <w:bCs/>
                <w:i/>
                <w:iCs/>
                <w:sz w:val="22"/>
                <w:szCs w:val="22"/>
                <w:lang w:val="lt-LT"/>
              </w:rPr>
              <w:t>**</w:t>
            </w:r>
          </w:p>
        </w:tc>
        <w:tc>
          <w:tcPr>
            <w:tcW w:w="2519" w:type="pct"/>
          </w:tcPr>
          <w:p w14:paraId="3993DB55" w14:textId="77777777" w:rsidR="00163795" w:rsidRPr="00D71C40" w:rsidRDefault="00163795" w:rsidP="006817EA">
            <w:pPr>
              <w:jc w:val="center"/>
              <w:rPr>
                <w:rFonts w:ascii="Arial" w:hAnsi="Arial" w:cs="Arial"/>
                <w:sz w:val="22"/>
                <w:szCs w:val="22"/>
                <w:lang w:val="lt-LT"/>
              </w:rPr>
            </w:pPr>
            <w:r w:rsidRPr="00D71C40">
              <w:rPr>
                <w:rFonts w:ascii="Arial" w:hAnsi="Arial" w:cs="Arial"/>
                <w:b/>
                <w:bCs/>
                <w:sz w:val="22"/>
                <w:szCs w:val="22"/>
                <w:lang w:val="lt-LT"/>
              </w:rPr>
              <w:t>Atsakymas</w:t>
            </w:r>
          </w:p>
        </w:tc>
      </w:tr>
      <w:tr w:rsidR="000653A1" w:rsidRPr="00D71C40" w14:paraId="6CF8DE0F" w14:textId="77777777" w:rsidTr="00820EC8">
        <w:tc>
          <w:tcPr>
            <w:tcW w:w="289" w:type="pct"/>
          </w:tcPr>
          <w:p w14:paraId="7EAA53ED" w14:textId="0917905F" w:rsidR="000653A1" w:rsidRPr="00D71C40" w:rsidRDefault="000653A1" w:rsidP="006817EA">
            <w:pPr>
              <w:jc w:val="center"/>
              <w:rPr>
                <w:rFonts w:ascii="Arial" w:hAnsi="Arial" w:cs="Arial"/>
                <w:sz w:val="22"/>
                <w:szCs w:val="22"/>
                <w:lang w:val="lt-LT"/>
              </w:rPr>
            </w:pPr>
            <w:r w:rsidRPr="00D71C40">
              <w:rPr>
                <w:rFonts w:ascii="Arial" w:hAnsi="Arial" w:cs="Arial"/>
                <w:sz w:val="22"/>
                <w:szCs w:val="22"/>
                <w:lang w:val="lt-LT"/>
              </w:rPr>
              <w:t>1.</w:t>
            </w:r>
          </w:p>
        </w:tc>
        <w:tc>
          <w:tcPr>
            <w:tcW w:w="2192" w:type="pct"/>
          </w:tcPr>
          <w:p w14:paraId="6762B437" w14:textId="2C08B65B" w:rsidR="00342E29" w:rsidRPr="00D71C40" w:rsidRDefault="00324B49" w:rsidP="00324B49">
            <w:pPr>
              <w:jc w:val="both"/>
              <w:rPr>
                <w:rFonts w:ascii="Arial" w:hAnsi="Arial" w:cs="Arial"/>
                <w:sz w:val="22"/>
                <w:szCs w:val="22"/>
                <w:lang w:val="lt-LT"/>
              </w:rPr>
            </w:pPr>
            <w:r w:rsidRPr="00D71C40">
              <w:rPr>
                <w:rFonts w:ascii="Arial" w:hAnsi="Arial" w:cs="Arial"/>
                <w:sz w:val="22"/>
                <w:szCs w:val="22"/>
                <w:lang w:val="lt-LT"/>
              </w:rPr>
              <w:t>Laba diena,</w:t>
            </w:r>
            <w:r w:rsidRPr="00D71C40">
              <w:rPr>
                <w:rFonts w:ascii="Arial" w:hAnsi="Arial" w:cs="Arial"/>
                <w:sz w:val="22"/>
                <w:szCs w:val="22"/>
                <w:lang w:val="lt-LT"/>
              </w:rPr>
              <w:br/>
            </w:r>
            <w:r w:rsidRPr="00D71C40">
              <w:rPr>
                <w:rFonts w:ascii="Arial" w:hAnsi="Arial" w:cs="Arial"/>
                <w:sz w:val="22"/>
                <w:szCs w:val="22"/>
                <w:lang w:val="lt-LT"/>
              </w:rPr>
              <w:br/>
              <w:t>1. TS 10.14 punkte "Inžinieriniai tinklai kelio juostoje" nurodyta, kad esant poreikiui suprojektuoti inžinierinių tinklų perkėlimą, apsaugojimą ir t.t. Prašome PO patvirtinti, kad Tiekėjas teikiant pasiūlymą turi įsivertinti tik projektavimo darbus, o darbų susijusių su inžinierinių tinklų apsaugojimų, perkėlimu ir t.t. neturi įsivertinti.</w:t>
            </w:r>
          </w:p>
        </w:tc>
        <w:tc>
          <w:tcPr>
            <w:tcW w:w="2519" w:type="pct"/>
          </w:tcPr>
          <w:p w14:paraId="50A88B67" w14:textId="37FA96B5" w:rsidR="00DB73E1" w:rsidRPr="00D71C40" w:rsidRDefault="00D651AC" w:rsidP="00DB73E1">
            <w:pPr>
              <w:jc w:val="both"/>
              <w:rPr>
                <w:rFonts w:ascii="Arial" w:hAnsi="Arial" w:cs="Arial"/>
                <w:sz w:val="20"/>
                <w:szCs w:val="20"/>
                <w:lang w:val="lt-LT"/>
              </w:rPr>
            </w:pPr>
            <w:r w:rsidRPr="00D71C40">
              <w:rPr>
                <w:rFonts w:ascii="Arial" w:hAnsi="Arial" w:cs="Arial"/>
                <w:sz w:val="20"/>
                <w:szCs w:val="20"/>
                <w:lang w:val="lt-LT"/>
              </w:rPr>
              <w:t>Techninės užduoties 11.6 punkte nurodyta, kad inžinerinių tinklų rekonstravimo/apsaugojimo ar perkėlimo poreikis nustatomas projektavimo metu. Techninės specifikacijos 10.14 punktas pabrėžia, kad tiekėjas turi vengti inžinerinių tinklų iškėlimo, o kai be to neįmanoma – iškėlimo poreikis pagrįstas ir parengta šių tinklų iškėlimo / perkėlimo / apsaugojimo projekto dalis. Todėl teikiant pasiūlymą reikia įsivertinti šiuos projektavimo darbus.</w:t>
            </w:r>
          </w:p>
        </w:tc>
      </w:tr>
      <w:tr w:rsidR="00F44FA8" w:rsidRPr="00D71C40" w14:paraId="33D7BDCA" w14:textId="77777777" w:rsidTr="00820EC8">
        <w:tc>
          <w:tcPr>
            <w:tcW w:w="289" w:type="pct"/>
          </w:tcPr>
          <w:p w14:paraId="77B921B7" w14:textId="5D65CE77" w:rsidR="00F44FA8" w:rsidRPr="00D71C40" w:rsidRDefault="00F44FA8" w:rsidP="006817EA">
            <w:pPr>
              <w:jc w:val="center"/>
              <w:rPr>
                <w:rFonts w:ascii="Arial" w:hAnsi="Arial" w:cs="Arial"/>
                <w:sz w:val="22"/>
                <w:szCs w:val="22"/>
                <w:lang w:val="lt-LT"/>
              </w:rPr>
            </w:pPr>
            <w:r w:rsidRPr="00D71C40">
              <w:rPr>
                <w:rFonts w:ascii="Arial" w:hAnsi="Arial" w:cs="Arial"/>
                <w:sz w:val="22"/>
                <w:szCs w:val="22"/>
                <w:lang w:val="lt-LT"/>
              </w:rPr>
              <w:t>2.</w:t>
            </w:r>
          </w:p>
        </w:tc>
        <w:tc>
          <w:tcPr>
            <w:tcW w:w="2192" w:type="pct"/>
          </w:tcPr>
          <w:p w14:paraId="788A9239" w14:textId="0CEE444D" w:rsidR="00B92238" w:rsidRPr="00D71C40" w:rsidRDefault="00B92238" w:rsidP="00B92238">
            <w:pPr>
              <w:rPr>
                <w:rFonts w:ascii="Arial" w:hAnsi="Arial" w:cs="Arial"/>
                <w:sz w:val="22"/>
                <w:szCs w:val="22"/>
                <w:lang w:val="lt-LT"/>
              </w:rPr>
            </w:pPr>
            <w:r w:rsidRPr="00D71C40">
              <w:rPr>
                <w:rFonts w:ascii="Arial" w:hAnsi="Arial" w:cs="Arial"/>
                <w:sz w:val="22"/>
                <w:szCs w:val="22"/>
                <w:lang w:val="lt-LT"/>
              </w:rPr>
              <w:t xml:space="preserve">Esminiai komentarai viešojo pirkimo sutarčiai </w:t>
            </w:r>
            <w:r w:rsidRPr="00D71C40">
              <w:rPr>
                <w:rFonts w:ascii="Arial" w:hAnsi="Arial" w:cs="Arial"/>
                <w:b/>
                <w:bCs/>
                <w:i/>
                <w:iCs/>
                <w:sz w:val="22"/>
                <w:szCs w:val="22"/>
                <w:lang w:val="lt-LT"/>
              </w:rPr>
              <w:t>„Valstybinės reikšmės rajoninio kelio Nr. 2703 Pikeliai–Židikai ruožo nuo 0,00 iki 6,135 km kapitalinis remontas“</w:t>
            </w:r>
            <w:r w:rsidRPr="00D71C40">
              <w:rPr>
                <w:rFonts w:ascii="Arial" w:hAnsi="Arial" w:cs="Arial"/>
                <w:sz w:val="22"/>
                <w:szCs w:val="22"/>
                <w:lang w:val="lt-LT"/>
              </w:rPr>
              <w:t xml:space="preserve"> ir paklausimai PO</w:t>
            </w:r>
          </w:p>
          <w:p w14:paraId="6E7EAB17" w14:textId="77777777" w:rsidR="00B92238" w:rsidRPr="00D71C40" w:rsidRDefault="00B92238" w:rsidP="00F44FA8">
            <w:pPr>
              <w:jc w:val="both"/>
              <w:rPr>
                <w:rFonts w:ascii="Arial" w:hAnsi="Arial" w:cs="Arial"/>
                <w:b/>
                <w:bCs/>
                <w:sz w:val="22"/>
                <w:szCs w:val="22"/>
                <w:lang w:val="lt-LT"/>
              </w:rPr>
            </w:pPr>
          </w:p>
          <w:p w14:paraId="39C10375" w14:textId="77777777" w:rsidR="00B92238" w:rsidRPr="00D71C40" w:rsidRDefault="00B92238" w:rsidP="00F44FA8">
            <w:pPr>
              <w:jc w:val="both"/>
              <w:rPr>
                <w:rFonts w:ascii="Arial" w:hAnsi="Arial" w:cs="Arial"/>
                <w:b/>
                <w:bCs/>
                <w:sz w:val="22"/>
                <w:szCs w:val="22"/>
                <w:lang w:val="lt-LT"/>
              </w:rPr>
            </w:pPr>
          </w:p>
          <w:p w14:paraId="25AE9328" w14:textId="0C768460" w:rsidR="00F44FA8" w:rsidRPr="00D71C40" w:rsidRDefault="00F44FA8" w:rsidP="00F44FA8">
            <w:pPr>
              <w:jc w:val="both"/>
              <w:rPr>
                <w:rFonts w:ascii="Arial" w:hAnsi="Arial" w:cs="Arial"/>
                <w:sz w:val="22"/>
                <w:szCs w:val="22"/>
                <w:lang w:val="lt-LT"/>
              </w:rPr>
            </w:pPr>
            <w:r w:rsidRPr="00D71C40">
              <w:rPr>
                <w:rFonts w:ascii="Arial" w:hAnsi="Arial" w:cs="Arial"/>
                <w:b/>
                <w:bCs/>
                <w:sz w:val="22"/>
                <w:szCs w:val="22"/>
                <w:lang w:val="lt-LT"/>
              </w:rPr>
              <w:t>(1)</w:t>
            </w:r>
            <w:r w:rsidRPr="00D71C40">
              <w:rPr>
                <w:rFonts w:ascii="Arial" w:hAnsi="Arial" w:cs="Arial"/>
                <w:sz w:val="22"/>
                <w:szCs w:val="22"/>
                <w:lang w:val="lt-LT"/>
              </w:rPr>
              <w:t xml:space="preserve"> </w:t>
            </w:r>
            <w:r w:rsidRPr="00D71C40">
              <w:rPr>
                <w:rFonts w:ascii="Arial" w:hAnsi="Arial" w:cs="Arial"/>
                <w:b/>
                <w:bCs/>
                <w:sz w:val="22"/>
                <w:szCs w:val="22"/>
                <w:u w:val="single"/>
                <w:lang w:val="lt-LT"/>
              </w:rPr>
              <w:t>PAKLAUSIMAS PO</w:t>
            </w:r>
            <w:r w:rsidRPr="00D71C40">
              <w:rPr>
                <w:rFonts w:ascii="Arial" w:hAnsi="Arial" w:cs="Arial"/>
                <w:sz w:val="22"/>
                <w:szCs w:val="22"/>
                <w:lang w:val="lt-LT"/>
              </w:rPr>
              <w:t>:</w:t>
            </w:r>
          </w:p>
          <w:p w14:paraId="35503CE6" w14:textId="77777777" w:rsidR="00F44FA8" w:rsidRPr="00D71C40" w:rsidRDefault="00F44FA8" w:rsidP="00F44FA8">
            <w:pPr>
              <w:jc w:val="both"/>
              <w:rPr>
                <w:rFonts w:ascii="Arial" w:hAnsi="Arial" w:cs="Arial"/>
                <w:sz w:val="22"/>
                <w:szCs w:val="22"/>
                <w:lang w:val="lt-LT"/>
              </w:rPr>
            </w:pPr>
          </w:p>
          <w:p w14:paraId="623D1573"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Viešojo pirkimo 138 p. numatytas  Rangovo visų garantinio laikotarpio prievolių įvykdymo pagal pasirašytą Sutartį užtikrinimo pateikimas. Nurodytos banko garantijos ar laidavimo draudimo rašto suma arba Rangovo išduotos garantijos suma turi būti ne mažesnė kaip 5 (penki) procentai nuo faktiškai atliktų </w:t>
            </w:r>
            <w:r w:rsidRPr="00D71C40">
              <w:rPr>
                <w:rFonts w:ascii="Arial" w:hAnsi="Arial" w:cs="Arial"/>
                <w:sz w:val="22"/>
                <w:szCs w:val="22"/>
                <w:lang w:val="lt-LT"/>
              </w:rPr>
              <w:lastRenderedPageBreak/>
              <w:t xml:space="preserve">statybos darbų vertės (su PVM). Ši Rangovo pateikta garantinio laikotarpio įsipareigojimų įvykdymo užtikrinimo banko garantija ar laidavimo draudimo raštas arba Rangovo garantija turi galioti ne trumpiau Sutarties 128 punkte nurodyto garantinio termino, o </w:t>
            </w:r>
            <w:r w:rsidRPr="00D71C40">
              <w:rPr>
                <w:rFonts w:ascii="Arial" w:hAnsi="Arial" w:cs="Arial"/>
                <w:sz w:val="22"/>
                <w:szCs w:val="22"/>
                <w:u w:val="single"/>
                <w:lang w:val="lt-LT"/>
              </w:rPr>
              <w:t>būtent 5 (penkerius) metus po Rangovo atliktų statybos darbų perdavimo statytojui (Užsakovui) akto pasirašymo dienos</w:t>
            </w:r>
            <w:r w:rsidRPr="00D71C40">
              <w:rPr>
                <w:rFonts w:ascii="Arial" w:hAnsi="Arial" w:cs="Arial"/>
                <w:sz w:val="22"/>
                <w:szCs w:val="22"/>
                <w:lang w:val="lt-LT"/>
              </w:rPr>
              <w:t xml:space="preserve">. </w:t>
            </w:r>
          </w:p>
          <w:p w14:paraId="5C6CCB12" w14:textId="77777777" w:rsidR="00F44FA8" w:rsidRPr="00D71C40" w:rsidRDefault="00F44FA8" w:rsidP="00F44FA8">
            <w:pPr>
              <w:jc w:val="both"/>
              <w:rPr>
                <w:rFonts w:ascii="Arial" w:hAnsi="Arial" w:cs="Arial"/>
                <w:sz w:val="22"/>
                <w:szCs w:val="22"/>
                <w:lang w:val="lt-LT"/>
              </w:rPr>
            </w:pPr>
          </w:p>
          <w:p w14:paraId="54B759C3"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Atkreipiame dėmesį, jog Sutarties 138 p. prieštarauja imperatyviai nuostatai, įtvirtintai LR Statybos įstatymo 41 straipsnio 2 dalyje, kurioje nustatyta garantinių įsipareigojimų įvykdymo užtikrinimo trukmė - </w:t>
            </w:r>
            <w:r w:rsidRPr="00D71C40">
              <w:rPr>
                <w:rFonts w:ascii="Arial" w:hAnsi="Arial" w:cs="Arial"/>
                <w:b/>
                <w:bCs/>
                <w:sz w:val="22"/>
                <w:szCs w:val="22"/>
                <w:lang w:val="lt-LT"/>
              </w:rPr>
              <w:t>3 metai</w:t>
            </w:r>
            <w:r w:rsidRPr="00D71C40">
              <w:rPr>
                <w:rFonts w:ascii="Arial" w:hAnsi="Arial" w:cs="Arial"/>
                <w:sz w:val="22"/>
                <w:szCs w:val="22"/>
                <w:lang w:val="lt-LT"/>
              </w:rPr>
              <w:t xml:space="preserve">. Ši nuostata neprivalo koreliuoti su LR Civilinio kodekso 6.698 straipsnio 1 dalies 1 punkte nustatytais statybos darbų garantiniais terminais (5-10-20 metų), kadangi tai neatitiktų įstatymo leidėjo šia nuostata siektų tikslų: garantinis užtikrinimas nėra skirtas eliminuoti visoms garantinėms rizikoms, o tik toms, kurios iš praktikos pasitaiko dažniausiai, t.y. </w:t>
            </w:r>
            <w:r w:rsidRPr="00D71C40">
              <w:rPr>
                <w:rFonts w:ascii="Arial" w:hAnsi="Arial" w:cs="Arial"/>
                <w:b/>
                <w:bCs/>
                <w:sz w:val="22"/>
                <w:szCs w:val="22"/>
                <w:lang w:val="lt-LT"/>
              </w:rPr>
              <w:t>daugiausia defektų išaiškėja per pirmuosius 2-3 statinio eksploatacijos metus</w:t>
            </w:r>
            <w:r w:rsidRPr="00D71C40">
              <w:rPr>
                <w:rFonts w:ascii="Arial" w:hAnsi="Arial" w:cs="Arial"/>
                <w:sz w:val="22"/>
                <w:szCs w:val="22"/>
                <w:lang w:val="lt-LT"/>
              </w:rPr>
              <w:t xml:space="preserve">. Įstatymo leidėjas po konsultacijų su atitinkamomis asociacijomis sąmoningai įrašė 3 metų terminą įstatyme taip atliepdamas statybų sektoriuje per ilgus metus susiklosčiusią praktiką. Įvertinus išdėstytus argumentus, </w:t>
            </w:r>
            <w:r w:rsidRPr="00D71C40">
              <w:rPr>
                <w:rFonts w:ascii="Arial" w:hAnsi="Arial" w:cs="Arial"/>
                <w:b/>
                <w:bCs/>
                <w:sz w:val="22"/>
                <w:szCs w:val="22"/>
                <w:lang w:val="lt-LT"/>
              </w:rPr>
              <w:t>5 metų trukmės garantinis užtikrinimas viršija realius Sutarties poreikius ir jo įsigijimas kartu su darbais vertintinas kaip neracionalus pirkimui skirtų lėšų panaudojimas</w:t>
            </w:r>
            <w:r w:rsidRPr="00D71C40">
              <w:rPr>
                <w:rFonts w:ascii="Arial" w:hAnsi="Arial" w:cs="Arial"/>
                <w:sz w:val="22"/>
                <w:szCs w:val="22"/>
                <w:lang w:val="lt-LT"/>
              </w:rPr>
              <w:t>, todėl prašome patikslinti sąlygą, numatant Rangovo garantijos galiojimo terminą „3 (trejus) metus po Rangovo atliktų statybos darbų perdavimo statytojui (Užsakovui) akto pasirašymo dienos“.</w:t>
            </w:r>
          </w:p>
          <w:p w14:paraId="18FB8115" w14:textId="77777777" w:rsidR="00F44FA8" w:rsidRPr="00D71C40" w:rsidRDefault="00F44FA8" w:rsidP="00F44FA8">
            <w:pPr>
              <w:jc w:val="both"/>
              <w:rPr>
                <w:rFonts w:ascii="Arial" w:hAnsi="Arial" w:cs="Arial"/>
                <w:sz w:val="22"/>
                <w:szCs w:val="22"/>
                <w:lang w:val="lt-LT"/>
              </w:rPr>
            </w:pPr>
          </w:p>
          <w:p w14:paraId="0393C40C"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Taip pat atkreipiame dėmesį, jog minėtame LR Statybos įstatymo 41 straipsnio 2 dalyje numatytas 3 metų terminas yra imperatyvus. PO subjektyviai interpretuoja ir vertina, kad numatytas terminas yra „minimalus“. Įstatymo nuostatoje nėra aiškiai nurodyta, jog 3 metų terminas yra minimalus, taip pat, kad jis gali būti keičiamas.  </w:t>
            </w:r>
          </w:p>
          <w:p w14:paraId="56D4A36D" w14:textId="77777777" w:rsidR="00F44FA8" w:rsidRPr="00D71C40" w:rsidRDefault="00F44FA8" w:rsidP="00F44FA8">
            <w:pPr>
              <w:jc w:val="both"/>
              <w:rPr>
                <w:rFonts w:ascii="Arial" w:hAnsi="Arial" w:cs="Arial"/>
                <w:sz w:val="22"/>
                <w:szCs w:val="22"/>
                <w:lang w:val="lt-LT"/>
              </w:rPr>
            </w:pPr>
          </w:p>
          <w:p w14:paraId="368E66BD" w14:textId="77777777" w:rsidR="00F44FA8" w:rsidRPr="00D71C40" w:rsidRDefault="00F44FA8" w:rsidP="00F44FA8">
            <w:pPr>
              <w:jc w:val="both"/>
              <w:rPr>
                <w:rFonts w:ascii="Arial" w:hAnsi="Arial" w:cs="Arial"/>
                <w:sz w:val="22"/>
                <w:szCs w:val="22"/>
                <w:lang w:val="lt-LT"/>
              </w:rPr>
            </w:pPr>
          </w:p>
          <w:p w14:paraId="100827D8" w14:textId="77777777" w:rsidR="00F44FA8" w:rsidRPr="00D71C40" w:rsidRDefault="00F44FA8" w:rsidP="00F44FA8">
            <w:pPr>
              <w:jc w:val="both"/>
              <w:rPr>
                <w:rFonts w:ascii="Arial" w:hAnsi="Arial" w:cs="Arial"/>
                <w:sz w:val="22"/>
                <w:szCs w:val="22"/>
                <w:lang w:val="lt-LT"/>
              </w:rPr>
            </w:pPr>
          </w:p>
          <w:p w14:paraId="23ED5260" w14:textId="77777777" w:rsidR="00F44FA8" w:rsidRPr="00D71C40" w:rsidRDefault="00F44FA8" w:rsidP="00F44FA8">
            <w:pPr>
              <w:jc w:val="both"/>
              <w:rPr>
                <w:rFonts w:ascii="Arial" w:hAnsi="Arial" w:cs="Arial"/>
                <w:sz w:val="22"/>
                <w:szCs w:val="22"/>
                <w:lang w:val="lt-LT"/>
              </w:rPr>
            </w:pPr>
            <w:r w:rsidRPr="00D71C40">
              <w:rPr>
                <w:rFonts w:ascii="Arial" w:hAnsi="Arial" w:cs="Arial"/>
                <w:b/>
                <w:bCs/>
                <w:sz w:val="22"/>
                <w:szCs w:val="22"/>
                <w:lang w:val="lt-LT"/>
              </w:rPr>
              <w:lastRenderedPageBreak/>
              <w:t>(2)</w:t>
            </w:r>
            <w:r w:rsidRPr="00D71C40">
              <w:rPr>
                <w:rFonts w:ascii="Arial" w:hAnsi="Arial" w:cs="Arial"/>
                <w:sz w:val="22"/>
                <w:szCs w:val="22"/>
                <w:lang w:val="lt-LT"/>
              </w:rPr>
              <w:t xml:space="preserve"> </w:t>
            </w:r>
            <w:r w:rsidRPr="00D71C40">
              <w:rPr>
                <w:rFonts w:ascii="Arial" w:hAnsi="Arial" w:cs="Arial"/>
                <w:b/>
                <w:bCs/>
                <w:sz w:val="22"/>
                <w:szCs w:val="22"/>
                <w:u w:val="single"/>
                <w:lang w:val="lt-LT"/>
              </w:rPr>
              <w:t>PAKLAUSIMAS PO</w:t>
            </w:r>
            <w:r w:rsidRPr="00D71C40">
              <w:rPr>
                <w:rFonts w:ascii="Arial" w:hAnsi="Arial" w:cs="Arial"/>
                <w:sz w:val="22"/>
                <w:szCs w:val="22"/>
                <w:lang w:val="lt-LT"/>
              </w:rPr>
              <w:t>:</w:t>
            </w:r>
          </w:p>
          <w:p w14:paraId="627DFC99" w14:textId="77777777" w:rsidR="00F44FA8" w:rsidRPr="00D71C40" w:rsidRDefault="00F44FA8" w:rsidP="00F44FA8">
            <w:pPr>
              <w:jc w:val="both"/>
              <w:rPr>
                <w:rFonts w:ascii="Arial" w:hAnsi="Arial" w:cs="Arial"/>
                <w:sz w:val="22"/>
                <w:szCs w:val="22"/>
                <w:lang w:val="lt-LT"/>
              </w:rPr>
            </w:pPr>
          </w:p>
          <w:p w14:paraId="16505D9D"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Viešojo pirkimo sutarties 146 p. turi būti nurodomi subrangovai, kurie bus pasitelkiami Sutarties vykdymui.  Sutarties 147 punkte numatyta, jog: „Papildomų, Sutarties 146 punkte neišvardintų, subrangovų pasitelkimas galimas </w:t>
            </w:r>
            <w:r w:rsidRPr="00D71C40">
              <w:rPr>
                <w:rFonts w:ascii="Arial" w:hAnsi="Arial" w:cs="Arial"/>
                <w:sz w:val="22"/>
                <w:szCs w:val="22"/>
                <w:u w:val="single"/>
                <w:lang w:val="lt-LT"/>
              </w:rPr>
              <w:t>tik Užsakovo sutikimu</w:t>
            </w:r>
            <w:r w:rsidRPr="00D71C40">
              <w:rPr>
                <w:rFonts w:ascii="Arial" w:hAnsi="Arial" w:cs="Arial"/>
                <w:sz w:val="22"/>
                <w:szCs w:val="22"/>
                <w:lang w:val="lt-LT"/>
              </w:rPr>
              <w:t>,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24241652" w14:textId="77777777" w:rsidR="00F44FA8" w:rsidRPr="00D71C40" w:rsidRDefault="00F44FA8" w:rsidP="00F44FA8">
            <w:pPr>
              <w:jc w:val="both"/>
              <w:rPr>
                <w:rFonts w:ascii="Arial" w:hAnsi="Arial" w:cs="Arial"/>
                <w:sz w:val="22"/>
                <w:szCs w:val="22"/>
                <w:lang w:val="lt-LT"/>
              </w:rPr>
            </w:pPr>
          </w:p>
          <w:p w14:paraId="177909CE"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LR Viešųjų pirkimų įstatymo komentaro 88 straipsnio 1 dalis numato: „Perkančioji organizacija turi reikalauti, kad dalyvis savo pasiūlyme nurodytų, kokiai pirkimo sutarties daliai ir kokius subtiekėjus, </w:t>
            </w:r>
            <w:r w:rsidRPr="00D71C40">
              <w:rPr>
                <w:rFonts w:ascii="Arial" w:hAnsi="Arial" w:cs="Arial"/>
                <w:sz w:val="22"/>
                <w:szCs w:val="22"/>
                <w:u w:val="single"/>
                <w:lang w:val="lt-LT"/>
              </w:rPr>
              <w:t>jeigu jie yra žinomi</w:t>
            </w:r>
            <w:r w:rsidRPr="00D71C40">
              <w:rPr>
                <w:rFonts w:ascii="Arial" w:hAnsi="Arial" w:cs="Arial"/>
                <w:sz w:val="22"/>
                <w:szCs w:val="22"/>
                <w:lang w:val="lt-LT"/>
              </w:rPr>
              <w:t xml:space="preserve">, jis ketina pasitelkti“. Vadinasi, jeigu dalyvis pasiūlymo pateikimo metu negali konkrečiai įvardinti subrangovų dėl pagrįstų objektyvių aplinkybių, nereiškia, kad jis jų negali pasitelkti ir išviešinti Perkančiajai organizacijai (Užsakovui) vėliau. Visais atvejais dalyvis (Rangovas) supranta, kad pasitelkdamas subrangovą tam tikros Darbų dalies vykdymui, Rangovas atsako už visus pagal Sutartį prisiimtus įsipareigojimus, nepriklausomai nuo to, ar jiems vykdyti bus pasitelkiami subrangovai. Taip pat dalyvis nekvestionuoja ir supranta, kad pasitelkiami subrangovai turi atitikti konkurso sąlygose nurodytus kvalifikacinius reikalavimus. </w:t>
            </w:r>
          </w:p>
          <w:p w14:paraId="1979D84A" w14:textId="77777777" w:rsidR="00F44FA8" w:rsidRPr="00D71C40" w:rsidRDefault="00F44FA8" w:rsidP="00F44FA8">
            <w:pPr>
              <w:jc w:val="both"/>
              <w:rPr>
                <w:rFonts w:ascii="Arial" w:hAnsi="Arial" w:cs="Arial"/>
                <w:sz w:val="22"/>
                <w:szCs w:val="22"/>
                <w:lang w:val="lt-LT"/>
              </w:rPr>
            </w:pPr>
          </w:p>
          <w:p w14:paraId="726B480D"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u w:val="single"/>
                <w:lang w:val="lt-LT"/>
              </w:rPr>
              <w:t xml:space="preserve">Prašome paaiškinti, kokiais kriterijais vadovaudamasis Užsakovas turi teisę nepatvirtinti/neduoti sutikimo Rangovui pasitelkti nurodytą subrangovą (turima omenyje atvejai, kai subrangovai išviešinami jau po pasiūlymo pateikimo), jeigu subrangovai atitinka konkurso sąlygose nurodytus kvalifikacinius reikalavimus ir tiekėjas (dalyvis) pateikia deklaraciją dėl atitikimo nacionalinio saugumo reikalavimams, kurioje patvirtina, kad tiek jis, tiek jo Sutarties vykdymui </w:t>
            </w:r>
            <w:r w:rsidRPr="00D71C40">
              <w:rPr>
                <w:rFonts w:ascii="Arial" w:hAnsi="Arial" w:cs="Arial"/>
                <w:sz w:val="22"/>
                <w:szCs w:val="22"/>
                <w:u w:val="single"/>
                <w:lang w:val="lt-LT"/>
              </w:rPr>
              <w:lastRenderedPageBreak/>
              <w:t>pasitelkiami subrangovai atitinka minėtoje deklaracijoje nurodytus reikalavimus</w:t>
            </w:r>
            <w:r w:rsidRPr="00D71C40">
              <w:rPr>
                <w:rFonts w:ascii="Arial" w:hAnsi="Arial" w:cs="Arial"/>
                <w:sz w:val="22"/>
                <w:szCs w:val="22"/>
                <w:lang w:val="lt-LT"/>
              </w:rPr>
              <w:t>?</w:t>
            </w:r>
          </w:p>
          <w:p w14:paraId="18B80B45" w14:textId="77777777" w:rsidR="00F44FA8" w:rsidRPr="00D71C40" w:rsidRDefault="00F44FA8" w:rsidP="00F44FA8">
            <w:pPr>
              <w:jc w:val="both"/>
              <w:rPr>
                <w:rFonts w:ascii="Arial" w:hAnsi="Arial" w:cs="Arial"/>
                <w:sz w:val="22"/>
                <w:szCs w:val="22"/>
                <w:lang w:val="lt-LT"/>
              </w:rPr>
            </w:pPr>
          </w:p>
          <w:p w14:paraId="679502F2"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xml:space="preserve">Atkreiptinas dėmesys, kad nuosekliai plėtojamoje kasacinio teismo praktikoje išaiškinta, kad reikalavimo išviešinti subtiekėjus ir jų atliktinų darbų dalį tikslas – </w:t>
            </w:r>
            <w:r w:rsidRPr="00D71C40">
              <w:rPr>
                <w:rFonts w:ascii="Arial" w:hAnsi="Arial" w:cs="Arial"/>
                <w:sz w:val="22"/>
                <w:szCs w:val="22"/>
                <w:u w:val="single"/>
                <w:lang w:val="lt-LT"/>
              </w:rPr>
              <w:t>patikrinti, ar tiekėjo nurodyto konkretaus subtiekėjo kvalifikacija atitinka jo atliktinai darbų daliai keliamus reikalavimus</w:t>
            </w:r>
            <w:r w:rsidRPr="00D71C40">
              <w:rPr>
                <w:rFonts w:ascii="Arial" w:hAnsi="Arial" w:cs="Arial"/>
                <w:sz w:val="22"/>
                <w:szCs w:val="22"/>
                <w:lang w:val="lt-LT"/>
              </w:rPr>
              <w:t>. Atsižvelgiant į tai, siekiant objektyvumo, prašome patikslinti Viešojo pirkimo sutarties 147 punktą nurodant:</w:t>
            </w:r>
          </w:p>
          <w:p w14:paraId="5A9EF68C" w14:textId="77777777" w:rsidR="00F44FA8" w:rsidRPr="00D71C40" w:rsidRDefault="00F44FA8" w:rsidP="00F44FA8">
            <w:pPr>
              <w:jc w:val="both"/>
              <w:rPr>
                <w:rFonts w:ascii="Arial" w:hAnsi="Arial" w:cs="Arial"/>
                <w:sz w:val="22"/>
                <w:szCs w:val="22"/>
                <w:lang w:val="lt-LT"/>
              </w:rPr>
            </w:pPr>
          </w:p>
          <w:p w14:paraId="1F6543A2" w14:textId="77777777" w:rsidR="00F44FA8" w:rsidRPr="00D71C40" w:rsidRDefault="00F44FA8" w:rsidP="00F44FA8">
            <w:pPr>
              <w:jc w:val="both"/>
              <w:rPr>
                <w:rFonts w:ascii="Arial" w:hAnsi="Arial" w:cs="Arial"/>
                <w:sz w:val="22"/>
                <w:szCs w:val="22"/>
                <w:lang w:val="lt-LT"/>
              </w:rPr>
            </w:pPr>
            <w:r w:rsidRPr="00D71C40">
              <w:rPr>
                <w:rFonts w:ascii="Arial" w:hAnsi="Arial" w:cs="Arial"/>
                <w:sz w:val="22"/>
                <w:szCs w:val="22"/>
                <w:lang w:val="lt-LT"/>
              </w:rPr>
              <w:t>„ 147. Sutarties galiojimo metu Sutarties 146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Sutarties 146 punkte 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 Užsakovas turi teisę neduoti sutikimo minėtu atveju, jeigu nurodyto konkretaus subrangovo kvalifikacija neatitinka jo atliktinai darbų daliai keliamus reikalavimus pagal viešojo konkurso sąlygas.“</w:t>
            </w:r>
          </w:p>
          <w:p w14:paraId="0AE0717A" w14:textId="77777777" w:rsidR="00F44FA8" w:rsidRPr="00D71C40" w:rsidRDefault="00F44FA8" w:rsidP="00F44FA8">
            <w:pPr>
              <w:jc w:val="both"/>
              <w:rPr>
                <w:rFonts w:ascii="Arial" w:hAnsi="Arial" w:cs="Arial"/>
                <w:sz w:val="22"/>
                <w:szCs w:val="22"/>
                <w:lang w:val="lt-LT"/>
              </w:rPr>
            </w:pPr>
          </w:p>
          <w:p w14:paraId="5F6DFDB4" w14:textId="77777777" w:rsidR="00F44FA8" w:rsidRPr="00D71C40" w:rsidRDefault="00F44FA8" w:rsidP="00F44FA8">
            <w:pPr>
              <w:jc w:val="both"/>
              <w:rPr>
                <w:rFonts w:ascii="Arial" w:hAnsi="Arial" w:cs="Arial"/>
                <w:sz w:val="22"/>
                <w:szCs w:val="22"/>
                <w:lang w:val="lt-LT"/>
              </w:rPr>
            </w:pPr>
          </w:p>
          <w:p w14:paraId="144F632B" w14:textId="77777777" w:rsidR="00F44FA8" w:rsidRPr="00D71C40" w:rsidRDefault="00F44FA8" w:rsidP="00324B49">
            <w:pPr>
              <w:jc w:val="both"/>
              <w:rPr>
                <w:rFonts w:ascii="Arial" w:hAnsi="Arial" w:cs="Arial"/>
                <w:sz w:val="22"/>
                <w:szCs w:val="22"/>
                <w:lang w:val="lt-LT"/>
              </w:rPr>
            </w:pPr>
          </w:p>
        </w:tc>
        <w:tc>
          <w:tcPr>
            <w:tcW w:w="2519" w:type="pct"/>
          </w:tcPr>
          <w:p w14:paraId="2E18AFC3" w14:textId="77777777" w:rsidR="00F44FA8" w:rsidRPr="00D71C40" w:rsidRDefault="00F44FA8" w:rsidP="00DB73E1">
            <w:pPr>
              <w:jc w:val="both"/>
              <w:rPr>
                <w:rFonts w:ascii="Arial" w:hAnsi="Arial" w:cs="Arial"/>
                <w:sz w:val="22"/>
                <w:szCs w:val="22"/>
                <w:lang w:val="lt-LT"/>
              </w:rPr>
            </w:pPr>
          </w:p>
          <w:p w14:paraId="3037A959" w14:textId="77777777" w:rsidR="00820EC8" w:rsidRPr="00D71C40" w:rsidRDefault="00820EC8" w:rsidP="00DB73E1">
            <w:pPr>
              <w:jc w:val="both"/>
              <w:rPr>
                <w:rFonts w:ascii="Arial" w:hAnsi="Arial" w:cs="Arial"/>
                <w:sz w:val="22"/>
                <w:szCs w:val="22"/>
                <w:lang w:val="lt-LT"/>
              </w:rPr>
            </w:pPr>
          </w:p>
          <w:p w14:paraId="5EAD178F" w14:textId="77777777" w:rsidR="00820EC8" w:rsidRPr="00D71C40" w:rsidRDefault="00820EC8" w:rsidP="00DB73E1">
            <w:pPr>
              <w:jc w:val="both"/>
              <w:rPr>
                <w:rFonts w:ascii="Arial" w:hAnsi="Arial" w:cs="Arial"/>
                <w:sz w:val="22"/>
                <w:szCs w:val="22"/>
                <w:lang w:val="lt-LT"/>
              </w:rPr>
            </w:pPr>
          </w:p>
          <w:p w14:paraId="58E7F013" w14:textId="77777777" w:rsidR="00820EC8" w:rsidRPr="00D71C40" w:rsidRDefault="00820EC8" w:rsidP="00DB73E1">
            <w:pPr>
              <w:jc w:val="both"/>
              <w:rPr>
                <w:rFonts w:ascii="Arial" w:hAnsi="Arial" w:cs="Arial"/>
                <w:sz w:val="22"/>
                <w:szCs w:val="22"/>
                <w:lang w:val="lt-LT"/>
              </w:rPr>
            </w:pPr>
          </w:p>
          <w:p w14:paraId="62011D40" w14:textId="77777777" w:rsidR="00820EC8" w:rsidRPr="00D71C40" w:rsidRDefault="00820EC8" w:rsidP="00DB73E1">
            <w:pPr>
              <w:jc w:val="both"/>
              <w:rPr>
                <w:rFonts w:ascii="Arial" w:hAnsi="Arial" w:cs="Arial"/>
                <w:sz w:val="22"/>
                <w:szCs w:val="22"/>
                <w:lang w:val="lt-LT"/>
              </w:rPr>
            </w:pPr>
          </w:p>
          <w:p w14:paraId="6EA553B2" w14:textId="5F7DE734" w:rsidR="00820EC8" w:rsidRPr="00D71C40" w:rsidRDefault="00820EC8" w:rsidP="00820EC8">
            <w:pPr>
              <w:pStyle w:val="ListParagraph"/>
              <w:numPr>
                <w:ilvl w:val="0"/>
                <w:numId w:val="18"/>
              </w:numPr>
              <w:tabs>
                <w:tab w:val="left" w:pos="311"/>
              </w:tabs>
              <w:ind w:left="0" w:firstLine="27"/>
              <w:jc w:val="both"/>
              <w:rPr>
                <w:rFonts w:ascii="Arial" w:eastAsia="Arial" w:hAnsi="Arial" w:cs="Arial"/>
                <w:sz w:val="22"/>
                <w:szCs w:val="22"/>
              </w:rPr>
            </w:pPr>
            <w:r w:rsidRPr="00D71C40">
              <w:rPr>
                <w:rFonts w:ascii="Arial" w:eastAsia="Arial" w:hAnsi="Arial" w:cs="Arial"/>
                <w:sz w:val="22"/>
                <w:szCs w:val="22"/>
              </w:rPr>
              <w:t xml:space="preserve">Sutarties nuostata nebus keičiama. Perkančioji organizacija pažymi, kad Lietuvos Respublikos statybos įstatymo 41 straipsnio 2 dalyje įtvirtintas 3 metų garantinio laikotarpio įsipareigojimų įvykdymo užtikrinimo dokumento terminas nėra imperatyvus, tačiau vertintinas kaip minimalus, kaip ir </w:t>
            </w:r>
            <w:r w:rsidRPr="00D71C40">
              <w:rPr>
                <w:rFonts w:ascii="Arial" w:eastAsia="Arial" w:hAnsi="Arial" w:cs="Arial"/>
                <w:b/>
                <w:bCs/>
                <w:sz w:val="22"/>
                <w:szCs w:val="22"/>
              </w:rPr>
              <w:t>apibrėžta šio teisės akto projekto</w:t>
            </w:r>
            <w:r w:rsidRPr="00D71C40">
              <w:rPr>
                <w:rFonts w:ascii="Arial" w:eastAsia="Arial" w:hAnsi="Arial" w:cs="Arial"/>
                <w:sz w:val="22"/>
                <w:szCs w:val="22"/>
              </w:rPr>
              <w:t xml:space="preserve"> </w:t>
            </w:r>
            <w:r w:rsidRPr="00D71C40">
              <w:rPr>
                <w:rFonts w:ascii="Arial" w:eastAsia="Arial" w:hAnsi="Arial" w:cs="Arial"/>
                <w:b/>
                <w:bCs/>
                <w:sz w:val="22"/>
                <w:szCs w:val="22"/>
              </w:rPr>
              <w:t>aiškinamajame rašte</w:t>
            </w:r>
            <w:r w:rsidRPr="00D71C40">
              <w:rPr>
                <w:rFonts w:ascii="Arial" w:eastAsia="Arial" w:hAnsi="Arial" w:cs="Arial"/>
                <w:sz w:val="22"/>
                <w:szCs w:val="22"/>
              </w:rPr>
              <w:t xml:space="preserve">.  </w:t>
            </w:r>
          </w:p>
          <w:p w14:paraId="5788BBE3" w14:textId="77777777" w:rsidR="00820EC8" w:rsidRPr="00D71C40" w:rsidRDefault="00820EC8" w:rsidP="00820EC8">
            <w:pPr>
              <w:jc w:val="both"/>
              <w:rPr>
                <w:rFonts w:ascii="Arial" w:eastAsia="Arial" w:hAnsi="Arial" w:cs="Arial"/>
                <w:sz w:val="22"/>
                <w:szCs w:val="22"/>
                <w:lang w:val="lt-LT"/>
              </w:rPr>
            </w:pPr>
            <w:r w:rsidRPr="00D71C40">
              <w:rPr>
                <w:rFonts w:ascii="Arial" w:eastAsia="Arial" w:hAnsi="Arial" w:cs="Arial"/>
                <w:sz w:val="22"/>
                <w:szCs w:val="22"/>
                <w:lang w:val="lt-LT"/>
              </w:rPr>
              <w:t xml:space="preserve">Perkančiosios organizacijos praktikoje nustatyta, jog garantinio laikotarpio metu statybos rangos darbų defektai atsirasdavo ne tik pirmaisiais trejais metais, bet taip pat ketvirtaisiais bei penktaisiais metais. Įvertinus minėtą </w:t>
            </w:r>
            <w:r w:rsidRPr="00D71C40">
              <w:rPr>
                <w:rFonts w:ascii="Arial" w:eastAsia="Arial" w:hAnsi="Arial" w:cs="Arial"/>
                <w:sz w:val="22"/>
                <w:szCs w:val="22"/>
                <w:lang w:val="lt-LT"/>
              </w:rPr>
              <w:lastRenderedPageBreak/>
              <w:t xml:space="preserve">kontekstą, spręstina, kad 5 metų garantinio laikotarpio įsipareigojimų užtikrinimo trukmė – laikytina pagrįsta ir būtina priemone saugant viešąjį interesą. Atkreiptinas dėmesys, kad pirkimo vertė yra didelė, pirkimo objektas susideda iš komplekso įvairių sprendinių. Todėl priešingai, nei teigiama klausime, tarp Lietuvos Respublikos civilinio kodekso 6.698 straipsnio 1 dalyje įtvirtintų garantinių terminų ir Statybos įstatymo 41 straipsnio 2 dalyje įtvirtinto garantinio laikotarpio užtikrinimo dokumento termino yra tiesioginis koreliacinis ryšys. Pabrėžtina, be kita ko, kad </w:t>
            </w:r>
            <w:r w:rsidRPr="00D71C40">
              <w:rPr>
                <w:rFonts w:ascii="Arial" w:eastAsia="Arial" w:hAnsi="Arial" w:cs="Arial"/>
                <w:b/>
                <w:bCs/>
                <w:sz w:val="22"/>
                <w:szCs w:val="22"/>
                <w:lang w:val="lt-LT"/>
              </w:rPr>
              <w:t>STR 1.05.01:2017</w:t>
            </w:r>
            <w:r w:rsidRPr="00D71C40">
              <w:rPr>
                <w:rFonts w:ascii="Arial" w:eastAsia="Arial" w:hAnsi="Arial" w:cs="Arial"/>
                <w:sz w:val="22"/>
                <w:szCs w:val="22"/>
                <w:lang w:val="lt-LT"/>
              </w:rPr>
              <w:t xml:space="preserve"> „Statybą leidžiantys dokumentai. Statybos užbaigimas. Statybos sustabdymas. Nebaigto statinio registravimas ir perleidimas. Savavališkos statybos padarinių šalinimas. Statybos pagal neteisėtai išduotą statybą leidžiantį dokumentą padarinių šalinimas“ 61.10 punkte konkretizuojama Statybos įstatymo 41 straipsnio 2 dalies nuostata ir eksplicitiškai paaiškinta, kad garantinio laikotarpio užtikrinimo dokumentas turi būti išduotas </w:t>
            </w:r>
            <w:r w:rsidRPr="00D71C40">
              <w:rPr>
                <w:rFonts w:ascii="Arial" w:eastAsia="Arial" w:hAnsi="Arial" w:cs="Arial"/>
                <w:b/>
                <w:bCs/>
                <w:sz w:val="22"/>
                <w:szCs w:val="22"/>
                <w:u w:val="single"/>
                <w:lang w:val="lt-LT"/>
              </w:rPr>
              <w:t>ne trumpesniam kaip 3 (trejų) metų</w:t>
            </w:r>
            <w:r w:rsidRPr="00D71C40">
              <w:rPr>
                <w:rFonts w:ascii="Arial" w:eastAsia="Arial" w:hAnsi="Arial" w:cs="Arial"/>
                <w:sz w:val="22"/>
                <w:szCs w:val="22"/>
                <w:lang w:val="lt-LT"/>
              </w:rPr>
              <w:t xml:space="preserve"> laikotarpiui. </w:t>
            </w:r>
          </w:p>
          <w:p w14:paraId="23A341D5" w14:textId="77777777" w:rsidR="00820EC8" w:rsidRPr="00D71C40" w:rsidRDefault="00820EC8" w:rsidP="00820EC8">
            <w:pPr>
              <w:pStyle w:val="ListParagraph"/>
              <w:tabs>
                <w:tab w:val="left" w:pos="264"/>
                <w:tab w:val="left" w:pos="408"/>
              </w:tabs>
              <w:ind w:left="0"/>
              <w:jc w:val="both"/>
              <w:rPr>
                <w:rFonts w:ascii="Arial" w:eastAsia="Arial" w:hAnsi="Arial" w:cs="Arial"/>
                <w:sz w:val="22"/>
                <w:szCs w:val="22"/>
              </w:rPr>
            </w:pPr>
            <w:r w:rsidRPr="00D71C40">
              <w:rPr>
                <w:rFonts w:ascii="Arial" w:eastAsia="Arial" w:hAnsi="Arial" w:cs="Arial"/>
                <w:sz w:val="22"/>
                <w:szCs w:val="22"/>
              </w:rPr>
              <w:t>Įstatymas nedraudžia Perkančiajai organizacijai taikyti aukštesnius, nei minimalūs įstatyme nustatyti, reikalavimus, siekiant užtikrinti viešąjį interesą. Įvertinus aukščiau išdėstytus argumentus, darytina išvada, kad sutartyje numatyta 5 metų garantinio laikotarpio užtikrinimo dokumento trukmė ne tik nepažeidžia teisės aktų reikalavimų, tačiau užtikrina viešąjį interesą  ir vertintina kaip racionalus pirkimui skirtų lėšų panaudojimas.</w:t>
            </w:r>
          </w:p>
          <w:p w14:paraId="1DE7B0DE"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27005331"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39FEA09D"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416EF188"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7C156901"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73271F56"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362B2819"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21ECFE06"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1120D94D"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26023710"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34766075"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29CF4631"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0153349D"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1AA90442"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01D216E2"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5588C0AA" w14:textId="77777777" w:rsidR="00CC35DE" w:rsidRPr="00D71C40" w:rsidRDefault="00CC35DE" w:rsidP="00820EC8">
            <w:pPr>
              <w:pStyle w:val="ListParagraph"/>
              <w:tabs>
                <w:tab w:val="left" w:pos="264"/>
                <w:tab w:val="left" w:pos="408"/>
              </w:tabs>
              <w:ind w:left="0"/>
              <w:jc w:val="both"/>
              <w:rPr>
                <w:rFonts w:ascii="Arial" w:eastAsiaTheme="minorHAnsi" w:hAnsi="Arial" w:cs="Arial"/>
                <w:sz w:val="22"/>
                <w:szCs w:val="22"/>
              </w:rPr>
            </w:pPr>
          </w:p>
          <w:p w14:paraId="449C1B7F" w14:textId="2989E3D2" w:rsidR="00CC35DE" w:rsidRPr="00D71C40" w:rsidRDefault="00D71C40" w:rsidP="00D71C40">
            <w:pPr>
              <w:pStyle w:val="ListParagraph"/>
              <w:numPr>
                <w:ilvl w:val="0"/>
                <w:numId w:val="18"/>
              </w:numPr>
              <w:tabs>
                <w:tab w:val="left" w:pos="264"/>
                <w:tab w:val="left" w:pos="408"/>
              </w:tabs>
              <w:ind w:left="-114" w:firstLine="141"/>
              <w:jc w:val="both"/>
              <w:rPr>
                <w:rFonts w:ascii="Arial" w:eastAsiaTheme="minorHAnsi" w:hAnsi="Arial" w:cs="Arial"/>
                <w:sz w:val="22"/>
                <w:szCs w:val="22"/>
              </w:rPr>
            </w:pPr>
            <w:r w:rsidRPr="00D71C40">
              <w:rPr>
                <w:rFonts w:ascii="Arial" w:eastAsiaTheme="minorHAnsi" w:hAnsi="Arial" w:cs="Arial"/>
                <w:sz w:val="22"/>
                <w:szCs w:val="22"/>
              </w:rPr>
              <w:lastRenderedPageBreak/>
              <w:t xml:space="preserve">Sutarties punktas tikslinamas nebus. LR Viešųjų pirkimų įstatymo (toliau – LR VPĮ) 88 straipsnio 1 dalyje yra </w:t>
            </w:r>
            <w:r w:rsidRPr="00D71C40">
              <w:rPr>
                <w:rFonts w:ascii="Arial" w:eastAsiaTheme="minorHAnsi" w:hAnsi="Arial" w:cs="Arial"/>
                <w:b/>
                <w:bCs/>
                <w:sz w:val="22"/>
                <w:szCs w:val="22"/>
              </w:rPr>
              <w:t>įtvirtintas reikalavimas</w:t>
            </w:r>
            <w:r w:rsidRPr="00D71C40">
              <w:rPr>
                <w:rFonts w:ascii="Arial" w:eastAsiaTheme="minorHAnsi" w:hAnsi="Arial" w:cs="Arial"/>
                <w:sz w:val="22"/>
                <w:szCs w:val="22"/>
              </w:rPr>
              <w:t xml:space="preserve"> nurodyti pirkimo sutarties vykdymui pasitelkiamus subtiekėjus – pamatinė subrangos teisinius santykius reglamentuojanti teisės norma. Nors nuosekliai išplėtota kasacinio teismo praktika iš esmės siejama su subtiekėjų kvalifikacijos ar kitų reikalavimų tikrinimu, Viešųjų pirkimų tarnybos nuomone, VPĮ 88 straipsnio 1 dalies prasme tiekėjai privalo išviešinti visus subtiekėjus, taip pat ir tuos, kurių pajėgumais pirkime nesiremia ir kurių kvalifikacijos ar kitų pirkimo sąlygose nustatytų reikalavimų atitiktis nėra tikrinama. Tiekėjas, dalyvaudamas pirkime, žino (privalo žinoti), ar vykdant pirkimo sutartį jam bus reikalingi papildomi resursai, ar pirkimo sutartį vykdys tik savo jėgomis, jeigu papildomi resursai tiekėjui bus reikalingi, jis iš anksto turi ruoštis pirkimui ir šių papildomų resursų ieškoti. Taigi, teikdamas pasiūlymą, tiekėjas turėtų žinoti, kokiai pirkimo sutarties daliai ir kokius subtiekėjus jis pasitelks pirkimo sutarties vykdymui ir </w:t>
            </w:r>
            <w:r w:rsidRPr="00D71C40">
              <w:rPr>
                <w:rFonts w:ascii="Arial" w:eastAsiaTheme="minorHAnsi" w:hAnsi="Arial" w:cs="Arial"/>
                <w:b/>
                <w:bCs/>
                <w:sz w:val="22"/>
                <w:szCs w:val="22"/>
              </w:rPr>
              <w:t>tik išimtiniais atvejais</w:t>
            </w:r>
            <w:r w:rsidRPr="00D71C40">
              <w:rPr>
                <w:rFonts w:ascii="Arial" w:eastAsiaTheme="minorHAnsi" w:hAnsi="Arial" w:cs="Arial"/>
                <w:sz w:val="22"/>
                <w:szCs w:val="22"/>
              </w:rPr>
              <w:t xml:space="preserve"> šios informacijos gali nepateikti. Todėl Perkančioji organizacija, spręsdama leidimo/sutikimo pasitelkti subrangovą (-us) sutarties vykdymo metu klausimą, privalo vertinti susiklosčiusios situacijos išimtinumą, t.y. ar buvo pirkimo metu išviešintas faktas apie planuojamą sutarties vykdymą ne tik rangovo pajėgumais (bet dėl objektyvių priežasčių nebuvo žinomi konkretūs subrangovai), ar subrangovo (-ų) pasitelkimo priežastys yra pakankamos, objektyvios, ar subrangovo pasitelkimas yra būtinas ir ar apie būtinumą pasitelkti subrangovą (-us) (ne)buvo žinoma pasiūlymo pateikimo metu. Vien subrangovo (-ų) atitikimo kvalifikaciniams reikalavimams Perkančiosios organizacijos leidimui/sutikimui pasitelkti konkretų subrangovą išduoti nepakanka.</w:t>
            </w:r>
          </w:p>
        </w:tc>
      </w:tr>
    </w:tbl>
    <w:p w14:paraId="710F930C" w14:textId="77777777" w:rsidR="00163795" w:rsidRPr="00D71C40" w:rsidRDefault="00163795" w:rsidP="00163795">
      <w:pPr>
        <w:pStyle w:val="NoSpacing"/>
        <w:jc w:val="both"/>
        <w:rPr>
          <w:rFonts w:ascii="Arial" w:hAnsi="Arial" w:cs="Arial"/>
          <w:sz w:val="18"/>
          <w:szCs w:val="18"/>
        </w:rPr>
      </w:pPr>
      <w:r w:rsidRPr="00D71C40">
        <w:rPr>
          <w:rFonts w:ascii="Arial" w:hAnsi="Arial" w:cs="Arial"/>
          <w:sz w:val="18"/>
          <w:szCs w:val="18"/>
        </w:rPr>
        <w:lastRenderedPageBreak/>
        <w:t>* 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D71C40" w:rsidRDefault="00163795" w:rsidP="00163795">
      <w:pPr>
        <w:pStyle w:val="NoSpacing"/>
        <w:jc w:val="both"/>
        <w:rPr>
          <w:rFonts w:ascii="Arial" w:hAnsi="Arial" w:cs="Arial"/>
          <w:sz w:val="18"/>
          <w:szCs w:val="18"/>
        </w:rPr>
      </w:pPr>
      <w:r w:rsidRPr="00D71C40">
        <w:rPr>
          <w:rFonts w:ascii="Arial" w:hAnsi="Arial" w:cs="Arial"/>
          <w:sz w:val="18"/>
          <w:szCs w:val="18"/>
        </w:rPr>
        <w:t>**Čia ir kitur tiekėjo (-ų) prašymo (-ų) paaiškinti / patikslinti pirkimo dokumentus tekstas neredaguotas.</w:t>
      </w:r>
    </w:p>
    <w:p w14:paraId="39CDD054" w14:textId="77777777" w:rsidR="00633F74" w:rsidRPr="00D71C40" w:rsidRDefault="00633F74" w:rsidP="00163795">
      <w:pPr>
        <w:pStyle w:val="NoSpacing"/>
        <w:jc w:val="both"/>
        <w:rPr>
          <w:rFonts w:ascii="Arial" w:hAnsi="Arial" w:cs="Arial"/>
          <w:sz w:val="18"/>
          <w:szCs w:val="18"/>
        </w:rPr>
      </w:pPr>
    </w:p>
    <w:p w14:paraId="3FBE8D9E" w14:textId="77777777" w:rsidR="00633F74" w:rsidRPr="00D71C40" w:rsidRDefault="00633F74" w:rsidP="00163795">
      <w:pPr>
        <w:pStyle w:val="NoSpacing"/>
        <w:jc w:val="both"/>
        <w:rPr>
          <w:rFonts w:ascii="Arial" w:hAnsi="Arial" w:cs="Arial"/>
          <w:sz w:val="18"/>
          <w:szCs w:val="18"/>
        </w:rPr>
      </w:pPr>
    </w:p>
    <w:sectPr w:rsidR="00633F74" w:rsidRPr="00D71C40" w:rsidSect="00F07AF3">
      <w:headerReference w:type="default" r:id="rId10"/>
      <w:footerReference w:type="default" r:id="rId11"/>
      <w:pgSz w:w="16838" w:h="11906" w:orient="landscape"/>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D46A" w14:textId="77777777" w:rsidR="00613BFC" w:rsidRDefault="00613BFC">
      <w:r>
        <w:separator/>
      </w:r>
    </w:p>
  </w:endnote>
  <w:endnote w:type="continuationSeparator" w:id="0">
    <w:p w14:paraId="158CCF1F" w14:textId="77777777" w:rsidR="00613BFC" w:rsidRDefault="0061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74C6" w14:textId="77777777" w:rsidR="00613BFC" w:rsidRDefault="00613BFC">
      <w:r>
        <w:separator/>
      </w:r>
    </w:p>
  </w:footnote>
  <w:footnote w:type="continuationSeparator" w:id="0">
    <w:p w14:paraId="2EF64A6A" w14:textId="77777777" w:rsidR="00613BFC" w:rsidRDefault="0061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D9A"/>
    <w:multiLevelType w:val="hybridMultilevel"/>
    <w:tmpl w:val="DF52D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71ADB"/>
    <w:multiLevelType w:val="hybridMultilevel"/>
    <w:tmpl w:val="1C3A4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B95903"/>
    <w:multiLevelType w:val="hybridMultilevel"/>
    <w:tmpl w:val="DF52D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1123FF"/>
    <w:multiLevelType w:val="hybridMultilevel"/>
    <w:tmpl w:val="78A83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372B38"/>
    <w:multiLevelType w:val="hybridMultilevel"/>
    <w:tmpl w:val="57780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7E102D"/>
    <w:multiLevelType w:val="hybridMultilevel"/>
    <w:tmpl w:val="CBE6D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57ECB"/>
    <w:multiLevelType w:val="multilevel"/>
    <w:tmpl w:val="DF3CA1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9"/>
  </w:num>
  <w:num w:numId="2" w16cid:durableId="1416242371">
    <w:abstractNumId w:val="17"/>
  </w:num>
  <w:num w:numId="3" w16cid:durableId="2060394811">
    <w:abstractNumId w:val="4"/>
  </w:num>
  <w:num w:numId="4" w16cid:durableId="268586295">
    <w:abstractNumId w:val="0"/>
  </w:num>
  <w:num w:numId="5" w16cid:durableId="49039935">
    <w:abstractNumId w:val="13"/>
  </w:num>
  <w:num w:numId="6" w16cid:durableId="546793027">
    <w:abstractNumId w:val="14"/>
  </w:num>
  <w:num w:numId="7" w16cid:durableId="158235238">
    <w:abstractNumId w:val="12"/>
  </w:num>
  <w:num w:numId="8" w16cid:durableId="607348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6"/>
  </w:num>
  <w:num w:numId="11" w16cid:durableId="963853461">
    <w:abstractNumId w:val="15"/>
  </w:num>
  <w:num w:numId="12" w16cid:durableId="1664160573">
    <w:abstractNumId w:val="6"/>
  </w:num>
  <w:num w:numId="13" w16cid:durableId="810682112">
    <w:abstractNumId w:val="11"/>
  </w:num>
  <w:num w:numId="14" w16cid:durableId="2081168650">
    <w:abstractNumId w:val="2"/>
  </w:num>
  <w:num w:numId="15" w16cid:durableId="191119396">
    <w:abstractNumId w:val="5"/>
  </w:num>
  <w:num w:numId="16" w16cid:durableId="1762531693">
    <w:abstractNumId w:val="7"/>
  </w:num>
  <w:num w:numId="17" w16cid:durableId="1848976319">
    <w:abstractNumId w:val="3"/>
  </w:num>
  <w:num w:numId="18" w16cid:durableId="427116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06E50"/>
    <w:rsid w:val="0002488F"/>
    <w:rsid w:val="00031539"/>
    <w:rsid w:val="00050B8B"/>
    <w:rsid w:val="000653A1"/>
    <w:rsid w:val="00073868"/>
    <w:rsid w:val="0009623D"/>
    <w:rsid w:val="000A09FE"/>
    <w:rsid w:val="000B4794"/>
    <w:rsid w:val="000F69DD"/>
    <w:rsid w:val="00100585"/>
    <w:rsid w:val="001125EB"/>
    <w:rsid w:val="0011595C"/>
    <w:rsid w:val="001278D2"/>
    <w:rsid w:val="0015372F"/>
    <w:rsid w:val="00154988"/>
    <w:rsid w:val="00162BB4"/>
    <w:rsid w:val="00163795"/>
    <w:rsid w:val="001709C5"/>
    <w:rsid w:val="00172C09"/>
    <w:rsid w:val="00175DD4"/>
    <w:rsid w:val="00196C26"/>
    <w:rsid w:val="001A5752"/>
    <w:rsid w:val="001B30AF"/>
    <w:rsid w:val="001C2BDB"/>
    <w:rsid w:val="001E4B34"/>
    <w:rsid w:val="001E745E"/>
    <w:rsid w:val="002146F1"/>
    <w:rsid w:val="00216EB3"/>
    <w:rsid w:val="00223299"/>
    <w:rsid w:val="00227E62"/>
    <w:rsid w:val="0023360C"/>
    <w:rsid w:val="0029178F"/>
    <w:rsid w:val="00297970"/>
    <w:rsid w:val="002A10A1"/>
    <w:rsid w:val="002A585A"/>
    <w:rsid w:val="002C091E"/>
    <w:rsid w:val="002D6BA2"/>
    <w:rsid w:val="002F39A2"/>
    <w:rsid w:val="00311E1C"/>
    <w:rsid w:val="00312795"/>
    <w:rsid w:val="00313393"/>
    <w:rsid w:val="00314504"/>
    <w:rsid w:val="00320BF0"/>
    <w:rsid w:val="00324B49"/>
    <w:rsid w:val="00340532"/>
    <w:rsid w:val="00342D1A"/>
    <w:rsid w:val="00342E29"/>
    <w:rsid w:val="003452BB"/>
    <w:rsid w:val="00355836"/>
    <w:rsid w:val="00366CD8"/>
    <w:rsid w:val="00380118"/>
    <w:rsid w:val="0038074D"/>
    <w:rsid w:val="003878F0"/>
    <w:rsid w:val="003A210F"/>
    <w:rsid w:val="003A53EA"/>
    <w:rsid w:val="003E7573"/>
    <w:rsid w:val="003F31D4"/>
    <w:rsid w:val="00402B4B"/>
    <w:rsid w:val="00405616"/>
    <w:rsid w:val="00410FE7"/>
    <w:rsid w:val="00412094"/>
    <w:rsid w:val="0041688E"/>
    <w:rsid w:val="00434FB7"/>
    <w:rsid w:val="00440194"/>
    <w:rsid w:val="004615E1"/>
    <w:rsid w:val="00466E79"/>
    <w:rsid w:val="00470B8D"/>
    <w:rsid w:val="00471B5F"/>
    <w:rsid w:val="00475E0E"/>
    <w:rsid w:val="00477AEA"/>
    <w:rsid w:val="00494A23"/>
    <w:rsid w:val="00496229"/>
    <w:rsid w:val="004A3692"/>
    <w:rsid w:val="004C1979"/>
    <w:rsid w:val="004E2817"/>
    <w:rsid w:val="004F1377"/>
    <w:rsid w:val="005016F3"/>
    <w:rsid w:val="0051128C"/>
    <w:rsid w:val="005533AF"/>
    <w:rsid w:val="00563389"/>
    <w:rsid w:val="00596385"/>
    <w:rsid w:val="005C7790"/>
    <w:rsid w:val="005D3871"/>
    <w:rsid w:val="005D6BB7"/>
    <w:rsid w:val="005E1A99"/>
    <w:rsid w:val="0061260F"/>
    <w:rsid w:val="00613BFC"/>
    <w:rsid w:val="00627C25"/>
    <w:rsid w:val="00633F74"/>
    <w:rsid w:val="0063706C"/>
    <w:rsid w:val="00664CE4"/>
    <w:rsid w:val="006758A8"/>
    <w:rsid w:val="006955DE"/>
    <w:rsid w:val="006C1CD8"/>
    <w:rsid w:val="006C445B"/>
    <w:rsid w:val="006D52F0"/>
    <w:rsid w:val="00721C14"/>
    <w:rsid w:val="00724B57"/>
    <w:rsid w:val="00777753"/>
    <w:rsid w:val="007A4843"/>
    <w:rsid w:val="007B1F29"/>
    <w:rsid w:val="007B5D5D"/>
    <w:rsid w:val="007C1593"/>
    <w:rsid w:val="007D138A"/>
    <w:rsid w:val="007D48CF"/>
    <w:rsid w:val="00805DA4"/>
    <w:rsid w:val="00820EC8"/>
    <w:rsid w:val="00823F38"/>
    <w:rsid w:val="00825127"/>
    <w:rsid w:val="008335AC"/>
    <w:rsid w:val="00842B26"/>
    <w:rsid w:val="00851893"/>
    <w:rsid w:val="00861F97"/>
    <w:rsid w:val="008E286F"/>
    <w:rsid w:val="008F11FE"/>
    <w:rsid w:val="008F1CA4"/>
    <w:rsid w:val="00903A25"/>
    <w:rsid w:val="009066FC"/>
    <w:rsid w:val="00914E10"/>
    <w:rsid w:val="009234CA"/>
    <w:rsid w:val="0095272C"/>
    <w:rsid w:val="009633D2"/>
    <w:rsid w:val="00964140"/>
    <w:rsid w:val="00980312"/>
    <w:rsid w:val="009A5981"/>
    <w:rsid w:val="009A60E1"/>
    <w:rsid w:val="009B353B"/>
    <w:rsid w:val="009C0422"/>
    <w:rsid w:val="009C571C"/>
    <w:rsid w:val="009C5B07"/>
    <w:rsid w:val="009C76A1"/>
    <w:rsid w:val="009E342B"/>
    <w:rsid w:val="009E74A3"/>
    <w:rsid w:val="009F1EAD"/>
    <w:rsid w:val="009F4B04"/>
    <w:rsid w:val="00A25969"/>
    <w:rsid w:val="00A3601F"/>
    <w:rsid w:val="00A546AB"/>
    <w:rsid w:val="00A63A6B"/>
    <w:rsid w:val="00A64CD0"/>
    <w:rsid w:val="00A72256"/>
    <w:rsid w:val="00A72551"/>
    <w:rsid w:val="00A72F0E"/>
    <w:rsid w:val="00AA0D73"/>
    <w:rsid w:val="00AA179A"/>
    <w:rsid w:val="00AC2C59"/>
    <w:rsid w:val="00AE3464"/>
    <w:rsid w:val="00AF1859"/>
    <w:rsid w:val="00AF270B"/>
    <w:rsid w:val="00AF6790"/>
    <w:rsid w:val="00B21680"/>
    <w:rsid w:val="00B32E94"/>
    <w:rsid w:val="00B356E1"/>
    <w:rsid w:val="00B37745"/>
    <w:rsid w:val="00B7702B"/>
    <w:rsid w:val="00B92238"/>
    <w:rsid w:val="00BB137E"/>
    <w:rsid w:val="00BB2F7B"/>
    <w:rsid w:val="00C145F5"/>
    <w:rsid w:val="00C1542C"/>
    <w:rsid w:val="00C421B5"/>
    <w:rsid w:val="00C669A1"/>
    <w:rsid w:val="00C7279E"/>
    <w:rsid w:val="00C80376"/>
    <w:rsid w:val="00C85295"/>
    <w:rsid w:val="00CB7B20"/>
    <w:rsid w:val="00CC35DE"/>
    <w:rsid w:val="00CC78A1"/>
    <w:rsid w:val="00CE5747"/>
    <w:rsid w:val="00D24298"/>
    <w:rsid w:val="00D33240"/>
    <w:rsid w:val="00D34C69"/>
    <w:rsid w:val="00D3601F"/>
    <w:rsid w:val="00D651AC"/>
    <w:rsid w:val="00D71C40"/>
    <w:rsid w:val="00D941D0"/>
    <w:rsid w:val="00DA0971"/>
    <w:rsid w:val="00DA21F1"/>
    <w:rsid w:val="00DA2543"/>
    <w:rsid w:val="00DA7104"/>
    <w:rsid w:val="00DB73E1"/>
    <w:rsid w:val="00DD76A6"/>
    <w:rsid w:val="00E119AF"/>
    <w:rsid w:val="00E21285"/>
    <w:rsid w:val="00E22122"/>
    <w:rsid w:val="00E32114"/>
    <w:rsid w:val="00E4108F"/>
    <w:rsid w:val="00E41D93"/>
    <w:rsid w:val="00E51EEF"/>
    <w:rsid w:val="00E546B3"/>
    <w:rsid w:val="00E56E8C"/>
    <w:rsid w:val="00E64BDD"/>
    <w:rsid w:val="00E8158A"/>
    <w:rsid w:val="00E845F4"/>
    <w:rsid w:val="00E90D74"/>
    <w:rsid w:val="00EA3B3C"/>
    <w:rsid w:val="00EC0702"/>
    <w:rsid w:val="00EC4006"/>
    <w:rsid w:val="00ED1D88"/>
    <w:rsid w:val="00F07AF3"/>
    <w:rsid w:val="00F113D0"/>
    <w:rsid w:val="00F158DB"/>
    <w:rsid w:val="00F31C29"/>
    <w:rsid w:val="00F339A7"/>
    <w:rsid w:val="00F43A5D"/>
    <w:rsid w:val="00F44F27"/>
    <w:rsid w:val="00F44FA8"/>
    <w:rsid w:val="00F719C1"/>
    <w:rsid w:val="00F873E0"/>
    <w:rsid w:val="00FB018D"/>
    <w:rsid w:val="00FD5100"/>
    <w:rsid w:val="00FE06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 w:type="paragraph" w:customStyle="1" w:styleId="Stilius3">
    <w:name w:val="Stilius3"/>
    <w:basedOn w:val="Normal"/>
    <w:qFormat/>
    <w:rsid w:val="00A64CD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6577">
      <w:bodyDiv w:val="1"/>
      <w:marLeft w:val="0"/>
      <w:marRight w:val="0"/>
      <w:marTop w:val="0"/>
      <w:marBottom w:val="0"/>
      <w:divBdr>
        <w:top w:val="none" w:sz="0" w:space="0" w:color="auto"/>
        <w:left w:val="none" w:sz="0" w:space="0" w:color="auto"/>
        <w:bottom w:val="none" w:sz="0" w:space="0" w:color="auto"/>
        <w:right w:val="none" w:sz="0" w:space="0" w:color="auto"/>
      </w:divBdr>
    </w:div>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075514485">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2F6DA-69AE-4E16-BEBA-79A8535BB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7285</Words>
  <Characters>4153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Kielaitė</dc:creator>
  <cp:lastModifiedBy>Vaida Adamkevičiūtė</cp:lastModifiedBy>
  <cp:revision>3</cp:revision>
  <dcterms:created xsi:type="dcterms:W3CDTF">2025-08-25T13:25:00Z</dcterms:created>
  <dcterms:modified xsi:type="dcterms:W3CDTF">2025-08-26T04:32:00Z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