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DA9" w:rsidRDefault="00231DA9" w14:paraId="6B43B5EF" w14:textId="77777777"/>
    <w:p w:rsidR="00231DA9" w:rsidRDefault="00231DA9" w14:paraId="79DC30D2" w14:textId="77777777"/>
    <w:p w:rsidR="006762D3" w:rsidP="006762D3" w:rsidRDefault="006762D3" w14:paraId="564B6D24" w14:textId="7D0BC3CE">
      <w:pPr>
        <w:jc w:val="both"/>
        <w:rPr>
          <w:rFonts w:ascii="Times New Roman" w:hAnsi="Times New Roman" w:cs="Times New Roman"/>
          <w:b/>
          <w:bCs/>
          <w:sz w:val="24"/>
          <w:szCs w:val="24"/>
        </w:rPr>
      </w:pPr>
      <w:r>
        <w:rPr>
          <w:rFonts w:ascii="Times New Roman" w:hAnsi="Times New Roman" w:cs="Times New Roman"/>
          <w:b/>
          <w:bCs/>
          <w:sz w:val="24"/>
          <w:szCs w:val="24"/>
        </w:rPr>
        <w:t>TIEKĖJŲ KLAUSIMAI / SIŪLYMAI / PASTABOS DĖL</w:t>
      </w:r>
      <w:r w:rsidR="00CA1471">
        <w:rPr>
          <w:rFonts w:ascii="Times New Roman" w:hAnsi="Times New Roman" w:cs="Times New Roman"/>
          <w:b/>
          <w:bCs/>
          <w:sz w:val="24"/>
          <w:szCs w:val="24"/>
        </w:rPr>
        <w:t>:</w:t>
      </w:r>
      <w:r>
        <w:rPr>
          <w:rFonts w:ascii="Times New Roman" w:hAnsi="Times New Roman" w:cs="Times New Roman"/>
          <w:b/>
          <w:bCs/>
          <w:sz w:val="24"/>
          <w:szCs w:val="24"/>
        </w:rPr>
        <w:t xml:space="preserve"> </w:t>
      </w:r>
    </w:p>
    <w:p w:rsidRPr="00231DA9" w:rsidR="006762D3" w:rsidP="006762D3" w:rsidRDefault="00DE354E" w14:paraId="26A6F391" w14:textId="28536C30">
      <w:pPr>
        <w:jc w:val="both"/>
        <w:rPr>
          <w:rFonts w:ascii="Times New Roman" w:hAnsi="Times New Roman" w:cs="Times New Roman"/>
          <w:b/>
          <w:bCs/>
          <w:sz w:val="24"/>
          <w:szCs w:val="24"/>
        </w:rPr>
      </w:pPr>
      <w:r>
        <w:rPr>
          <w:rFonts w:ascii="Times New Roman" w:hAnsi="Times New Roman" w:cs="Times New Roman"/>
          <w:b/>
          <w:bCs/>
          <w:sz w:val="24"/>
          <w:szCs w:val="24"/>
        </w:rPr>
        <w:t>Vilniaus miesto savivaldybės administracijos</w:t>
      </w:r>
      <w:r w:rsidR="00EC2DE7">
        <w:rPr>
          <w:rFonts w:ascii="Times New Roman" w:hAnsi="Times New Roman" w:cs="Times New Roman"/>
          <w:b/>
          <w:bCs/>
          <w:sz w:val="24"/>
          <w:szCs w:val="24"/>
        </w:rPr>
        <w:t xml:space="preserve"> skelbtos</w:t>
      </w:r>
      <w:r w:rsidRPr="00231DA9" w:rsidR="00A86308">
        <w:rPr>
          <w:rFonts w:ascii="Times New Roman" w:hAnsi="Times New Roman" w:cs="Times New Roman"/>
          <w:b/>
          <w:bCs/>
          <w:sz w:val="24"/>
          <w:szCs w:val="24"/>
        </w:rPr>
        <w:t xml:space="preserve"> </w:t>
      </w:r>
      <w:r w:rsidRPr="00231DA9" w:rsidR="00245BEC">
        <w:rPr>
          <w:rFonts w:ascii="Times New Roman" w:hAnsi="Times New Roman" w:cs="Times New Roman"/>
          <w:b/>
          <w:bCs/>
          <w:color w:val="333333"/>
          <w:sz w:val="24"/>
          <w:szCs w:val="24"/>
          <w:shd w:val="clear" w:color="auto" w:fill="FFFFFF"/>
        </w:rPr>
        <w:t>rinkos konsultacijo</w:t>
      </w:r>
      <w:r w:rsidR="00C319DC">
        <w:rPr>
          <w:rFonts w:ascii="Times New Roman" w:hAnsi="Times New Roman" w:cs="Times New Roman"/>
          <w:b/>
          <w:bCs/>
          <w:color w:val="333333"/>
          <w:sz w:val="24"/>
          <w:szCs w:val="24"/>
          <w:shd w:val="clear" w:color="auto" w:fill="FFFFFF"/>
        </w:rPr>
        <w:t>s</w:t>
      </w:r>
      <w:r w:rsidRPr="00231DA9" w:rsidR="006762D3">
        <w:rPr>
          <w:rFonts w:ascii="Times New Roman" w:hAnsi="Times New Roman" w:cs="Times New Roman"/>
          <w:b/>
          <w:bCs/>
          <w:sz w:val="24"/>
          <w:szCs w:val="24"/>
        </w:rPr>
        <w:t xml:space="preserve"> </w:t>
      </w:r>
      <w:r w:rsidRPr="00231DA9" w:rsidR="005F67F0">
        <w:rPr>
          <w:rFonts w:ascii="Times New Roman" w:hAnsi="Times New Roman" w:cs="Times New Roman"/>
          <w:b/>
          <w:bCs/>
          <w:sz w:val="24"/>
          <w:szCs w:val="24"/>
        </w:rPr>
        <w:t xml:space="preserve">Nr. </w:t>
      </w:r>
      <w:r w:rsidRPr="00231DA9" w:rsidR="00A86308">
        <w:rPr>
          <w:rFonts w:ascii="Times New Roman" w:hAnsi="Times New Roman" w:cs="Times New Roman"/>
          <w:b/>
          <w:bCs/>
          <w:sz w:val="24"/>
          <w:szCs w:val="24"/>
        </w:rPr>
        <w:t>4038455</w:t>
      </w:r>
      <w:r w:rsidRPr="00231DA9" w:rsidR="00231DA9">
        <w:rPr>
          <w:rFonts w:ascii="Times New Roman" w:hAnsi="Times New Roman" w:cs="Times New Roman"/>
          <w:b/>
          <w:bCs/>
          <w:sz w:val="24"/>
          <w:szCs w:val="24"/>
        </w:rPr>
        <w:t xml:space="preserve"> </w:t>
      </w:r>
      <w:r w:rsidRPr="00231DA9" w:rsidR="00A86308">
        <w:rPr>
          <w:rFonts w:ascii="Times New Roman" w:hAnsi="Times New Roman" w:cs="Times New Roman"/>
          <w:b/>
          <w:bCs/>
          <w:sz w:val="24"/>
          <w:szCs w:val="24"/>
        </w:rPr>
        <w:t>„</w:t>
      </w:r>
      <w:r w:rsidR="000F6B89">
        <w:rPr>
          <w:rFonts w:ascii="Times New Roman" w:hAnsi="Times New Roman" w:cs="Times New Roman"/>
          <w:b/>
          <w:bCs/>
          <w:sz w:val="24"/>
          <w:szCs w:val="24"/>
        </w:rPr>
        <w:t>NVP-</w:t>
      </w:r>
      <w:r w:rsidR="007E1191">
        <w:rPr>
          <w:rFonts w:ascii="Times New Roman" w:hAnsi="Times New Roman" w:cs="Times New Roman"/>
          <w:b/>
          <w:bCs/>
          <w:sz w:val="24"/>
          <w:szCs w:val="24"/>
        </w:rPr>
        <w:t xml:space="preserve">70503 </w:t>
      </w:r>
      <w:r w:rsidRPr="00231DA9" w:rsidR="00A86308">
        <w:rPr>
          <w:rFonts w:ascii="Times New Roman" w:hAnsi="Times New Roman" w:cs="Times New Roman"/>
          <w:b/>
          <w:bCs/>
          <w:sz w:val="24"/>
          <w:szCs w:val="24"/>
        </w:rPr>
        <w:t>Reagentai ir papildomos priemonės hematologinių tyrimų atlikimui su analizatoriaus panauda</w:t>
      </w:r>
      <w:r w:rsidRPr="00231DA9" w:rsidR="00231DA9">
        <w:rPr>
          <w:rFonts w:ascii="Times New Roman" w:hAnsi="Times New Roman" w:cs="Times New Roman"/>
          <w:b/>
          <w:bCs/>
          <w:sz w:val="24"/>
          <w:szCs w:val="24"/>
        </w:rPr>
        <w:t>“</w:t>
      </w:r>
      <w:r w:rsidRPr="00231DA9" w:rsidR="00446A40">
        <w:rPr>
          <w:rFonts w:ascii="Times New Roman" w:hAnsi="Times New Roman" w:cs="Times New Roman"/>
          <w:b/>
          <w:bCs/>
          <w:sz w:val="24"/>
          <w:szCs w:val="24"/>
        </w:rPr>
        <w:t xml:space="preserve"> pirkimo dokumentų projekto</w:t>
      </w:r>
    </w:p>
    <w:p w:rsidR="0089678A" w:rsidP="006762D3" w:rsidRDefault="00C9581A" w14:paraId="6DDAD452" w14:textId="77777777">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59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left w:w="0" w:type="dxa"/>
          <w:right w:w="0" w:type="dxa"/>
        </w:tblCellMar>
        <w:tblLook w:val="04A0" w:firstRow="1" w:lastRow="0" w:firstColumn="1" w:lastColumn="0" w:noHBand="0" w:noVBand="1"/>
      </w:tblPr>
      <w:tblGrid>
        <w:gridCol w:w="1288"/>
        <w:gridCol w:w="2182"/>
        <w:gridCol w:w="4175"/>
        <w:gridCol w:w="6946"/>
      </w:tblGrid>
      <w:tr w:rsidRPr="009E574B" w:rsidR="00C072BC" w:rsidTr="54D617E0" w14:paraId="511291B1" w14:textId="77777777">
        <w:trPr>
          <w:trHeight w:val="544"/>
        </w:trPr>
        <w:tc>
          <w:tcPr>
            <w:tcW w:w="3470" w:type="dxa"/>
            <w:gridSpan w:val="2"/>
            <w:shd w:val="clear" w:color="auto" w:fill="D9D9D9" w:themeFill="background1" w:themeFillShade="D9"/>
            <w:tcMar/>
            <w:vAlign w:val="center"/>
          </w:tcPr>
          <w:p w:rsidRPr="009E574B" w:rsidR="00182647" w:rsidP="00C9581A" w:rsidRDefault="00182647" w14:paraId="7F103509" w14:textId="77777777">
            <w:pPr>
              <w:spacing w:after="0" w:line="240" w:lineRule="auto"/>
              <w:jc w:val="center"/>
              <w:rPr>
                <w:rFonts w:ascii="Times New Roman" w:hAnsi="Times New Roman" w:eastAsia="Times New Roman" w:cs="Times New Roman"/>
                <w:b/>
                <w:bCs/>
                <w:kern w:val="0"/>
                <w:sz w:val="24"/>
                <w:szCs w:val="24"/>
                <w:lang w:eastAsia="en-GB"/>
                <w14:ligatures w14:val="none"/>
              </w:rPr>
            </w:pPr>
            <w:r w:rsidRPr="009E574B">
              <w:rPr>
                <w:rFonts w:ascii="Times New Roman" w:hAnsi="Times New Roman" w:eastAsia="Times New Roman" w:cs="Times New Roman"/>
                <w:b/>
                <w:bCs/>
                <w:kern w:val="0"/>
                <w:sz w:val="24"/>
                <w:szCs w:val="24"/>
                <w:lang w:eastAsia="en-GB"/>
                <w14:ligatures w14:val="none"/>
              </w:rPr>
              <w:t>Techninių parametrų pavadinimas</w:t>
            </w:r>
          </w:p>
        </w:tc>
        <w:tc>
          <w:tcPr>
            <w:tcW w:w="4175" w:type="dxa"/>
            <w:shd w:val="clear" w:color="auto" w:fill="D9D9D9" w:themeFill="background1" w:themeFillShade="D9"/>
            <w:tcMar/>
            <w:vAlign w:val="center"/>
          </w:tcPr>
          <w:p w:rsidRPr="009E574B" w:rsidR="00182647" w:rsidP="00C9581A" w:rsidRDefault="00182647" w14:paraId="2BCFA62A" w14:textId="77777777">
            <w:pPr>
              <w:spacing w:after="0" w:line="240" w:lineRule="auto"/>
              <w:jc w:val="center"/>
              <w:rPr>
                <w:rFonts w:ascii="Times New Roman" w:hAnsi="Times New Roman" w:eastAsia="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6946" w:type="dxa"/>
            <w:shd w:val="clear" w:color="auto" w:fill="D9D9D9" w:themeFill="background1" w:themeFillShade="D9"/>
            <w:tcMar/>
          </w:tcPr>
          <w:p w:rsidRPr="009E574B" w:rsidR="00182647" w:rsidP="00C9581A" w:rsidRDefault="00182647" w14:paraId="58265187" w14:textId="77777777">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Pr="00C56A1E" w:rsidR="00BD0312" w:rsidTr="54D617E0" w14:paraId="58C5507D" w14:textId="77777777">
        <w:trPr>
          <w:trHeight w:val="555"/>
        </w:trPr>
        <w:tc>
          <w:tcPr>
            <w:tcW w:w="1288" w:type="dxa"/>
            <w:shd w:val="clear" w:color="auto" w:fill="FFFFFF" w:themeFill="background1"/>
            <w:tcMar/>
            <w:vAlign w:val="center"/>
          </w:tcPr>
          <w:p w:rsidRPr="00C56A1E" w:rsidR="00BD0312" w:rsidP="00BD0312" w:rsidRDefault="00BD0312" w14:paraId="506C117C" w14:textId="77777777">
            <w:pPr>
              <w:spacing w:after="0" w:line="240" w:lineRule="auto"/>
              <w:rPr>
                <w:rFonts w:ascii="Times New Roman" w:hAnsi="Times New Roman" w:eastAsia="Times New Roman" w:cs="Times New Roman"/>
                <w:kern w:val="0"/>
                <w:sz w:val="24"/>
                <w:szCs w:val="24"/>
                <w:lang w:eastAsia="en-GB"/>
                <w14:ligatures w14:val="none"/>
              </w:rPr>
            </w:pPr>
            <w:r w:rsidRPr="00C56A1E">
              <w:rPr>
                <w:rFonts w:ascii="Times New Roman" w:hAnsi="Times New Roman" w:eastAsia="Times New Roman" w:cs="Times New Roman"/>
                <w:kern w:val="0"/>
                <w:sz w:val="24"/>
                <w:szCs w:val="24"/>
                <w:lang w:eastAsia="en-GB"/>
                <w14:ligatures w14:val="none"/>
              </w:rPr>
              <w:t>1.</w:t>
            </w:r>
          </w:p>
        </w:tc>
        <w:tc>
          <w:tcPr>
            <w:tcW w:w="2182" w:type="dxa"/>
            <w:shd w:val="clear" w:color="auto" w:fill="FFFFFF" w:themeFill="background1"/>
            <w:tcMar>
              <w:top w:w="0" w:type="dxa"/>
              <w:left w:w="108" w:type="dxa"/>
              <w:bottom w:w="0" w:type="dxa"/>
              <w:right w:w="108" w:type="dxa"/>
            </w:tcMar>
          </w:tcPr>
          <w:p w:rsidRPr="00C56A1E" w:rsidR="00BD0312" w:rsidP="00BD0312" w:rsidRDefault="00BD0312" w14:paraId="5CE7A83F" w14:textId="49979DFE">
            <w:pPr>
              <w:spacing w:after="0" w:line="240" w:lineRule="auto"/>
              <w:jc w:val="both"/>
              <w:rPr>
                <w:rFonts w:ascii="Times New Roman" w:hAnsi="Times New Roman" w:eastAsia="Times New Roman" w:cs="Times New Roman"/>
                <w:kern w:val="0"/>
                <w:sz w:val="24"/>
                <w:szCs w:val="24"/>
                <w:lang w:eastAsia="en-GB"/>
                <w14:ligatures w14:val="none"/>
              </w:rPr>
            </w:pPr>
            <w:r w:rsidRPr="00C56A1E">
              <w:rPr>
                <w:rFonts w:ascii="Times New Roman" w:hAnsi="Times New Roman" w:cs="Times New Roman"/>
                <w:sz w:val="24"/>
                <w:szCs w:val="24"/>
              </w:rPr>
              <w:t>Skiediklio pakuotės talpa ≤ 10 L</w:t>
            </w:r>
          </w:p>
        </w:tc>
        <w:tc>
          <w:tcPr>
            <w:tcW w:w="4175" w:type="dxa"/>
            <w:shd w:val="clear" w:color="auto" w:fill="FFFFFF" w:themeFill="background1"/>
            <w:tcMar/>
          </w:tcPr>
          <w:p w:rsidRPr="00C56A1E" w:rsidR="00BD0312" w:rsidP="00B045FA" w:rsidRDefault="00B045FA" w14:paraId="3E2E6FCC" w14:textId="45558833">
            <w:pPr>
              <w:spacing w:after="0" w:line="240" w:lineRule="auto"/>
              <w:jc w:val="both"/>
              <w:rPr>
                <w:rFonts w:ascii="Times New Roman" w:hAnsi="Times New Roman" w:eastAsia="Times New Roman" w:cs="Times New Roman"/>
                <w:kern w:val="0"/>
                <w:sz w:val="24"/>
                <w:szCs w:val="24"/>
                <w:lang w:eastAsia="en-GB"/>
                <w14:ligatures w14:val="none"/>
              </w:rPr>
            </w:pPr>
            <w:r w:rsidRPr="00C56A1E">
              <w:rPr>
                <w:rFonts w:ascii="Times New Roman" w:hAnsi="Times New Roman" w:cs="Times New Roman"/>
                <w:sz w:val="24"/>
                <w:szCs w:val="24"/>
              </w:rPr>
              <w:t>Manome, kad šis reikalavimas nėra tiesiogiai susijęs su ekonominio naudingumu bei riboja konkurenciją tarp tiekėjų. Perkančiosios organizacijos, reikalaujama pakuotės talpa ≤10L, nereiškia, kad pasiūlymas turi ekonominį pranašumą, juolab, kai mažesnė pakuotė - nereiškia mažesnių eksploatacinių sąlygų. Prašome minėtą punktą pašalinti, kadangi kriterijus nėra aiškus, pagrįstas ir objektyvus. Toks ekonominio naudingumo kriterijus laikomas subjektyviu ir sunkiai pagrindžiamu.</w:t>
            </w:r>
          </w:p>
        </w:tc>
        <w:tc>
          <w:tcPr>
            <w:tcW w:w="6946" w:type="dxa"/>
            <w:shd w:val="clear" w:color="auto" w:fill="FFFFFF" w:themeFill="background1"/>
            <w:tcMar/>
          </w:tcPr>
          <w:p w:rsidRPr="00C56A1E" w:rsidR="00BD0312" w:rsidP="54D617E0" w:rsidRDefault="00A979DB" w14:paraId="1683C911" w14:textId="3FA86557">
            <w:pPr>
              <w:spacing w:before="100" w:beforeAutospacing="on" w:after="100" w:afterAutospacing="on" w:line="240" w:lineRule="auto"/>
              <w:ind w:left="79" w:right="141"/>
              <w:jc w:val="both"/>
              <w:rPr>
                <w:rFonts w:ascii="Times New Roman" w:hAnsi="Times New Roman" w:eastAsia="Times New Roman" w:cs="Times New Roman"/>
                <w:color w:val="FF0000"/>
                <w:kern w:val="0"/>
                <w:sz w:val="24"/>
                <w:szCs w:val="24"/>
                <w14:ligatures w14:val="none"/>
              </w:rPr>
            </w:pPr>
            <w:r w:rsidR="00A979DB">
              <w:rPr>
                <w:rFonts w:ascii="Times New Roman" w:hAnsi="Times New Roman" w:cs="Times New Roman"/>
                <w:sz w:val="24"/>
                <w:szCs w:val="24"/>
              </w:rPr>
              <w:t>Atkreiptinas dėmesys, kad tai yra ne ekonominis kriterijus, o kokybės kriterijus.</w:t>
            </w:r>
            <w:r w:rsidR="00A979DB">
              <w:rPr>
                <w:rFonts w:ascii="Times New Roman" w:hAnsi="Times New Roman" w:cs="Times New Roman"/>
                <w:sz w:val="24"/>
                <w:szCs w:val="24"/>
              </w:rPr>
              <w:t xml:space="preserve"> </w:t>
            </w:r>
            <w:r w:rsidRPr="00C56A1E" w:rsidR="00BD0312">
              <w:rPr>
                <w:rFonts w:ascii="Times New Roman" w:hAnsi="Times New Roman" w:cs="Times New Roman"/>
                <w:sz w:val="24"/>
                <w:szCs w:val="24"/>
              </w:rPr>
              <w:t>Šis kriterijus yra sąmoningai pasirinktas, siekiant užtikrinti ne tik logistinį patogumą, bet ir darbuotojų saugą bei ergonomiškas darbo sąlygas.</w:t>
            </w:r>
            <w:r w:rsidRPr="00C56A1E" w:rsidR="00DB36C4">
              <w:rPr>
                <w:rFonts w:ascii="Times New Roman" w:hAnsi="Times New Roman" w:cs="Times New Roman"/>
                <w:sz w:val="24"/>
                <w:szCs w:val="24"/>
              </w:rPr>
              <w:t xml:space="preserve"> </w:t>
            </w:r>
            <w:r w:rsidRPr="00742146" w:rsidR="00E12E4A">
              <w:rPr>
                <w:rFonts w:ascii="Times New Roman" w:hAnsi="Times New Roman" w:cs="Times New Roman"/>
                <w:sz w:val="24"/>
                <w:szCs w:val="24"/>
              </w:rPr>
              <w:t>Dauguma laboratorijoje dirbančių specialistų yra moterys.</w:t>
            </w:r>
            <w:r w:rsidRPr="00742146" w:rsidR="00BD0312">
              <w:rPr>
                <w:rFonts w:ascii="Times New Roman" w:hAnsi="Times New Roman" w:cs="Times New Roman"/>
                <w:sz w:val="24"/>
                <w:szCs w:val="24"/>
              </w:rPr>
              <w:t xml:space="preserve"> Pagal </w:t>
            </w:r>
            <w:r w:rsidRPr="00742146" w:rsidR="003E27B4">
              <w:rPr>
                <w:rFonts w:ascii="Times New Roman" w:hAnsi="Times New Roman" w:cs="Times New Roman"/>
                <w:sz w:val="24"/>
                <w:szCs w:val="24"/>
              </w:rPr>
              <w:t xml:space="preserve">LR Sveikatos apsaugos ministro bei LR Socialinės apsaugos ir darbo ministro </w:t>
            </w:r>
            <w:r w:rsidRPr="00742146" w:rsidR="00104F93">
              <w:rPr>
                <w:rFonts w:ascii="Times New Roman" w:hAnsi="Times New Roman" w:cs="Times New Roman"/>
                <w:sz w:val="24"/>
                <w:szCs w:val="24"/>
              </w:rPr>
              <w:t xml:space="preserve">2005 m. liepos 15 d. </w:t>
            </w:r>
            <w:r w:rsidRPr="00742146" w:rsidR="003E27B4">
              <w:rPr>
                <w:rFonts w:ascii="Times New Roman" w:hAnsi="Times New Roman" w:cs="Times New Roman"/>
                <w:sz w:val="24"/>
                <w:szCs w:val="24"/>
              </w:rPr>
              <w:t>įsakym</w:t>
            </w:r>
            <w:r w:rsidRPr="00742146" w:rsidR="002E1282">
              <w:rPr>
                <w:rFonts w:ascii="Times New Roman" w:hAnsi="Times New Roman" w:cs="Times New Roman"/>
                <w:sz w:val="24"/>
                <w:szCs w:val="24"/>
              </w:rPr>
              <w:t>ą</w:t>
            </w:r>
            <w:r w:rsidRPr="00742146" w:rsidR="00611364">
              <w:rPr>
                <w:rFonts w:ascii="Times New Roman" w:hAnsi="Times New Roman" w:cs="Times New Roman"/>
                <w:sz w:val="24"/>
                <w:szCs w:val="24"/>
              </w:rPr>
              <w:t xml:space="preserve"> </w:t>
            </w:r>
            <w:r w:rsidRPr="00742146" w:rsidR="00842714">
              <w:rPr>
                <w:rFonts w:ascii="Times New Roman" w:hAnsi="Times New Roman" w:cs="Times New Roman"/>
                <w:sz w:val="24"/>
                <w:szCs w:val="24"/>
              </w:rPr>
              <w:t>Nr. V-</w:t>
            </w:r>
            <w:r w:rsidRPr="00742146" w:rsidR="007F7694">
              <w:rPr>
                <w:rFonts w:ascii="Times New Roman" w:hAnsi="Times New Roman" w:cs="Times New Roman"/>
                <w:sz w:val="24"/>
                <w:szCs w:val="24"/>
              </w:rPr>
              <w:t>592/A1-210</w:t>
            </w:r>
            <w:r w:rsidRPr="00742146" w:rsidR="003E27B4">
              <w:rPr>
                <w:rFonts w:ascii="Times New Roman" w:hAnsi="Times New Roman" w:cs="Times New Roman"/>
                <w:sz w:val="24"/>
                <w:szCs w:val="24"/>
              </w:rPr>
              <w:t xml:space="preserve"> </w:t>
            </w:r>
            <w:r w:rsidRPr="54D617E0" w:rsidR="003E27B4">
              <w:rPr>
                <w:rFonts w:ascii="Times New Roman" w:hAnsi="Times New Roman" w:cs="Times New Roman"/>
                <w:i w:val="1"/>
                <w:iCs w:val="1"/>
                <w:sz w:val="24"/>
                <w:szCs w:val="24"/>
              </w:rPr>
              <w:t>„Dėl ergonominių profesinės rizikos veiksnių tyrimo metodinių nurodymų patvirtinimo</w:t>
            </w:r>
            <w:r w:rsidRPr="00742146" w:rsidR="003E27B4">
              <w:rPr>
                <w:rFonts w:ascii="Times New Roman" w:hAnsi="Times New Roman" w:cs="Times New Roman"/>
                <w:sz w:val="24"/>
                <w:szCs w:val="24"/>
              </w:rPr>
              <w:t>“</w:t>
            </w:r>
            <w:r w:rsidRPr="00742146" w:rsidR="00A0331A">
              <w:rPr>
                <w:rFonts w:ascii="Times New Roman" w:hAnsi="Times New Roman" w:cs="Times New Roman"/>
                <w:b w:val="1"/>
                <w:bCs w:val="1"/>
                <w:sz w:val="24"/>
                <w:szCs w:val="24"/>
              </w:rPr>
              <w:t xml:space="preserve"> </w:t>
            </w:r>
            <w:r w:rsidR="00104F93">
              <w:rPr>
                <w:rFonts w:ascii="Times New Roman" w:hAnsi="Times New Roman" w:cs="Times New Roman"/>
                <w:b w:val="1"/>
                <w:bCs w:val="1"/>
                <w:sz w:val="24"/>
                <w:szCs w:val="24"/>
              </w:rPr>
              <w:t>(</w:t>
            </w:r>
            <w:r w:rsidR="00104F93">
              <w:rPr>
                <w:rFonts w:ascii="Times New Roman" w:hAnsi="Times New Roman" w:cs="Times New Roman"/>
                <w:sz w:val="24"/>
                <w:szCs w:val="24"/>
              </w:rPr>
              <w:t>g</w:t>
            </w:r>
            <w:r w:rsidRPr="00742146" w:rsidR="00A0331A">
              <w:rPr>
                <w:rFonts w:ascii="Times New Roman" w:hAnsi="Times New Roman" w:cs="Times New Roman"/>
                <w:sz w:val="24"/>
                <w:szCs w:val="24"/>
              </w:rPr>
              <w:t xml:space="preserve">aliojanti suvestinė redakcija </w:t>
            </w:r>
            <w:r w:rsidRPr="00742146" w:rsidR="00A0331A">
              <w:rPr>
                <w:rFonts w:ascii="Times New Roman" w:hAnsi="Times New Roman" w:cs="Times New Roman"/>
                <w:sz w:val="24"/>
                <w:szCs w:val="24"/>
              </w:rPr>
              <w:t>nuo 2022-05-01)</w:t>
            </w:r>
            <w:r w:rsidRPr="00742146" w:rsidR="003E27B4">
              <w:rPr>
                <w:rFonts w:ascii="Times New Roman" w:hAnsi="Times New Roman" w:cs="Times New Roman"/>
                <w:sz w:val="24"/>
                <w:szCs w:val="24"/>
              </w:rPr>
              <w:t xml:space="preserve"> moterims rekomenduojamas</w:t>
            </w:r>
            <w:r w:rsidRPr="00742146" w:rsidR="00E80282">
              <w:rPr>
                <w:rFonts w:ascii="Times New Roman" w:hAnsi="Times New Roman" w:cs="Times New Roman"/>
                <w:sz w:val="24"/>
                <w:szCs w:val="24"/>
              </w:rPr>
              <w:t xml:space="preserve"> kelti svoris</w:t>
            </w:r>
            <w:r w:rsidRPr="00742146" w:rsidR="008F68B0">
              <w:rPr>
                <w:rFonts w:ascii="Times New Roman" w:hAnsi="Times New Roman" w:cs="Times New Roman"/>
                <w:sz w:val="24"/>
                <w:szCs w:val="24"/>
              </w:rPr>
              <w:t xml:space="preserve"> nurodytas</w:t>
            </w:r>
            <w:r w:rsidRPr="00742146" w:rsidR="003E27B4">
              <w:rPr>
                <w:rFonts w:ascii="Times New Roman" w:hAnsi="Times New Roman" w:cs="Times New Roman"/>
                <w:sz w:val="24"/>
                <w:szCs w:val="24"/>
              </w:rPr>
              <w:t xml:space="preserve"> 7-16 kg </w:t>
            </w:r>
            <w:r w:rsidRPr="00742146" w:rsidR="00BD0312">
              <w:rPr>
                <w:rFonts w:ascii="Times New Roman" w:hAnsi="Times New Roman" w:cs="Times New Roman"/>
                <w:sz w:val="24"/>
                <w:szCs w:val="24"/>
              </w:rPr>
              <w:t xml:space="preserve">priklausomai nuo pakėlimo aukščio ir </w:t>
            </w:r>
            <w:r w:rsidRPr="00742146" w:rsidR="00431FE4">
              <w:rPr>
                <w:rFonts w:ascii="Times New Roman" w:hAnsi="Times New Roman" w:cs="Times New Roman"/>
                <w:sz w:val="24"/>
                <w:szCs w:val="24"/>
              </w:rPr>
              <w:t>atstumo nuo darbuotojo kūno</w:t>
            </w:r>
            <w:r w:rsidRPr="00742146" w:rsidR="00BD0312">
              <w:rPr>
                <w:rFonts w:ascii="Times New Roman" w:hAnsi="Times New Roman" w:cs="Times New Roman"/>
                <w:sz w:val="24"/>
                <w:szCs w:val="24"/>
              </w:rPr>
              <w:t>.</w:t>
            </w:r>
            <w:r w:rsidRPr="00C56A1E" w:rsidR="00BD0312">
              <w:rPr>
                <w:rFonts w:ascii="Times New Roman" w:hAnsi="Times New Roman" w:cs="Times New Roman"/>
                <w:sz w:val="24"/>
                <w:szCs w:val="24"/>
              </w:rPr>
              <w:t xml:space="preserve"> 20 L skiediklio pakuotė gali sverti 20–22 kg, kas viršija </w:t>
            </w:r>
            <w:r w:rsidRPr="00C56A1E" w:rsidR="00FD64DD">
              <w:rPr>
                <w:rFonts w:ascii="Times New Roman" w:hAnsi="Times New Roman" w:cs="Times New Roman"/>
                <w:sz w:val="24"/>
                <w:szCs w:val="24"/>
              </w:rPr>
              <w:t>rekomenduojamą</w:t>
            </w:r>
            <w:r w:rsidRPr="00C56A1E" w:rsidR="00BD0312">
              <w:rPr>
                <w:rFonts w:ascii="Times New Roman" w:hAnsi="Times New Roman" w:cs="Times New Roman"/>
                <w:sz w:val="24"/>
                <w:szCs w:val="24"/>
              </w:rPr>
              <w:t xml:space="preserve"> </w:t>
            </w:r>
            <w:r w:rsidRPr="00C56A1E" w:rsidR="004B7B50">
              <w:rPr>
                <w:rFonts w:ascii="Times New Roman" w:hAnsi="Times New Roman" w:cs="Times New Roman"/>
                <w:sz w:val="24"/>
                <w:szCs w:val="24"/>
              </w:rPr>
              <w:t>svorį</w:t>
            </w:r>
            <w:r w:rsidRPr="00C56A1E" w:rsidR="00BD0312">
              <w:rPr>
                <w:rFonts w:ascii="Times New Roman" w:hAnsi="Times New Roman" w:cs="Times New Roman"/>
                <w:sz w:val="24"/>
                <w:szCs w:val="24"/>
              </w:rPr>
              <w:t xml:space="preserve"> ir kelia traumų bei sveikatos riziką</w:t>
            </w:r>
            <w:r w:rsidRPr="00C56A1E" w:rsidR="000F4BA8">
              <w:rPr>
                <w:rFonts w:ascii="Times New Roman" w:hAnsi="Times New Roman" w:cs="Times New Roman"/>
                <w:sz w:val="24"/>
                <w:szCs w:val="24"/>
              </w:rPr>
              <w:t>,</w:t>
            </w:r>
            <w:r w:rsidRPr="00C56A1E" w:rsidR="00BD0312">
              <w:rPr>
                <w:rFonts w:ascii="Times New Roman" w:hAnsi="Times New Roman" w:cs="Times New Roman"/>
                <w:sz w:val="24"/>
                <w:szCs w:val="24"/>
              </w:rPr>
              <w:t xml:space="preserve"> </w:t>
            </w:r>
            <w:r w:rsidRPr="00C56A1E" w:rsidR="000F4BA8">
              <w:rPr>
                <w:rFonts w:ascii="Times New Roman" w:hAnsi="Times New Roman" w:cs="Times New Roman"/>
                <w:sz w:val="24"/>
                <w:szCs w:val="24"/>
              </w:rPr>
              <w:t>t</w:t>
            </w:r>
            <w:r w:rsidRPr="00C56A1E" w:rsidR="00BD0312">
              <w:rPr>
                <w:rFonts w:ascii="Times New Roman" w:hAnsi="Times New Roman" w:cs="Times New Roman"/>
                <w:sz w:val="24"/>
                <w:szCs w:val="24"/>
              </w:rPr>
              <w:t>odėl ≤10 L kriterijus yra proporcingas, sveikatai palankus bei konkurencijos neribojantis sprendimas</w:t>
            </w:r>
            <w:r w:rsidRPr="00C56A1E" w:rsidR="006309C6">
              <w:rPr>
                <w:rFonts w:ascii="Times New Roman" w:hAnsi="Times New Roman" w:cs="Times New Roman"/>
                <w:sz w:val="24"/>
                <w:szCs w:val="24"/>
              </w:rPr>
              <w:t>, nes k</w:t>
            </w:r>
            <w:r w:rsidRPr="00C56A1E" w:rsidR="006309C6">
              <w:rPr>
                <w:rFonts w:ascii="Times New Roman" w:hAnsi="Times New Roman" w:eastAsia="Times New Roman" w:cs="Times New Roman"/>
                <w:kern w:val="0"/>
                <w:sz w:val="24"/>
                <w:szCs w:val="24"/>
                <w14:ligatures w14:val="none"/>
              </w:rPr>
              <w:t>riterijus neeliminuoja tiekėjų iš pirkimo procedūros, todėl konkurencijos neriboja.</w:t>
            </w:r>
            <w:r w:rsidRPr="00C56A1E" w:rsidR="00BD0312">
              <w:rPr>
                <w:rFonts w:ascii="Times New Roman" w:hAnsi="Times New Roman" w:cs="Times New Roman"/>
                <w:sz w:val="24"/>
                <w:szCs w:val="24"/>
              </w:rPr>
              <w:t xml:space="preserve"> </w:t>
            </w:r>
            <w:r w:rsidRPr="00C56A1E" w:rsidR="00BD0312">
              <w:rPr>
                <w:rFonts w:ascii="Times New Roman" w:hAnsi="Times New Roman" w:cs="Times New Roman"/>
                <w:b w:val="1"/>
                <w:bCs w:val="1"/>
                <w:sz w:val="24"/>
                <w:szCs w:val="24"/>
              </w:rPr>
              <w:t>Kriterijus nekeičiamas</w:t>
            </w:r>
            <w:r w:rsidRPr="00C56A1E" w:rsidR="00BD0312">
              <w:rPr>
                <w:rFonts w:ascii="Times New Roman" w:hAnsi="Times New Roman" w:cs="Times New Roman"/>
                <w:sz w:val="24"/>
                <w:szCs w:val="24"/>
              </w:rPr>
              <w:t>.</w:t>
            </w:r>
            <w:r w:rsidRPr="00C56A1E" w:rsidR="00CF2B9B">
              <w:rPr>
                <w:rFonts w:ascii="Times New Roman" w:hAnsi="Times New Roman" w:cs="Times New Roman"/>
                <w:sz w:val="24"/>
                <w:szCs w:val="24"/>
              </w:rPr>
              <w:t xml:space="preserve"> </w:t>
            </w:r>
          </w:p>
        </w:tc>
      </w:tr>
      <w:tr w:rsidRPr="00C56A1E" w:rsidR="00BD0312" w:rsidTr="54D617E0" w14:paraId="2A0672D4" w14:textId="77777777">
        <w:trPr>
          <w:trHeight w:val="555"/>
        </w:trPr>
        <w:tc>
          <w:tcPr>
            <w:tcW w:w="1288" w:type="dxa"/>
            <w:shd w:val="clear" w:color="auto" w:fill="FFFFFF" w:themeFill="background1"/>
            <w:tcMar/>
            <w:vAlign w:val="center"/>
          </w:tcPr>
          <w:p w:rsidRPr="00C56A1E" w:rsidR="00BD0312" w:rsidP="00BD0312" w:rsidRDefault="00BD0312" w14:paraId="24ADB7E9" w14:textId="77777777">
            <w:pPr>
              <w:spacing w:after="0" w:line="240" w:lineRule="auto"/>
              <w:rPr>
                <w:rFonts w:ascii="Times New Roman" w:hAnsi="Times New Roman" w:eastAsia="Times New Roman" w:cs="Times New Roman"/>
                <w:kern w:val="0"/>
                <w:sz w:val="24"/>
                <w:szCs w:val="24"/>
                <w:lang w:eastAsia="en-GB"/>
                <w14:ligatures w14:val="none"/>
              </w:rPr>
            </w:pPr>
            <w:r w:rsidRPr="00C56A1E">
              <w:rPr>
                <w:rFonts w:ascii="Times New Roman" w:hAnsi="Times New Roman" w:eastAsia="Times New Roman" w:cs="Times New Roman"/>
                <w:kern w:val="0"/>
                <w:sz w:val="24"/>
                <w:szCs w:val="24"/>
                <w:lang w:eastAsia="en-GB"/>
                <w14:ligatures w14:val="none"/>
              </w:rPr>
              <w:t>2.</w:t>
            </w:r>
          </w:p>
        </w:tc>
        <w:tc>
          <w:tcPr>
            <w:tcW w:w="2182" w:type="dxa"/>
            <w:shd w:val="clear" w:color="auto" w:fill="FFFFFF" w:themeFill="background1"/>
            <w:tcMar>
              <w:top w:w="0" w:type="dxa"/>
              <w:left w:w="108" w:type="dxa"/>
              <w:bottom w:w="0" w:type="dxa"/>
              <w:right w:w="108" w:type="dxa"/>
            </w:tcMar>
          </w:tcPr>
          <w:p w:rsidRPr="00C56A1E" w:rsidR="00BD0312" w:rsidP="00082372" w:rsidRDefault="00082372" w14:paraId="377519B8" w14:textId="313526D2">
            <w:pPr>
              <w:spacing w:after="0" w:line="240" w:lineRule="auto"/>
              <w:jc w:val="both"/>
              <w:rPr>
                <w:rFonts w:ascii="Times New Roman" w:hAnsi="Times New Roman" w:eastAsia="Times New Roman" w:cs="Times New Roman"/>
                <w:color w:val="000000"/>
                <w:kern w:val="0"/>
                <w:sz w:val="24"/>
                <w:szCs w:val="24"/>
                <w:lang w:eastAsia="lt-LT"/>
                <w14:ligatures w14:val="none"/>
              </w:rPr>
            </w:pPr>
            <w:r w:rsidRPr="00C56A1E">
              <w:rPr>
                <w:rFonts w:ascii="Times New Roman" w:hAnsi="Times New Roman" w:cs="Times New Roman"/>
                <w:sz w:val="24"/>
                <w:szCs w:val="24"/>
              </w:rPr>
              <w:t>Mėginio tūris, naudojamas tyrimo atlikimui ≤ 12 mikroL</w:t>
            </w:r>
          </w:p>
        </w:tc>
        <w:tc>
          <w:tcPr>
            <w:tcW w:w="4175" w:type="dxa"/>
            <w:shd w:val="clear" w:color="auto" w:fill="FFFFFF" w:themeFill="background1"/>
            <w:tcMar/>
          </w:tcPr>
          <w:p w:rsidRPr="00C56A1E" w:rsidR="000A3AC8" w:rsidP="000A3AC8" w:rsidRDefault="00BD0312" w14:paraId="38B7A994" w14:textId="77777777">
            <w:pPr>
              <w:spacing w:after="0" w:line="240" w:lineRule="auto"/>
              <w:jc w:val="both"/>
              <w:rPr>
                <w:rFonts w:ascii="Times New Roman" w:hAnsi="Times New Roman" w:cs="Times New Roman"/>
                <w:sz w:val="24"/>
                <w:szCs w:val="24"/>
              </w:rPr>
            </w:pPr>
            <w:r w:rsidRPr="00C56A1E">
              <w:rPr>
                <w:rFonts w:ascii="Times New Roman" w:hAnsi="Times New Roman" w:cs="Times New Roman"/>
                <w:sz w:val="24"/>
                <w:szCs w:val="24"/>
              </w:rPr>
              <w:t>Tiekėjas siūlo</w:t>
            </w:r>
            <w:r w:rsidRPr="00C56A1E" w:rsidR="000A3AC8">
              <w:rPr>
                <w:rFonts w:ascii="Times New Roman" w:hAnsi="Times New Roman" w:cs="Times New Roman"/>
                <w:sz w:val="24"/>
                <w:szCs w:val="24"/>
              </w:rPr>
              <w:t xml:space="preserve">: </w:t>
            </w:r>
          </w:p>
          <w:p w:rsidRPr="00C56A1E" w:rsidR="00BD0312" w:rsidP="000A3AC8" w:rsidRDefault="000A3AC8" w14:paraId="38F7FFCF" w14:textId="23A9809C">
            <w:pPr>
              <w:spacing w:after="0" w:line="240" w:lineRule="auto"/>
              <w:jc w:val="both"/>
              <w:rPr>
                <w:rFonts w:ascii="Times New Roman" w:hAnsi="Times New Roman" w:cs="Times New Roman"/>
                <w:sz w:val="24"/>
                <w:szCs w:val="24"/>
              </w:rPr>
            </w:pPr>
            <w:r w:rsidRPr="00C56A1E">
              <w:rPr>
                <w:rFonts w:ascii="Times New Roman" w:hAnsi="Times New Roman" w:cs="Times New Roman"/>
                <w:sz w:val="24"/>
                <w:szCs w:val="24"/>
              </w:rPr>
              <w:t>Mėginio tūris, naudojamas tyrimo atlikimui ≤ 15 mikroL</w:t>
            </w:r>
            <w:r w:rsidRPr="00C56A1E" w:rsidR="00BD0312">
              <w:rPr>
                <w:rFonts w:ascii="Times New Roman" w:hAnsi="Times New Roman" w:cs="Times New Roman"/>
                <w:sz w:val="24"/>
                <w:szCs w:val="24"/>
              </w:rPr>
              <w:t>.</w:t>
            </w:r>
          </w:p>
          <w:p w:rsidRPr="00C56A1E" w:rsidR="00451D7D" w:rsidP="00BD0312" w:rsidRDefault="00343A08" w14:paraId="22688AE7" w14:textId="53452E30">
            <w:pPr>
              <w:spacing w:after="0" w:line="240" w:lineRule="auto"/>
              <w:jc w:val="both"/>
              <w:rPr>
                <w:rFonts w:ascii="Times New Roman" w:hAnsi="Times New Roman" w:cs="Times New Roman"/>
                <w:sz w:val="24"/>
                <w:szCs w:val="24"/>
              </w:rPr>
            </w:pPr>
            <w:r w:rsidRPr="00C56A1E">
              <w:rPr>
                <w:rFonts w:ascii="Times New Roman" w:hAnsi="Times New Roman" w:cs="Times New Roman"/>
                <w:sz w:val="24"/>
                <w:szCs w:val="24"/>
              </w:rPr>
              <w:t xml:space="preserve">Perkančioji organizacija, pateikdama tokį reikalavimą, netiesiogiai diskriminuoja tiekėją ir suteikia nepagrįstą pranašumą, vienam tiekėjui, kitų atžvilgiu, todėl </w:t>
            </w:r>
            <w:r w:rsidRPr="00C56A1E">
              <w:rPr>
                <w:rFonts w:ascii="Times New Roman" w:hAnsi="Times New Roman" w:cs="Times New Roman"/>
                <w:sz w:val="24"/>
                <w:szCs w:val="24"/>
              </w:rPr>
              <w:t>siūlome Perkančiajai organizacijai įvertinti tai, kad didesnis mėginio tūris, ekonomiškai naudingesnis pasirinkimas ilguoju laikotarpiu. Siūlome PO įvertinti tai, kad neženkliai didesni mėginių konteineriai, gali kainuoti šiek tiek daugiau, tačiau sumažėjus paėmimų ir tyrimų skaičiui, bendros išlaidos būna mažesnės.</w:t>
            </w:r>
          </w:p>
        </w:tc>
        <w:tc>
          <w:tcPr>
            <w:tcW w:w="6946" w:type="dxa"/>
            <w:shd w:val="clear" w:color="auto" w:fill="FFFFFF" w:themeFill="background1"/>
            <w:tcMar/>
          </w:tcPr>
          <w:p w:rsidRPr="00C56A1E" w:rsidR="00BD0312" w:rsidP="54D617E0" w:rsidRDefault="00BD0312" w14:paraId="1FA57857" w14:textId="55E0DCD9">
            <w:pPr>
              <w:spacing w:before="100" w:beforeAutospacing="on" w:after="100" w:afterAutospacing="on" w:line="240" w:lineRule="auto"/>
              <w:ind w:left="79" w:right="141"/>
              <w:jc w:val="both"/>
              <w:rPr>
                <w:rFonts w:ascii="Times New Roman" w:hAnsi="Times New Roman" w:eastAsia="Times New Roman" w:cs="Times New Roman"/>
                <w:color w:val="FF0000"/>
                <w:kern w:val="0"/>
                <w:sz w:val="24"/>
                <w:szCs w:val="24"/>
                <w14:ligatures w14:val="none"/>
              </w:rPr>
            </w:pPr>
            <w:r w:rsidRPr="54D617E0" w:rsidR="00BD0312">
              <w:rPr>
                <w:rFonts w:ascii="Times New Roman" w:hAnsi="Times New Roman" w:cs="Times New Roman"/>
                <w:sz w:val="24"/>
                <w:szCs w:val="24"/>
              </w:rPr>
              <w:t xml:space="preserve">Reikalavimas </w:t>
            </w:r>
            <w:r w:rsidRPr="54D617E0" w:rsidR="00BC318F">
              <w:rPr>
                <w:rFonts w:ascii="Times New Roman" w:hAnsi="Times New Roman" w:cs="Times New Roman"/>
                <w:sz w:val="24"/>
                <w:szCs w:val="24"/>
              </w:rPr>
              <w:t>nekeičiamas</w:t>
            </w:r>
            <w:r w:rsidRPr="54D617E0" w:rsidR="00BD0312">
              <w:rPr>
                <w:rFonts w:ascii="Times New Roman" w:hAnsi="Times New Roman" w:cs="Times New Roman"/>
                <w:sz w:val="24"/>
                <w:szCs w:val="24"/>
              </w:rPr>
              <w:t xml:space="preserve">, nes mažesnis mėginio tūris sumažina kraujo paėmimo </w:t>
            </w:r>
            <w:r w:rsidRPr="54D617E0" w:rsidR="00BD0312">
              <w:rPr>
                <w:rFonts w:ascii="Times New Roman" w:hAnsi="Times New Roman" w:cs="Times New Roman"/>
                <w:sz w:val="24"/>
                <w:szCs w:val="24"/>
              </w:rPr>
              <w:t>invazyvumą</w:t>
            </w:r>
            <w:r w:rsidRPr="54D617E0" w:rsidR="00BD0312">
              <w:rPr>
                <w:rFonts w:ascii="Times New Roman" w:hAnsi="Times New Roman" w:cs="Times New Roman"/>
                <w:sz w:val="24"/>
                <w:szCs w:val="24"/>
              </w:rPr>
              <w:t xml:space="preserve"> (ypač vaikams ir senyvo amžiaus pacientams),</w:t>
            </w:r>
            <w:r w:rsidRPr="54D617E0" w:rsidR="00E600A1">
              <w:rPr>
                <w:rFonts w:ascii="Times New Roman" w:hAnsi="Times New Roman" w:cs="Times New Roman"/>
                <w:sz w:val="24"/>
                <w:szCs w:val="24"/>
              </w:rPr>
              <w:t xml:space="preserve"> </w:t>
            </w:r>
            <w:r w:rsidRPr="54D617E0" w:rsidR="00E600A1">
              <w:rPr>
                <w:rFonts w:ascii="Times New Roman" w:hAnsi="Times New Roman" w:cs="Times New Roman"/>
                <w:sz w:val="24"/>
                <w:szCs w:val="24"/>
              </w:rPr>
              <w:t>trumpesnė procedūra, mažesnis skausmas ir psichologinis diskomfortas vaikui</w:t>
            </w:r>
            <w:r w:rsidRPr="54D617E0" w:rsidR="00C74376">
              <w:rPr>
                <w:rFonts w:ascii="Times New Roman" w:hAnsi="Times New Roman" w:cs="Times New Roman"/>
                <w:sz w:val="24"/>
                <w:szCs w:val="24"/>
              </w:rPr>
              <w:t>, galimybė</w:t>
            </w:r>
            <w:r w:rsidRPr="54D617E0" w:rsidR="00BD0312">
              <w:rPr>
                <w:rFonts w:ascii="Times New Roman" w:hAnsi="Times New Roman" w:cs="Times New Roman"/>
                <w:sz w:val="24"/>
                <w:szCs w:val="24"/>
              </w:rPr>
              <w:t xml:space="preserve"> atlikti tyrimus iš riboto mėginio kiekio atitinka modernių analizatorių standartus. </w:t>
            </w:r>
            <w:r w:rsidRPr="54D617E0" w:rsidR="00BD0312">
              <w:rPr>
                <w:rFonts w:ascii="Times New Roman" w:hAnsi="Times New Roman" w:cs="Times New Roman"/>
                <w:b w:val="1"/>
                <w:bCs w:val="1"/>
                <w:sz w:val="24"/>
                <w:szCs w:val="24"/>
              </w:rPr>
              <w:t>Kriterijus nekeičiamas.</w:t>
            </w:r>
          </w:p>
        </w:tc>
      </w:tr>
      <w:tr w:rsidRPr="00C56A1E" w:rsidR="00BD0312" w:rsidTr="54D617E0" w14:paraId="5B8FE74D" w14:textId="77777777">
        <w:trPr>
          <w:trHeight w:val="555"/>
        </w:trPr>
        <w:tc>
          <w:tcPr>
            <w:tcW w:w="1288" w:type="dxa"/>
            <w:shd w:val="clear" w:color="auto" w:fill="FFFFFF" w:themeFill="background1"/>
            <w:tcMar/>
            <w:vAlign w:val="center"/>
          </w:tcPr>
          <w:p w:rsidRPr="00C56A1E" w:rsidR="00BD0312" w:rsidP="00BD0312" w:rsidRDefault="00BD0312" w14:paraId="547004F5" w14:textId="49CAE5D1">
            <w:pPr>
              <w:spacing w:after="0" w:line="240" w:lineRule="auto"/>
              <w:rPr>
                <w:rFonts w:ascii="Times New Roman" w:hAnsi="Times New Roman" w:eastAsia="Times New Roman" w:cs="Times New Roman"/>
                <w:kern w:val="0"/>
                <w:sz w:val="24"/>
                <w:szCs w:val="24"/>
                <w:lang w:eastAsia="en-GB"/>
                <w14:ligatures w14:val="none"/>
              </w:rPr>
            </w:pPr>
            <w:r w:rsidRPr="00C56A1E">
              <w:rPr>
                <w:rFonts w:ascii="Times New Roman" w:hAnsi="Times New Roman" w:eastAsia="Times New Roman" w:cs="Times New Roman"/>
                <w:kern w:val="0"/>
                <w:sz w:val="24"/>
                <w:szCs w:val="24"/>
                <w:lang w:eastAsia="en-GB"/>
                <w14:ligatures w14:val="none"/>
              </w:rPr>
              <w:t>3.</w:t>
            </w:r>
          </w:p>
        </w:tc>
        <w:tc>
          <w:tcPr>
            <w:tcW w:w="2182" w:type="dxa"/>
            <w:shd w:val="clear" w:color="auto" w:fill="FFFFFF" w:themeFill="background1"/>
            <w:tcMar>
              <w:top w:w="0" w:type="dxa"/>
              <w:left w:w="108" w:type="dxa"/>
              <w:bottom w:w="0" w:type="dxa"/>
              <w:right w:w="108" w:type="dxa"/>
            </w:tcMar>
          </w:tcPr>
          <w:p w:rsidRPr="00C56A1E" w:rsidR="00BD0312" w:rsidP="00231DA9" w:rsidRDefault="00BD0312" w14:paraId="687B11F4" w14:textId="3FF537D0">
            <w:pPr>
              <w:spacing w:after="0" w:line="240" w:lineRule="auto"/>
              <w:rPr>
                <w:rFonts w:ascii="Times New Roman" w:hAnsi="Times New Roman" w:eastAsia="Times New Roman" w:cs="Times New Roman"/>
                <w:color w:val="000000"/>
                <w:kern w:val="0"/>
                <w:sz w:val="24"/>
                <w:szCs w:val="24"/>
                <w:lang w:eastAsia="lt-LT"/>
                <w14:ligatures w14:val="none"/>
              </w:rPr>
            </w:pPr>
            <w:r w:rsidRPr="00C56A1E">
              <w:rPr>
                <w:rFonts w:ascii="Times New Roman" w:hAnsi="Times New Roman" w:cs="Times New Roman"/>
                <w:sz w:val="24"/>
                <w:szCs w:val="24"/>
              </w:rPr>
              <w:t>Visos WBC populiacijos matuojamos tiesiogiai, nenaudojant papildomų reagentų ar dažų</w:t>
            </w:r>
          </w:p>
        </w:tc>
        <w:tc>
          <w:tcPr>
            <w:tcW w:w="4175" w:type="dxa"/>
            <w:shd w:val="clear" w:color="auto" w:fill="FFFFFF" w:themeFill="background1"/>
            <w:tcMar/>
          </w:tcPr>
          <w:p w:rsidRPr="00C56A1E" w:rsidR="00BD0312" w:rsidP="00BD0312" w:rsidRDefault="00294CA8" w14:paraId="546CAD82" w14:textId="0529B7D1">
            <w:pPr>
              <w:spacing w:after="0" w:line="240" w:lineRule="auto"/>
              <w:jc w:val="both"/>
              <w:rPr>
                <w:rFonts w:ascii="Times New Roman" w:hAnsi="Times New Roman" w:eastAsia="Times New Roman" w:cs="Times New Roman"/>
                <w:color w:val="000000"/>
                <w:kern w:val="0"/>
                <w:sz w:val="24"/>
                <w:szCs w:val="24"/>
                <w:lang w:eastAsia="lt-LT"/>
                <w14:ligatures w14:val="none"/>
              </w:rPr>
            </w:pPr>
            <w:r w:rsidRPr="00C56A1E">
              <w:rPr>
                <w:rFonts w:ascii="Times New Roman" w:hAnsi="Times New Roman" w:cs="Times New Roman"/>
                <w:sz w:val="24"/>
                <w:szCs w:val="24"/>
              </w:rPr>
              <w:t>Siūlome Perkančiajai organizacijai pašalinti iš ekonominio naudingumo balų lentelės p.nr. 3 “</w:t>
            </w:r>
            <w:r w:rsidRPr="00C56A1E">
              <w:rPr>
                <w:rFonts w:ascii="Times New Roman" w:hAnsi="Times New Roman" w:cs="Times New Roman"/>
                <w:i/>
                <w:iCs/>
                <w:sz w:val="24"/>
                <w:szCs w:val="24"/>
              </w:rPr>
              <w:t xml:space="preserve">Visos WBC populiacijos išmatuojamos tiesiogiai, nenaudojami jokie papildomi reagentai ir/ar dažai”. </w:t>
            </w:r>
            <w:r w:rsidRPr="00C56A1E">
              <w:rPr>
                <w:rFonts w:ascii="Times New Roman" w:hAnsi="Times New Roman" w:cs="Times New Roman"/>
                <w:sz w:val="24"/>
                <w:szCs w:val="24"/>
              </w:rPr>
              <w:t>Vertiname, kad toks PO reikalavimas yra perteklinis ir iš esmės riboja konkurenciją tarp tiekėjų. Kriterijus nėra susijęs su ekonomine nauda bei pažeidžia skaidrumo ir nediskriminavimo principą.</w:t>
            </w:r>
          </w:p>
        </w:tc>
        <w:tc>
          <w:tcPr>
            <w:tcW w:w="6946" w:type="dxa"/>
            <w:shd w:val="clear" w:color="auto" w:fill="FFFFFF" w:themeFill="background1"/>
            <w:tcMar/>
          </w:tcPr>
          <w:p w:rsidRPr="00C56A1E" w:rsidR="00BD0312" w:rsidP="54D617E0" w:rsidRDefault="00A86308" w14:paraId="68493555" w14:textId="19D0A9B7">
            <w:pPr>
              <w:spacing w:before="100" w:beforeAutospacing="on" w:after="100" w:afterAutospacing="on" w:line="240" w:lineRule="auto"/>
              <w:ind w:left="79" w:right="141"/>
              <w:jc w:val="both"/>
              <w:rPr>
                <w:rFonts w:ascii="Times New Roman" w:hAnsi="Times New Roman" w:eastAsia="Times New Roman" w:cs="Times New Roman"/>
                <w:color w:val="FF0000"/>
                <w:kern w:val="0"/>
                <w:sz w:val="24"/>
                <w:szCs w:val="24"/>
                <w14:ligatures w14:val="none"/>
              </w:rPr>
            </w:pPr>
            <w:r w:rsidRPr="54D617E0" w:rsidR="00A86308">
              <w:rPr>
                <w:rFonts w:ascii="Times New Roman" w:hAnsi="Times New Roman" w:cs="Times New Roman"/>
                <w:sz w:val="24"/>
                <w:szCs w:val="24"/>
              </w:rPr>
              <w:t>Šis kriterijus užtikrina greitesnį bei patikimesnį tyrimų atlikimą, supaprastina darbo procesą.</w:t>
            </w:r>
            <w:r w:rsidRPr="54D617E0" w:rsidR="098F8BE3">
              <w:rPr>
                <w:rFonts w:ascii="Times New Roman" w:hAnsi="Times New Roman" w:cs="Times New Roman"/>
                <w:sz w:val="24"/>
                <w:szCs w:val="24"/>
              </w:rPr>
              <w:t xml:space="preserve"> Šis kriterijus nėra ribojantis konkurencijos, nes k</w:t>
            </w:r>
            <w:r w:rsidRPr="54D617E0" w:rsidR="098F8BE3">
              <w:rPr>
                <w:rFonts w:ascii="Times New Roman" w:hAnsi="Times New Roman" w:eastAsia="Times New Roman" w:cs="Times New Roman"/>
                <w:sz w:val="24"/>
                <w:szCs w:val="24"/>
              </w:rPr>
              <w:t>riterijus neeliminuoja tiekėjų iš pirkimo procedūros</w:t>
            </w:r>
            <w:r w:rsidRPr="54D617E0" w:rsidR="009B620B">
              <w:rPr>
                <w:rFonts w:ascii="Times New Roman" w:hAnsi="Times New Roman" w:eastAsia="Times New Roman" w:cs="Times New Roman"/>
                <w:sz w:val="24"/>
                <w:szCs w:val="24"/>
              </w:rPr>
              <w:t xml:space="preserve">, jis </w:t>
            </w:r>
            <w:r w:rsidRPr="54D617E0" w:rsidR="00617649">
              <w:rPr>
                <w:rFonts w:ascii="Times New Roman" w:hAnsi="Times New Roman" w:eastAsia="Times New Roman" w:cs="Times New Roman"/>
                <w:sz w:val="24"/>
                <w:szCs w:val="24"/>
              </w:rPr>
              <w:t>nėra Techninės specifikacijos reikalavimas</w:t>
            </w:r>
            <w:r w:rsidRPr="54D617E0" w:rsidR="00617649">
              <w:rPr>
                <w:rFonts w:ascii="Times New Roman" w:hAnsi="Times New Roman" w:eastAsia="Times New Roman" w:cs="Times New Roman"/>
                <w:sz w:val="24"/>
                <w:szCs w:val="24"/>
              </w:rPr>
              <w:t>, todėl neprivaloma jo atitikti</w:t>
            </w:r>
            <w:r w:rsidRPr="54D617E0" w:rsidR="098F8BE3">
              <w:rPr>
                <w:rFonts w:ascii="Times New Roman" w:hAnsi="Times New Roman" w:eastAsia="Times New Roman" w:cs="Times New Roman"/>
                <w:sz w:val="24"/>
                <w:szCs w:val="24"/>
              </w:rPr>
              <w:t>.</w:t>
            </w:r>
            <w:r w:rsidRPr="54D617E0" w:rsidR="00A86308">
              <w:rPr>
                <w:rFonts w:ascii="Times New Roman" w:hAnsi="Times New Roman" w:cs="Times New Roman"/>
                <w:sz w:val="24"/>
                <w:szCs w:val="24"/>
              </w:rPr>
              <w:t xml:space="preserve"> </w:t>
            </w:r>
            <w:r w:rsidRPr="54D617E0" w:rsidR="00A86308">
              <w:rPr>
                <w:rFonts w:ascii="Times New Roman" w:hAnsi="Times New Roman" w:cs="Times New Roman"/>
                <w:b w:val="1"/>
                <w:bCs w:val="1"/>
                <w:sz w:val="24"/>
                <w:szCs w:val="24"/>
              </w:rPr>
              <w:t>Kriterijus</w:t>
            </w:r>
            <w:r w:rsidRPr="54D617E0" w:rsidR="00A42CED">
              <w:rPr>
                <w:rFonts w:ascii="Times New Roman" w:hAnsi="Times New Roman" w:cs="Times New Roman"/>
                <w:b w:val="1"/>
                <w:bCs w:val="1"/>
                <w:sz w:val="24"/>
                <w:szCs w:val="24"/>
              </w:rPr>
              <w:t xml:space="preserve"> ne</w:t>
            </w:r>
            <w:r w:rsidRPr="54D617E0" w:rsidR="006F34EB">
              <w:rPr>
                <w:rFonts w:ascii="Times New Roman" w:hAnsi="Times New Roman" w:cs="Times New Roman"/>
                <w:b w:val="1"/>
                <w:bCs w:val="1"/>
                <w:sz w:val="24"/>
                <w:szCs w:val="24"/>
              </w:rPr>
              <w:t>keičiamas</w:t>
            </w:r>
            <w:r w:rsidRPr="54D617E0" w:rsidR="00A86308">
              <w:rPr>
                <w:rFonts w:ascii="Times New Roman" w:hAnsi="Times New Roman" w:cs="Times New Roman"/>
                <w:sz w:val="24"/>
                <w:szCs w:val="24"/>
              </w:rPr>
              <w:t>.</w:t>
            </w:r>
          </w:p>
        </w:tc>
      </w:tr>
      <w:tr w:rsidRPr="00C56A1E" w:rsidR="00BD0312" w:rsidTr="54D617E0" w14:paraId="6E1826E3" w14:textId="77777777">
        <w:trPr>
          <w:trHeight w:val="555"/>
        </w:trPr>
        <w:tc>
          <w:tcPr>
            <w:tcW w:w="1288" w:type="dxa"/>
            <w:shd w:val="clear" w:color="auto" w:fill="FFFFFF" w:themeFill="background1"/>
            <w:tcMar/>
            <w:vAlign w:val="center"/>
          </w:tcPr>
          <w:p w:rsidRPr="00C56A1E" w:rsidR="00BD0312" w:rsidP="00BD0312" w:rsidRDefault="00A86308" w14:paraId="3AA9649E" w14:textId="2C66533C">
            <w:pPr>
              <w:spacing w:after="0" w:line="240" w:lineRule="auto"/>
              <w:rPr>
                <w:rFonts w:ascii="Times New Roman" w:hAnsi="Times New Roman" w:eastAsia="Times New Roman" w:cs="Times New Roman"/>
                <w:kern w:val="0"/>
                <w:sz w:val="24"/>
                <w:szCs w:val="24"/>
                <w:lang w:eastAsia="en-GB"/>
                <w14:ligatures w14:val="none"/>
              </w:rPr>
            </w:pPr>
            <w:r w:rsidRPr="00C56A1E">
              <w:rPr>
                <w:rFonts w:ascii="Times New Roman" w:hAnsi="Times New Roman" w:eastAsia="Times New Roman" w:cs="Times New Roman"/>
                <w:kern w:val="0"/>
                <w:sz w:val="24"/>
                <w:szCs w:val="24"/>
                <w:lang w:eastAsia="en-GB"/>
                <w14:ligatures w14:val="none"/>
              </w:rPr>
              <w:t>4.</w:t>
            </w:r>
          </w:p>
        </w:tc>
        <w:tc>
          <w:tcPr>
            <w:tcW w:w="2182" w:type="dxa"/>
            <w:shd w:val="clear" w:color="auto" w:fill="FFFFFF" w:themeFill="background1"/>
            <w:tcMar>
              <w:top w:w="0" w:type="dxa"/>
              <w:left w:w="108" w:type="dxa"/>
              <w:bottom w:w="0" w:type="dxa"/>
              <w:right w:w="108" w:type="dxa"/>
            </w:tcMar>
          </w:tcPr>
          <w:p w:rsidRPr="00C56A1E" w:rsidR="00BD0312" w:rsidP="00231DA9" w:rsidRDefault="00A86308" w14:paraId="0F85CD9B" w14:textId="002D265C">
            <w:pPr>
              <w:spacing w:after="0" w:line="240" w:lineRule="auto"/>
              <w:rPr>
                <w:rFonts w:ascii="Times New Roman" w:hAnsi="Times New Roman" w:eastAsia="Times New Roman" w:cs="Times New Roman"/>
                <w:color w:val="000000"/>
                <w:kern w:val="0"/>
                <w:sz w:val="24"/>
                <w:szCs w:val="24"/>
                <w:lang w:eastAsia="lt-LT"/>
                <w14:ligatures w14:val="none"/>
              </w:rPr>
            </w:pPr>
            <w:r w:rsidRPr="00C56A1E">
              <w:rPr>
                <w:rFonts w:ascii="Times New Roman" w:hAnsi="Times New Roman" w:cs="Times New Roman"/>
                <w:sz w:val="24"/>
                <w:szCs w:val="24"/>
              </w:rPr>
              <w:t xml:space="preserve"> Terminologija „Accuracy“</w:t>
            </w:r>
          </w:p>
        </w:tc>
        <w:tc>
          <w:tcPr>
            <w:tcW w:w="4175" w:type="dxa"/>
            <w:shd w:val="clear" w:color="auto" w:fill="FFFFFF" w:themeFill="background1"/>
            <w:tcMar/>
          </w:tcPr>
          <w:p w:rsidRPr="00907836" w:rsidR="00907836" w:rsidP="00907836" w:rsidRDefault="00907836" w14:paraId="00FF2B86" w14:textId="3FBD2309">
            <w:pPr>
              <w:spacing w:after="0" w:line="240" w:lineRule="auto"/>
              <w:jc w:val="both"/>
              <w:rPr>
                <w:rFonts w:ascii="Times New Roman" w:hAnsi="Times New Roman" w:cs="Times New Roman"/>
                <w:sz w:val="24"/>
                <w:szCs w:val="24"/>
              </w:rPr>
            </w:pPr>
            <w:r w:rsidRPr="00907836">
              <w:rPr>
                <w:rFonts w:ascii="Times New Roman" w:hAnsi="Times New Roman" w:cs="Times New Roman"/>
                <w:sz w:val="24"/>
                <w:szCs w:val="24"/>
              </w:rPr>
              <w:t>Prašome Perkančiosios organizacijos atkreipti dėmesį į ekonominio naudingumo kriterijaus p.nr. 4, formuluotę “</w:t>
            </w:r>
            <w:r w:rsidRPr="00907836">
              <w:rPr>
                <w:rFonts w:ascii="Times New Roman" w:hAnsi="Times New Roman" w:cs="Times New Roman"/>
                <w:i/>
                <w:iCs/>
                <w:sz w:val="24"/>
                <w:szCs w:val="24"/>
              </w:rPr>
              <w:t xml:space="preserve">Hematologinio prietaiso matavimų verčių, atitinkančių pamatinių biologinių verčių intervalo vertes, tikslumas / tikrumas (angl. Accuracy)” </w:t>
            </w:r>
            <w:r w:rsidRPr="00907836">
              <w:rPr>
                <w:rFonts w:ascii="Times New Roman" w:hAnsi="Times New Roman" w:cs="Times New Roman"/>
                <w:sz w:val="24"/>
                <w:szCs w:val="24"/>
              </w:rPr>
              <w:t>siūlome reikalavimą formuluoti sekančiai:</w:t>
            </w:r>
          </w:p>
          <w:p w:rsidRPr="00C56A1E" w:rsidR="00BD0312" w:rsidP="00907836" w:rsidRDefault="00907836" w14:paraId="4F9AB834" w14:textId="77777777">
            <w:pPr>
              <w:spacing w:after="0" w:line="240" w:lineRule="auto"/>
              <w:jc w:val="both"/>
              <w:rPr>
                <w:rFonts w:ascii="Times New Roman" w:hAnsi="Times New Roman" w:cs="Times New Roman"/>
                <w:i/>
                <w:iCs/>
                <w:sz w:val="24"/>
                <w:szCs w:val="24"/>
              </w:rPr>
            </w:pPr>
            <w:r w:rsidRPr="00C56A1E">
              <w:rPr>
                <w:rFonts w:ascii="Times New Roman" w:hAnsi="Times New Roman" w:cs="Times New Roman"/>
                <w:sz w:val="24"/>
                <w:szCs w:val="24"/>
              </w:rPr>
              <w:t xml:space="preserve">“ Hematologinio prietaiso matavimų verčių, atitinkančių pamatinių biologinių verčių </w:t>
            </w:r>
            <w:r w:rsidRPr="00C56A1E">
              <w:rPr>
                <w:rFonts w:ascii="Times New Roman" w:hAnsi="Times New Roman" w:cs="Times New Roman"/>
                <w:i/>
                <w:iCs/>
                <w:sz w:val="24"/>
                <w:szCs w:val="24"/>
              </w:rPr>
              <w:t>intervalo vertes, tikslumas / tikrumas (angl. Accuracy arba linearity range)”</w:t>
            </w:r>
          </w:p>
          <w:p w:rsidRPr="00C56A1E" w:rsidR="00817014" w:rsidP="00907836" w:rsidRDefault="00817014" w14:paraId="1B2D5C5F" w14:textId="7D89B552">
            <w:pPr>
              <w:spacing w:after="0" w:line="240" w:lineRule="auto"/>
              <w:jc w:val="both"/>
              <w:rPr>
                <w:rFonts w:ascii="Times New Roman" w:hAnsi="Times New Roman" w:eastAsia="Times New Roman" w:cs="Times New Roman"/>
                <w:color w:val="000000"/>
                <w:kern w:val="0"/>
                <w:sz w:val="24"/>
                <w:szCs w:val="24"/>
                <w:lang w:eastAsia="lt-LT"/>
                <w14:ligatures w14:val="none"/>
              </w:rPr>
            </w:pPr>
            <w:r w:rsidRPr="00C56A1E">
              <w:rPr>
                <w:rFonts w:ascii="Times New Roman" w:hAnsi="Times New Roman" w:eastAsia="Times New Roman" w:cs="Times New Roman"/>
                <w:color w:val="000000"/>
                <w:kern w:val="0"/>
                <w:sz w:val="24"/>
                <w:szCs w:val="24"/>
                <w:lang w:eastAsia="lt-LT"/>
                <w14:ligatures w14:val="none"/>
              </w:rPr>
              <w:t>Perkančioji organizacija turi įvertinti tai, kad (</w:t>
            </w:r>
            <w:r w:rsidRPr="00C56A1E">
              <w:rPr>
                <w:rFonts w:ascii="Times New Roman" w:hAnsi="Times New Roman" w:eastAsia="Times New Roman" w:cs="Times New Roman"/>
                <w:i/>
                <w:iCs/>
                <w:color w:val="000000"/>
                <w:kern w:val="0"/>
                <w:sz w:val="24"/>
                <w:szCs w:val="24"/>
                <w:lang w:eastAsia="lt-LT"/>
                <w14:ligatures w14:val="none"/>
              </w:rPr>
              <w:t>angl. Accuracy</w:t>
            </w:r>
            <w:r w:rsidRPr="00C56A1E">
              <w:rPr>
                <w:rFonts w:ascii="Times New Roman" w:hAnsi="Times New Roman" w:eastAsia="Times New Roman" w:cs="Times New Roman"/>
                <w:color w:val="000000"/>
                <w:kern w:val="0"/>
                <w:sz w:val="24"/>
                <w:szCs w:val="24"/>
                <w:lang w:eastAsia="lt-LT"/>
                <w14:ligatures w14:val="none"/>
              </w:rPr>
              <w:t xml:space="preserve">) terminą vartotojo vadovuose naudoja ne visi gamintojai. Kai kurie gamintojai vartoja tokius terminus </w:t>
            </w:r>
            <w:r w:rsidRPr="00C56A1E">
              <w:rPr>
                <w:rFonts w:ascii="Times New Roman" w:hAnsi="Times New Roman" w:eastAsia="Times New Roman" w:cs="Times New Roman"/>
                <w:color w:val="000000"/>
                <w:kern w:val="0"/>
                <w:sz w:val="24"/>
                <w:szCs w:val="24"/>
                <w:lang w:eastAsia="lt-LT"/>
                <w14:ligatures w14:val="none"/>
              </w:rPr>
              <w:t>kaip (</w:t>
            </w:r>
            <w:r w:rsidRPr="00C56A1E">
              <w:rPr>
                <w:rFonts w:ascii="Times New Roman" w:hAnsi="Times New Roman" w:eastAsia="Times New Roman" w:cs="Times New Roman"/>
                <w:i/>
                <w:iCs/>
                <w:color w:val="000000"/>
                <w:kern w:val="0"/>
                <w:sz w:val="24"/>
                <w:szCs w:val="24"/>
                <w:lang w:eastAsia="lt-LT"/>
                <w14:ligatures w14:val="none"/>
              </w:rPr>
              <w:t xml:space="preserve">angl. linearity range, precision”. </w:t>
            </w:r>
            <w:r w:rsidRPr="00C56A1E">
              <w:rPr>
                <w:rFonts w:ascii="Times New Roman" w:hAnsi="Times New Roman" w:eastAsia="Times New Roman" w:cs="Times New Roman"/>
                <w:color w:val="000000"/>
                <w:kern w:val="0"/>
                <w:sz w:val="24"/>
                <w:szCs w:val="24"/>
                <w:lang w:eastAsia="lt-LT"/>
                <w14:ligatures w14:val="none"/>
              </w:rPr>
              <w:t xml:space="preserve">Toks Perkančiosios organizacijos pasirinkimas neobjektyviai riboja galimybę varžytis tiekėjas, kurių analizatoriai atitinka visus techninius ir klinikinius tikslumo reikalavimus, tačiau jų pateikiamuose dokumentuose nėra vartojamas terminas “accuracy” . Ekonominio naudingumo kriterijus, reikalaujantis, kad terminas „accuracy“, kuris pateiktas gamintojo dokumentacijoje ar vartotojo vadove, </w:t>
            </w:r>
            <w:r w:rsidRPr="00C56A1E">
              <w:rPr>
                <w:rFonts w:ascii="Times New Roman" w:hAnsi="Times New Roman" w:eastAsia="Times New Roman" w:cs="Times New Roman"/>
                <w:b/>
                <w:bCs/>
                <w:color w:val="000000"/>
                <w:kern w:val="0"/>
                <w:sz w:val="24"/>
                <w:szCs w:val="24"/>
                <w:lang w:eastAsia="lt-LT"/>
                <w14:ligatures w14:val="none"/>
              </w:rPr>
              <w:t>faktiškai išskiria vieną konkretų gamintoją (</w:t>
            </w:r>
            <w:r w:rsidRPr="00C56A1E" w:rsidR="003778DE">
              <w:rPr>
                <w:rFonts w:ascii="Times New Roman" w:hAnsi="Times New Roman" w:eastAsia="Times New Roman" w:cs="Times New Roman"/>
                <w:b/>
                <w:bCs/>
                <w:color w:val="000000"/>
                <w:kern w:val="0"/>
                <w:sz w:val="24"/>
                <w:szCs w:val="24"/>
                <w:lang w:eastAsia="lt-LT"/>
                <w14:ligatures w14:val="none"/>
              </w:rPr>
              <w:t>X</w:t>
            </w:r>
            <w:r w:rsidRPr="00C56A1E">
              <w:rPr>
                <w:rFonts w:ascii="Times New Roman" w:hAnsi="Times New Roman" w:eastAsia="Times New Roman" w:cs="Times New Roman"/>
                <w:b/>
                <w:bCs/>
                <w:color w:val="000000"/>
                <w:kern w:val="0"/>
                <w:sz w:val="24"/>
                <w:szCs w:val="24"/>
                <w:lang w:eastAsia="lt-LT"/>
                <w14:ligatures w14:val="none"/>
              </w:rPr>
              <w:t xml:space="preserve">) </w:t>
            </w:r>
            <w:r w:rsidRPr="00C56A1E">
              <w:rPr>
                <w:rFonts w:ascii="Times New Roman" w:hAnsi="Times New Roman" w:eastAsia="Times New Roman" w:cs="Times New Roman"/>
                <w:color w:val="000000"/>
                <w:kern w:val="0"/>
                <w:sz w:val="24"/>
                <w:szCs w:val="24"/>
                <w:lang w:eastAsia="lt-LT"/>
                <w14:ligatures w14:val="none"/>
              </w:rPr>
              <w:t xml:space="preserve">ir </w:t>
            </w:r>
            <w:r w:rsidRPr="00C56A1E">
              <w:rPr>
                <w:rFonts w:ascii="Times New Roman" w:hAnsi="Times New Roman" w:eastAsia="Times New Roman" w:cs="Times New Roman"/>
                <w:b/>
                <w:bCs/>
                <w:color w:val="000000"/>
                <w:kern w:val="0"/>
                <w:sz w:val="24"/>
                <w:szCs w:val="24"/>
                <w:lang w:eastAsia="lt-LT"/>
                <w14:ligatures w14:val="none"/>
              </w:rPr>
              <w:t>apriboja kitų gamintojų teisę dalyvauti konkurse</w:t>
            </w:r>
            <w:r w:rsidRPr="00C56A1E">
              <w:rPr>
                <w:rFonts w:ascii="Times New Roman" w:hAnsi="Times New Roman" w:eastAsia="Times New Roman" w:cs="Times New Roman"/>
                <w:color w:val="000000"/>
                <w:kern w:val="0"/>
                <w:sz w:val="24"/>
                <w:szCs w:val="24"/>
                <w:lang w:eastAsia="lt-LT"/>
                <w14:ligatures w14:val="none"/>
              </w:rPr>
              <w:t>, nors jų siūloma įranga objektyviai gali atitikti reikalaujamus tikslumo rodiklius. Tai prieštarauja VPĮ 17 str. nustatytiems nediskriminavimo ir proporcingumo principams bei riboja sąžiningą konkurenciją.</w:t>
            </w:r>
          </w:p>
        </w:tc>
        <w:tc>
          <w:tcPr>
            <w:tcW w:w="6946" w:type="dxa"/>
            <w:shd w:val="clear" w:color="auto" w:fill="FFFFFF" w:themeFill="background1"/>
            <w:tcMar/>
          </w:tcPr>
          <w:p w:rsidRPr="00742146" w:rsidR="004141C3" w:rsidP="004141C3" w:rsidRDefault="00A86308" w14:paraId="3716653B" w14:textId="77777777">
            <w:pPr>
              <w:spacing w:after="0" w:line="240" w:lineRule="auto"/>
              <w:ind w:left="79" w:right="141"/>
              <w:jc w:val="both"/>
              <w:rPr>
                <w:rFonts w:ascii="Times New Roman" w:hAnsi="Times New Roman" w:cs="Times New Roman"/>
                <w:sz w:val="24"/>
                <w:szCs w:val="24"/>
              </w:rPr>
            </w:pPr>
            <w:r w:rsidRPr="00C56A1E">
              <w:rPr>
                <w:rFonts w:ascii="Times New Roman" w:hAnsi="Times New Roman" w:cs="Times New Roman"/>
                <w:sz w:val="24"/>
                <w:szCs w:val="24"/>
              </w:rPr>
              <w:t>Paaiškiname, kad bus priimami ir kiti gamintojų dokumentuose vartojami lygiaverčiai terminai („linearity range“, „precision“), kurie pagal esmę atitinka tikslumo reikalavimą. Taigi kriterijus nėra ribojantis konkrečiam gamintojui.</w:t>
            </w:r>
            <w:r w:rsidR="00F1419E">
              <w:rPr>
                <w:rFonts w:ascii="Times New Roman" w:hAnsi="Times New Roman" w:cs="Times New Roman"/>
                <w:sz w:val="24"/>
                <w:szCs w:val="24"/>
              </w:rPr>
              <w:t xml:space="preserve"> </w:t>
            </w:r>
            <w:r w:rsidRPr="00742146" w:rsidR="00F1419E">
              <w:rPr>
                <w:rFonts w:ascii="Times New Roman" w:hAnsi="Times New Roman" w:cs="Times New Roman"/>
                <w:sz w:val="24"/>
                <w:szCs w:val="24"/>
              </w:rPr>
              <w:t xml:space="preserve">Perkančioji organizacija koreguoja T4 </w:t>
            </w:r>
            <w:r w:rsidRPr="00742146" w:rsidR="00B77402">
              <w:rPr>
                <w:rFonts w:ascii="Times New Roman" w:hAnsi="Times New Roman" w:cs="Times New Roman"/>
                <w:sz w:val="24"/>
                <w:szCs w:val="24"/>
              </w:rPr>
              <w:t>kriterija</w:t>
            </w:r>
            <w:r w:rsidRPr="00742146" w:rsidR="00152EF6">
              <w:rPr>
                <w:rFonts w:ascii="Times New Roman" w:hAnsi="Times New Roman" w:cs="Times New Roman"/>
                <w:sz w:val="24"/>
                <w:szCs w:val="24"/>
              </w:rPr>
              <w:t>us formuluotę į:</w:t>
            </w:r>
          </w:p>
          <w:p w:rsidRPr="004141C3" w:rsidR="004141C3" w:rsidP="004141C3" w:rsidRDefault="004141C3" w14:paraId="363D70AB" w14:textId="545A2533">
            <w:pPr>
              <w:spacing w:after="100" w:afterAutospacing="1" w:line="240" w:lineRule="auto"/>
              <w:ind w:left="79" w:right="141"/>
              <w:rPr>
                <w:rFonts w:ascii="Times New Roman" w:hAnsi="Times New Roman" w:cs="Times New Roman"/>
                <w:sz w:val="24"/>
                <w:szCs w:val="24"/>
              </w:rPr>
            </w:pPr>
            <w:r w:rsidRPr="00742146">
              <w:rPr>
                <w:rFonts w:ascii="Times New Roman" w:hAnsi="Times New Roman" w:cs="Times New Roman"/>
                <w:sz w:val="24"/>
                <w:szCs w:val="24"/>
              </w:rPr>
              <w:t>„</w:t>
            </w:r>
            <w:r w:rsidRPr="00742146">
              <w:rPr>
                <w:rFonts w:ascii="Times New Roman" w:hAnsi="Times New Roman" w:cs="Times New Roman"/>
                <w:color w:val="000000"/>
                <w:sz w:val="24"/>
                <w:szCs w:val="24"/>
              </w:rPr>
              <w:t xml:space="preserve">Hematologinio prietaiso matavimų verčių, atitinkančių pamatinių biologinių verčių intervalo vertes, tikslumas / tikrumas (angl. </w:t>
            </w:r>
            <w:r w:rsidRPr="00742146">
              <w:rPr>
                <w:rFonts w:ascii="Times New Roman" w:hAnsi="Times New Roman" w:cs="Times New Roman"/>
                <w:i/>
                <w:iCs/>
                <w:color w:val="000000"/>
                <w:sz w:val="24"/>
                <w:szCs w:val="24"/>
              </w:rPr>
              <w:t>Accuracy</w:t>
            </w:r>
            <w:r w:rsidRPr="00742146">
              <w:rPr>
                <w:rFonts w:ascii="Times New Roman" w:hAnsi="Times New Roman" w:cs="Times New Roman"/>
                <w:color w:val="000000"/>
                <w:sz w:val="24"/>
                <w:szCs w:val="24"/>
              </w:rPr>
              <w:t xml:space="preserve"> </w:t>
            </w:r>
            <w:r w:rsidRPr="00742146">
              <w:rPr>
                <w:rFonts w:ascii="Times New Roman" w:hAnsi="Times New Roman" w:cs="Times New Roman"/>
                <w:i/>
                <w:iCs/>
                <w:sz w:val="24"/>
                <w:szCs w:val="24"/>
              </w:rPr>
              <w:t>arba linearity range,</w:t>
            </w:r>
            <w:r w:rsidRPr="00742146" w:rsidR="00C85F44">
              <w:rPr>
                <w:rFonts w:ascii="Times New Roman" w:hAnsi="Times New Roman" w:cs="Times New Roman"/>
                <w:i/>
                <w:iCs/>
                <w:sz w:val="24"/>
                <w:szCs w:val="24"/>
              </w:rPr>
              <w:t xml:space="preserve"> arba</w:t>
            </w:r>
            <w:r w:rsidRPr="00742146">
              <w:rPr>
                <w:rFonts w:ascii="Times New Roman" w:hAnsi="Times New Roman" w:cs="Times New Roman"/>
                <w:i/>
                <w:iCs/>
                <w:sz w:val="24"/>
                <w:szCs w:val="24"/>
              </w:rPr>
              <w:t xml:space="preserve"> </w:t>
            </w:r>
            <w:r w:rsidRPr="00742146">
              <w:rPr>
                <w:rFonts w:ascii="Times New Roman" w:hAnsi="Times New Roman" w:eastAsia="Times New Roman" w:cs="Times New Roman"/>
                <w:i/>
                <w:iCs/>
                <w:color w:val="000000"/>
                <w:kern w:val="0"/>
                <w:sz w:val="24"/>
                <w:szCs w:val="24"/>
                <w:lang w:eastAsia="lt-LT"/>
                <w14:ligatures w14:val="none"/>
              </w:rPr>
              <w:t>precision</w:t>
            </w:r>
            <w:r w:rsidRPr="00742146" w:rsidR="00C85F44">
              <w:rPr>
                <w:rFonts w:ascii="Times New Roman" w:hAnsi="Times New Roman" w:eastAsia="Times New Roman" w:cs="Times New Roman"/>
                <w:i/>
                <w:iCs/>
                <w:color w:val="000000"/>
                <w:kern w:val="0"/>
                <w:sz w:val="24"/>
                <w:szCs w:val="24"/>
                <w:lang w:eastAsia="lt-LT"/>
                <w14:ligatures w14:val="none"/>
              </w:rPr>
              <w:t>, arba lygiavert</w:t>
            </w:r>
            <w:r w:rsidRPr="00742146" w:rsidR="00E212C9">
              <w:rPr>
                <w:rFonts w:ascii="Times New Roman" w:hAnsi="Times New Roman" w:eastAsia="Times New Roman" w:cs="Times New Roman"/>
                <w:i/>
                <w:iCs/>
                <w:color w:val="000000"/>
                <w:kern w:val="0"/>
                <w:sz w:val="24"/>
                <w:szCs w:val="24"/>
                <w:lang w:eastAsia="lt-LT"/>
                <w14:ligatures w14:val="none"/>
              </w:rPr>
              <w:t>ė</w:t>
            </w:r>
            <w:r w:rsidRPr="00742146">
              <w:rPr>
                <w:rFonts w:ascii="Times New Roman" w:hAnsi="Times New Roman" w:cs="Times New Roman"/>
                <w:color w:val="000000"/>
                <w:sz w:val="24"/>
                <w:szCs w:val="24"/>
              </w:rPr>
              <w:t>):</w:t>
            </w:r>
            <w:r w:rsidRPr="00742146">
              <w:rPr>
                <w:rFonts w:ascii="Times New Roman" w:hAnsi="Times New Roman" w:cs="Times New Roman"/>
                <w:color w:val="000000"/>
                <w:sz w:val="24"/>
                <w:szCs w:val="24"/>
              </w:rPr>
              <w:br/>
            </w:r>
            <w:r w:rsidRPr="00742146">
              <w:rPr>
                <w:rFonts w:ascii="Times New Roman" w:hAnsi="Times New Roman" w:cs="Times New Roman"/>
                <w:color w:val="000000"/>
                <w:sz w:val="24"/>
                <w:szCs w:val="24"/>
              </w:rPr>
              <w:t>1) WBC - ne prastesnis kaip ± 0,3 x 10</w:t>
            </w:r>
            <w:r w:rsidRPr="00742146">
              <w:rPr>
                <w:rFonts w:ascii="Times New Roman" w:hAnsi="Times New Roman" w:cs="Times New Roman"/>
                <w:color w:val="000000"/>
                <w:sz w:val="24"/>
                <w:szCs w:val="24"/>
                <w:vertAlign w:val="superscript"/>
              </w:rPr>
              <w:t>9</w:t>
            </w:r>
            <w:r w:rsidRPr="00742146">
              <w:rPr>
                <w:rFonts w:ascii="Times New Roman" w:hAnsi="Times New Roman" w:cs="Times New Roman"/>
                <w:color w:val="000000"/>
                <w:sz w:val="24"/>
                <w:szCs w:val="24"/>
              </w:rPr>
              <w:t xml:space="preserve"> ląstelių/l;</w:t>
            </w:r>
            <w:r w:rsidRPr="00742146">
              <w:rPr>
                <w:rFonts w:ascii="Times New Roman" w:hAnsi="Times New Roman" w:cs="Times New Roman"/>
                <w:color w:val="000000"/>
                <w:sz w:val="24"/>
                <w:szCs w:val="24"/>
              </w:rPr>
              <w:br/>
            </w:r>
            <w:r w:rsidRPr="00742146">
              <w:rPr>
                <w:rFonts w:ascii="Times New Roman" w:hAnsi="Times New Roman" w:cs="Times New Roman"/>
                <w:color w:val="000000"/>
                <w:sz w:val="24"/>
                <w:szCs w:val="24"/>
              </w:rPr>
              <w:t>2) RBC - ne prastesnis kaip ± 0,2 x 10</w:t>
            </w:r>
            <w:r w:rsidRPr="00742146">
              <w:rPr>
                <w:rFonts w:ascii="Times New Roman" w:hAnsi="Times New Roman" w:cs="Times New Roman"/>
                <w:color w:val="000000"/>
                <w:sz w:val="24"/>
                <w:szCs w:val="24"/>
                <w:vertAlign w:val="superscript"/>
              </w:rPr>
              <w:t>12</w:t>
            </w:r>
            <w:r w:rsidRPr="00742146">
              <w:rPr>
                <w:rFonts w:ascii="Times New Roman" w:hAnsi="Times New Roman" w:cs="Times New Roman"/>
                <w:color w:val="000000"/>
                <w:sz w:val="24"/>
                <w:szCs w:val="24"/>
              </w:rPr>
              <w:t xml:space="preserve"> ląstelių/l;</w:t>
            </w:r>
            <w:r w:rsidRPr="00742146">
              <w:rPr>
                <w:rFonts w:ascii="Times New Roman" w:hAnsi="Times New Roman" w:cs="Times New Roman"/>
                <w:color w:val="000000"/>
                <w:sz w:val="24"/>
                <w:szCs w:val="24"/>
              </w:rPr>
              <w:br/>
            </w:r>
            <w:r w:rsidRPr="00742146">
              <w:rPr>
                <w:rFonts w:ascii="Times New Roman" w:hAnsi="Times New Roman" w:cs="Times New Roman"/>
                <w:color w:val="000000"/>
                <w:sz w:val="24"/>
                <w:szCs w:val="24"/>
              </w:rPr>
              <w:t>3) HGB - ne prastesnis kaip ± 3 g/l;</w:t>
            </w:r>
            <w:r w:rsidRPr="00742146">
              <w:rPr>
                <w:rFonts w:ascii="Times New Roman" w:hAnsi="Times New Roman" w:cs="Times New Roman"/>
                <w:color w:val="000000"/>
                <w:sz w:val="24"/>
                <w:szCs w:val="24"/>
              </w:rPr>
              <w:br/>
            </w:r>
            <w:r w:rsidRPr="00742146">
              <w:rPr>
                <w:rFonts w:ascii="Times New Roman" w:hAnsi="Times New Roman" w:cs="Times New Roman"/>
                <w:color w:val="000000"/>
                <w:sz w:val="24"/>
                <w:szCs w:val="24"/>
              </w:rPr>
              <w:t>4) PLT - ne prastesnis kaip ± 10 x 10</w:t>
            </w:r>
            <w:r w:rsidRPr="00742146">
              <w:rPr>
                <w:rFonts w:ascii="Times New Roman" w:hAnsi="Times New Roman" w:cs="Times New Roman"/>
                <w:color w:val="000000"/>
                <w:sz w:val="24"/>
                <w:szCs w:val="24"/>
                <w:vertAlign w:val="superscript"/>
              </w:rPr>
              <w:t>9</w:t>
            </w:r>
            <w:r w:rsidRPr="00742146">
              <w:rPr>
                <w:rFonts w:ascii="Times New Roman" w:hAnsi="Times New Roman" w:cs="Times New Roman"/>
                <w:color w:val="000000"/>
                <w:sz w:val="24"/>
                <w:szCs w:val="24"/>
              </w:rPr>
              <w:t xml:space="preserve"> ląstelių/l.</w:t>
            </w:r>
          </w:p>
        </w:tc>
      </w:tr>
    </w:tbl>
    <w:p w:rsidRPr="00C56A1E" w:rsidR="00E0575F" w:rsidP="006C3066" w:rsidRDefault="00E0575F" w14:paraId="5F2EF102" w14:textId="77777777">
      <w:pPr>
        <w:ind w:firstLine="567"/>
        <w:jc w:val="both"/>
        <w:rPr>
          <w:rFonts w:ascii="Times New Roman" w:hAnsi="Times New Roman" w:cs="Times New Roman"/>
          <w:sz w:val="24"/>
          <w:szCs w:val="24"/>
        </w:rPr>
      </w:pPr>
    </w:p>
    <w:p w:rsidRPr="00C56A1E" w:rsidR="009864CF" w:rsidP="006C3066" w:rsidRDefault="006762D3" w14:paraId="26E0D4C3" w14:textId="77777777">
      <w:pPr>
        <w:ind w:firstLine="567"/>
        <w:jc w:val="both"/>
        <w:rPr>
          <w:rFonts w:ascii="Times New Roman" w:hAnsi="Times New Roman" w:cs="Times New Roman"/>
          <w:sz w:val="24"/>
          <w:szCs w:val="24"/>
        </w:rPr>
      </w:pPr>
      <w:r w:rsidRPr="00C56A1E">
        <w:rPr>
          <w:rFonts w:ascii="Times New Roman" w:hAnsi="Times New Roman" w:cs="Times New Roman"/>
          <w:sz w:val="24"/>
          <w:szCs w:val="24"/>
        </w:rPr>
        <w:t>Dėkojame už aktyvų dalyvavimą teikiant pastabas.</w:t>
      </w:r>
    </w:p>
    <w:p w:rsidRPr="00C56A1E" w:rsidR="009864CF" w:rsidP="005E59BF" w:rsidRDefault="00E22049" w14:paraId="1A4EFA0F" w14:textId="77777777">
      <w:pPr>
        <w:autoSpaceDE w:val="0"/>
        <w:autoSpaceDN w:val="0"/>
        <w:adjustRightInd w:val="0"/>
        <w:spacing w:line="276" w:lineRule="auto"/>
        <w:ind w:firstLine="567"/>
        <w:jc w:val="both"/>
        <w:rPr>
          <w:rFonts w:ascii="Times New Roman" w:hAnsi="Times New Roman" w:cs="Times New Roman"/>
          <w:sz w:val="24"/>
          <w:szCs w:val="24"/>
        </w:rPr>
      </w:pPr>
      <w:r w:rsidRPr="00C56A1E">
        <w:rPr>
          <w:rFonts w:ascii="Times New Roman" w:hAnsi="Times New Roman" w:cs="Times New Roman"/>
          <w:sz w:val="24"/>
          <w:szCs w:val="24"/>
        </w:rPr>
        <w:t>At</w:t>
      </w:r>
      <w:r w:rsidRPr="00C56A1E" w:rsidR="00B80B4F">
        <w:rPr>
          <w:rFonts w:ascii="Times New Roman" w:hAnsi="Times New Roman" w:cs="Times New Roman"/>
          <w:sz w:val="24"/>
          <w:szCs w:val="24"/>
        </w:rPr>
        <w:t>kreipiame dėmesį, kad</w:t>
      </w:r>
      <w:r w:rsidRPr="00C56A1E" w:rsidR="006C3066">
        <w:rPr>
          <w:rFonts w:ascii="Times New Roman" w:hAnsi="Times New Roman" w:cs="Times New Roman"/>
          <w:sz w:val="24"/>
          <w:szCs w:val="24"/>
        </w:rPr>
        <w:t xml:space="preserve">, jei dalyvausite </w:t>
      </w:r>
      <w:r w:rsidRPr="00C56A1E" w:rsidR="00285C99">
        <w:rPr>
          <w:rFonts w:ascii="Times New Roman" w:hAnsi="Times New Roman" w:cs="Times New Roman"/>
          <w:sz w:val="24"/>
          <w:szCs w:val="24"/>
        </w:rPr>
        <w:t xml:space="preserve">planuojamame </w:t>
      </w:r>
      <w:r w:rsidRPr="00C56A1E" w:rsidR="00F825A4">
        <w:rPr>
          <w:rFonts w:ascii="Times New Roman" w:hAnsi="Times New Roman" w:cs="Times New Roman"/>
          <w:sz w:val="24"/>
          <w:szCs w:val="24"/>
        </w:rPr>
        <w:t xml:space="preserve">vykdyti </w:t>
      </w:r>
      <w:r w:rsidRPr="00C56A1E" w:rsidR="00285C99">
        <w:rPr>
          <w:rFonts w:ascii="Times New Roman" w:hAnsi="Times New Roman" w:cs="Times New Roman"/>
          <w:sz w:val="24"/>
          <w:szCs w:val="24"/>
        </w:rPr>
        <w:t xml:space="preserve">pirkime, </w:t>
      </w:r>
      <w:r w:rsidRPr="00C56A1E" w:rsidR="00BC56D7">
        <w:rPr>
          <w:rFonts w:ascii="Times New Roman" w:hAnsi="Times New Roman" w:cs="Times New Roman"/>
          <w:sz w:val="24"/>
          <w:szCs w:val="24"/>
        </w:rPr>
        <w:t>kartu su pasiūlymu pateikiama</w:t>
      </w:r>
      <w:r w:rsidRPr="00C56A1E" w:rsidR="00920232">
        <w:rPr>
          <w:rFonts w:ascii="Times New Roman" w:hAnsi="Times New Roman" w:cs="Times New Roman"/>
          <w:sz w:val="24"/>
          <w:szCs w:val="24"/>
        </w:rPr>
        <w:t xml:space="preserve">me </w:t>
      </w:r>
      <w:r w:rsidRPr="00C56A1E" w:rsidR="00BC56D7">
        <w:rPr>
          <w:rFonts w:ascii="Times New Roman" w:hAnsi="Times New Roman" w:cs="Times New Roman"/>
          <w:sz w:val="24"/>
          <w:szCs w:val="24"/>
        </w:rPr>
        <w:t>Europos bendr</w:t>
      </w:r>
      <w:r w:rsidRPr="00C56A1E" w:rsidR="00226503">
        <w:rPr>
          <w:rFonts w:ascii="Times New Roman" w:hAnsi="Times New Roman" w:cs="Times New Roman"/>
          <w:sz w:val="24"/>
          <w:szCs w:val="24"/>
        </w:rPr>
        <w:t>o</w:t>
      </w:r>
      <w:r w:rsidRPr="00C56A1E" w:rsidR="00920232">
        <w:rPr>
          <w:rFonts w:ascii="Times New Roman" w:hAnsi="Times New Roman" w:cs="Times New Roman"/>
          <w:sz w:val="24"/>
          <w:szCs w:val="24"/>
        </w:rPr>
        <w:t>j</w:t>
      </w:r>
      <w:r w:rsidRPr="00C56A1E" w:rsidR="00226503">
        <w:rPr>
          <w:rFonts w:ascii="Times New Roman" w:hAnsi="Times New Roman" w:cs="Times New Roman"/>
          <w:sz w:val="24"/>
          <w:szCs w:val="24"/>
        </w:rPr>
        <w:t>o</w:t>
      </w:r>
      <w:r w:rsidRPr="00C56A1E" w:rsidR="00BC56D7">
        <w:rPr>
          <w:rFonts w:ascii="Times New Roman" w:hAnsi="Times New Roman" w:cs="Times New Roman"/>
          <w:sz w:val="24"/>
          <w:szCs w:val="24"/>
        </w:rPr>
        <w:t xml:space="preserve"> viešųjų pirkimų dokument</w:t>
      </w:r>
      <w:r w:rsidRPr="00C56A1E" w:rsidR="00226503">
        <w:rPr>
          <w:rFonts w:ascii="Times New Roman" w:hAnsi="Times New Roman" w:cs="Times New Roman"/>
          <w:sz w:val="24"/>
          <w:szCs w:val="24"/>
        </w:rPr>
        <w:t>o</w:t>
      </w:r>
      <w:r w:rsidRPr="00C56A1E" w:rsidR="00BC56D7">
        <w:rPr>
          <w:rFonts w:ascii="Times New Roman" w:hAnsi="Times New Roman" w:cs="Times New Roman"/>
          <w:sz w:val="24"/>
          <w:szCs w:val="24"/>
        </w:rPr>
        <w:t xml:space="preserve"> (</w:t>
      </w:r>
      <w:r w:rsidRPr="00C56A1E" w:rsidR="00920232">
        <w:rPr>
          <w:rFonts w:ascii="Times New Roman" w:hAnsi="Times New Roman" w:cs="Times New Roman"/>
          <w:sz w:val="24"/>
          <w:szCs w:val="24"/>
        </w:rPr>
        <w:t xml:space="preserve">toliau - </w:t>
      </w:r>
      <w:r w:rsidRPr="00C56A1E" w:rsidR="00BC56D7">
        <w:rPr>
          <w:rFonts w:ascii="Times New Roman" w:hAnsi="Times New Roman" w:cs="Times New Roman"/>
          <w:sz w:val="24"/>
          <w:szCs w:val="24"/>
        </w:rPr>
        <w:t>EBVPD)</w:t>
      </w:r>
      <w:r w:rsidRPr="00C56A1E" w:rsidR="00226503">
        <w:rPr>
          <w:rFonts w:ascii="Times New Roman" w:hAnsi="Times New Roman" w:cs="Times New Roman"/>
          <w:sz w:val="24"/>
          <w:szCs w:val="24"/>
        </w:rPr>
        <w:t xml:space="preserve"> III dalies „Pašalinimo pagrindai“ C13 skiltyje į </w:t>
      </w:r>
      <w:r w:rsidRPr="00C56A1E" w:rsidR="006F5581">
        <w:rPr>
          <w:rFonts w:ascii="Times New Roman" w:hAnsi="Times New Roman" w:cs="Times New Roman"/>
          <w:sz w:val="24"/>
          <w:szCs w:val="24"/>
        </w:rPr>
        <w:t>klausimą „</w:t>
      </w:r>
      <w:r w:rsidRPr="00C56A1E" w:rsidR="006F5581">
        <w:rPr>
          <w:rFonts w:ascii="Times New Roman" w:hAnsi="Times New Roman" w:cs="Times New Roman"/>
          <w:i/>
          <w:iCs/>
          <w:sz w:val="24"/>
          <w:szCs w:val="24"/>
          <w:u w:val="single"/>
        </w:rPr>
        <w:t>Tiesioginis arba netiesioginis dalyvavimas rengiant šią procedūrą (VPĮ 46 str. 4 d. 3 p.)“ atsakytumėte „Taip“</w:t>
      </w:r>
      <w:r w:rsidRPr="00C56A1E" w:rsidR="00396CB1">
        <w:rPr>
          <w:rFonts w:ascii="Times New Roman" w:hAnsi="Times New Roman" w:cs="Times New Roman"/>
          <w:i/>
          <w:iCs/>
          <w:sz w:val="24"/>
          <w:szCs w:val="24"/>
          <w:u w:val="single"/>
        </w:rPr>
        <w:t xml:space="preserve">. </w:t>
      </w:r>
      <w:r w:rsidRPr="00C56A1E" w:rsidR="00BC56D7">
        <w:rPr>
          <w:rFonts w:ascii="Times New Roman" w:hAnsi="Times New Roman" w:cs="Times New Roman"/>
          <w:sz w:val="24"/>
          <w:szCs w:val="24"/>
        </w:rPr>
        <w:t xml:space="preserve"> </w:t>
      </w:r>
      <w:r w:rsidRPr="00C56A1E" w:rsidR="00B80B4F">
        <w:rPr>
          <w:rFonts w:ascii="Times New Roman" w:hAnsi="Times New Roman" w:cs="Times New Roman"/>
          <w:sz w:val="24"/>
          <w:szCs w:val="24"/>
        </w:rPr>
        <w:t>Viešųjų pirkimų tarnyba teigia: „</w:t>
      </w:r>
      <w:r w:rsidRPr="00C56A1E" w:rsidR="00B80B4F">
        <w:rPr>
          <w:rFonts w:ascii="Times New Roman" w:hAnsi="Times New Roman" w:cs="Times New Roman"/>
          <w:i/>
          <w:iCs/>
          <w:sz w:val="24"/>
          <w:szCs w:val="24"/>
          <w:u w:val="single"/>
        </w:rPr>
        <w:t>Jei tiekėjas tiesiogiai ar netiesiogiai suteikė pirkimo vykdytojui konsultaciją</w:t>
      </w:r>
      <w:r w:rsidRPr="00C56A1E" w:rsidR="00B80B4F">
        <w:rPr>
          <w:rFonts w:ascii="Times New Roman" w:hAnsi="Times New Roman" w:cs="Times New Roman"/>
          <w:i/>
          <w:iCs/>
          <w:sz w:val="24"/>
          <w:szCs w:val="24"/>
        </w:rPr>
        <w:t xml:space="preserve"> (nesvarbu, ar rinkos tyrimo (jeigu apie atliekamą rinkos tyrimą buvo informuotas raštu), ar </w:t>
      </w:r>
      <w:r w:rsidRPr="00C56A1E" w:rsidR="00B80B4F">
        <w:rPr>
          <w:rFonts w:ascii="Times New Roman" w:hAnsi="Times New Roman" w:cs="Times New Roman"/>
          <w:i/>
          <w:iCs/>
          <w:sz w:val="24"/>
          <w:szCs w:val="24"/>
          <w:u w:val="single"/>
        </w:rPr>
        <w:t>rinkos konsultacijos metu</w:t>
      </w:r>
      <w:r w:rsidRPr="00C56A1E" w:rsidR="00B80B4F">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C56A1E" w:rsidR="00B80B4F">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C56A1E" w:rsidR="00B80B4F">
        <w:rPr>
          <w:rFonts w:ascii="Times New Roman" w:hAnsi="Times New Roman" w:cs="Times New Roman"/>
          <w:sz w:val="24"/>
          <w:szCs w:val="24"/>
        </w:rPr>
        <w:t>.</w:t>
      </w:r>
    </w:p>
    <w:sectPr w:rsidRPr="00C56A1E"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hint="default" w:ascii="Times New Roman" w:hAnsi="Times New Roman" w:cs="Times New Roman" w:eastAsiaTheme="minorHAnsi"/>
      </w:rPr>
    </w:lvl>
    <w:lvl w:ilvl="1" w:tplc="04270003" w:tentative="1">
      <w:start w:val="1"/>
      <w:numFmt w:val="bullet"/>
      <w:lvlText w:val="o"/>
      <w:lvlJc w:val="left"/>
      <w:pPr>
        <w:ind w:left="1216" w:hanging="360"/>
      </w:pPr>
      <w:rPr>
        <w:rFonts w:hint="default" w:ascii="Courier New" w:hAnsi="Courier New" w:cs="Courier New"/>
      </w:rPr>
    </w:lvl>
    <w:lvl w:ilvl="2" w:tplc="04270005" w:tentative="1">
      <w:start w:val="1"/>
      <w:numFmt w:val="bullet"/>
      <w:lvlText w:val=""/>
      <w:lvlJc w:val="left"/>
      <w:pPr>
        <w:ind w:left="1936" w:hanging="360"/>
      </w:pPr>
      <w:rPr>
        <w:rFonts w:hint="default" w:ascii="Wingdings" w:hAnsi="Wingdings"/>
      </w:rPr>
    </w:lvl>
    <w:lvl w:ilvl="3" w:tplc="04270001" w:tentative="1">
      <w:start w:val="1"/>
      <w:numFmt w:val="bullet"/>
      <w:lvlText w:val=""/>
      <w:lvlJc w:val="left"/>
      <w:pPr>
        <w:ind w:left="2656" w:hanging="360"/>
      </w:pPr>
      <w:rPr>
        <w:rFonts w:hint="default" w:ascii="Symbol" w:hAnsi="Symbol"/>
      </w:rPr>
    </w:lvl>
    <w:lvl w:ilvl="4" w:tplc="04270003" w:tentative="1">
      <w:start w:val="1"/>
      <w:numFmt w:val="bullet"/>
      <w:lvlText w:val="o"/>
      <w:lvlJc w:val="left"/>
      <w:pPr>
        <w:ind w:left="3376" w:hanging="360"/>
      </w:pPr>
      <w:rPr>
        <w:rFonts w:hint="default" w:ascii="Courier New" w:hAnsi="Courier New" w:cs="Courier New"/>
      </w:rPr>
    </w:lvl>
    <w:lvl w:ilvl="5" w:tplc="04270005" w:tentative="1">
      <w:start w:val="1"/>
      <w:numFmt w:val="bullet"/>
      <w:lvlText w:val=""/>
      <w:lvlJc w:val="left"/>
      <w:pPr>
        <w:ind w:left="4096" w:hanging="360"/>
      </w:pPr>
      <w:rPr>
        <w:rFonts w:hint="default" w:ascii="Wingdings" w:hAnsi="Wingdings"/>
      </w:rPr>
    </w:lvl>
    <w:lvl w:ilvl="6" w:tplc="04270001" w:tentative="1">
      <w:start w:val="1"/>
      <w:numFmt w:val="bullet"/>
      <w:lvlText w:val=""/>
      <w:lvlJc w:val="left"/>
      <w:pPr>
        <w:ind w:left="4816" w:hanging="360"/>
      </w:pPr>
      <w:rPr>
        <w:rFonts w:hint="default" w:ascii="Symbol" w:hAnsi="Symbol"/>
      </w:rPr>
    </w:lvl>
    <w:lvl w:ilvl="7" w:tplc="04270003" w:tentative="1">
      <w:start w:val="1"/>
      <w:numFmt w:val="bullet"/>
      <w:lvlText w:val="o"/>
      <w:lvlJc w:val="left"/>
      <w:pPr>
        <w:ind w:left="5536" w:hanging="360"/>
      </w:pPr>
      <w:rPr>
        <w:rFonts w:hint="default" w:ascii="Courier New" w:hAnsi="Courier New" w:cs="Courier New"/>
      </w:rPr>
    </w:lvl>
    <w:lvl w:ilvl="8" w:tplc="04270005" w:tentative="1">
      <w:start w:val="1"/>
      <w:numFmt w:val="bullet"/>
      <w:lvlText w:val=""/>
      <w:lvlJc w:val="left"/>
      <w:pPr>
        <w:ind w:left="6256" w:hanging="360"/>
      </w:pPr>
      <w:rPr>
        <w:rFonts w:hint="default" w:ascii="Wingdings" w:hAnsi="Wingdings"/>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471D0"/>
    <w:rsid w:val="00052CAD"/>
    <w:rsid w:val="000539C6"/>
    <w:rsid w:val="0005799D"/>
    <w:rsid w:val="00062E46"/>
    <w:rsid w:val="00082372"/>
    <w:rsid w:val="00090ED1"/>
    <w:rsid w:val="000A34ED"/>
    <w:rsid w:val="000A3AC8"/>
    <w:rsid w:val="000A5F00"/>
    <w:rsid w:val="000B0B0B"/>
    <w:rsid w:val="000B7C99"/>
    <w:rsid w:val="000D17C0"/>
    <w:rsid w:val="000F4BA8"/>
    <w:rsid w:val="000F6B89"/>
    <w:rsid w:val="00101462"/>
    <w:rsid w:val="00104F93"/>
    <w:rsid w:val="00117237"/>
    <w:rsid w:val="00152EF6"/>
    <w:rsid w:val="00182647"/>
    <w:rsid w:val="001A3108"/>
    <w:rsid w:val="001B779F"/>
    <w:rsid w:val="002024FB"/>
    <w:rsid w:val="00226503"/>
    <w:rsid w:val="00227DAA"/>
    <w:rsid w:val="00231DA9"/>
    <w:rsid w:val="00245BEC"/>
    <w:rsid w:val="00246DB0"/>
    <w:rsid w:val="002756AB"/>
    <w:rsid w:val="00285C99"/>
    <w:rsid w:val="00294CA8"/>
    <w:rsid w:val="002B3B07"/>
    <w:rsid w:val="002C502B"/>
    <w:rsid w:val="002E1282"/>
    <w:rsid w:val="002F21F5"/>
    <w:rsid w:val="00343A08"/>
    <w:rsid w:val="003623C3"/>
    <w:rsid w:val="003778DE"/>
    <w:rsid w:val="00396CB1"/>
    <w:rsid w:val="003B3F3B"/>
    <w:rsid w:val="003D21C9"/>
    <w:rsid w:val="003E27B4"/>
    <w:rsid w:val="003F25AE"/>
    <w:rsid w:val="004045EF"/>
    <w:rsid w:val="004141C3"/>
    <w:rsid w:val="00427163"/>
    <w:rsid w:val="00431FE4"/>
    <w:rsid w:val="00446A40"/>
    <w:rsid w:val="00451D7D"/>
    <w:rsid w:val="00484009"/>
    <w:rsid w:val="004A7831"/>
    <w:rsid w:val="004B7B50"/>
    <w:rsid w:val="004E3231"/>
    <w:rsid w:val="00525D48"/>
    <w:rsid w:val="005304E9"/>
    <w:rsid w:val="00545E9D"/>
    <w:rsid w:val="005555BC"/>
    <w:rsid w:val="0057370C"/>
    <w:rsid w:val="005B2482"/>
    <w:rsid w:val="005E59BF"/>
    <w:rsid w:val="005F0FA7"/>
    <w:rsid w:val="005F67F0"/>
    <w:rsid w:val="00600AE1"/>
    <w:rsid w:val="0060344A"/>
    <w:rsid w:val="00611364"/>
    <w:rsid w:val="00617649"/>
    <w:rsid w:val="006309C6"/>
    <w:rsid w:val="00633D56"/>
    <w:rsid w:val="006518F7"/>
    <w:rsid w:val="00652435"/>
    <w:rsid w:val="00657309"/>
    <w:rsid w:val="0067188A"/>
    <w:rsid w:val="0067539A"/>
    <w:rsid w:val="006762D3"/>
    <w:rsid w:val="00680C0E"/>
    <w:rsid w:val="0068225B"/>
    <w:rsid w:val="00686D0E"/>
    <w:rsid w:val="00695D00"/>
    <w:rsid w:val="006C3066"/>
    <w:rsid w:val="006C713C"/>
    <w:rsid w:val="006E585F"/>
    <w:rsid w:val="006E70A7"/>
    <w:rsid w:val="006F34EB"/>
    <w:rsid w:val="006F5581"/>
    <w:rsid w:val="00715BA8"/>
    <w:rsid w:val="00737292"/>
    <w:rsid w:val="007406C9"/>
    <w:rsid w:val="00742146"/>
    <w:rsid w:val="0074586A"/>
    <w:rsid w:val="0074719D"/>
    <w:rsid w:val="007612AC"/>
    <w:rsid w:val="007629D1"/>
    <w:rsid w:val="00762ED2"/>
    <w:rsid w:val="00762F2F"/>
    <w:rsid w:val="0078237B"/>
    <w:rsid w:val="007970B2"/>
    <w:rsid w:val="007A4320"/>
    <w:rsid w:val="007A4D43"/>
    <w:rsid w:val="007C5E0C"/>
    <w:rsid w:val="007E1191"/>
    <w:rsid w:val="007F7694"/>
    <w:rsid w:val="00817014"/>
    <w:rsid w:val="00826144"/>
    <w:rsid w:val="00826439"/>
    <w:rsid w:val="00827339"/>
    <w:rsid w:val="00840925"/>
    <w:rsid w:val="00842714"/>
    <w:rsid w:val="008763C0"/>
    <w:rsid w:val="0089678A"/>
    <w:rsid w:val="008A7542"/>
    <w:rsid w:val="008B189C"/>
    <w:rsid w:val="008D195B"/>
    <w:rsid w:val="008D5F0E"/>
    <w:rsid w:val="008E5F6A"/>
    <w:rsid w:val="008F004A"/>
    <w:rsid w:val="008F68B0"/>
    <w:rsid w:val="00900AE9"/>
    <w:rsid w:val="00907836"/>
    <w:rsid w:val="00920232"/>
    <w:rsid w:val="0093452B"/>
    <w:rsid w:val="00946A87"/>
    <w:rsid w:val="00953048"/>
    <w:rsid w:val="00976E00"/>
    <w:rsid w:val="00984F54"/>
    <w:rsid w:val="009864CF"/>
    <w:rsid w:val="00992ED9"/>
    <w:rsid w:val="00993BA6"/>
    <w:rsid w:val="009A4CF7"/>
    <w:rsid w:val="009A6D70"/>
    <w:rsid w:val="009B620B"/>
    <w:rsid w:val="009E3FC6"/>
    <w:rsid w:val="009E574B"/>
    <w:rsid w:val="00A0331A"/>
    <w:rsid w:val="00A168D9"/>
    <w:rsid w:val="00A2429A"/>
    <w:rsid w:val="00A42CED"/>
    <w:rsid w:val="00A5520C"/>
    <w:rsid w:val="00A57B93"/>
    <w:rsid w:val="00A812AE"/>
    <w:rsid w:val="00A86308"/>
    <w:rsid w:val="00A979DB"/>
    <w:rsid w:val="00AA6936"/>
    <w:rsid w:val="00AC3C89"/>
    <w:rsid w:val="00AF2521"/>
    <w:rsid w:val="00B045FA"/>
    <w:rsid w:val="00B35FB8"/>
    <w:rsid w:val="00B37154"/>
    <w:rsid w:val="00B37561"/>
    <w:rsid w:val="00B41D50"/>
    <w:rsid w:val="00B516DC"/>
    <w:rsid w:val="00B51F14"/>
    <w:rsid w:val="00B7401B"/>
    <w:rsid w:val="00B77402"/>
    <w:rsid w:val="00B80B4F"/>
    <w:rsid w:val="00B840C3"/>
    <w:rsid w:val="00B8597F"/>
    <w:rsid w:val="00BB632D"/>
    <w:rsid w:val="00BB720F"/>
    <w:rsid w:val="00BC318F"/>
    <w:rsid w:val="00BC56D7"/>
    <w:rsid w:val="00BD0312"/>
    <w:rsid w:val="00BE24DE"/>
    <w:rsid w:val="00C0303A"/>
    <w:rsid w:val="00C072BC"/>
    <w:rsid w:val="00C319DC"/>
    <w:rsid w:val="00C36E7E"/>
    <w:rsid w:val="00C56A1E"/>
    <w:rsid w:val="00C6375E"/>
    <w:rsid w:val="00C74376"/>
    <w:rsid w:val="00C763C4"/>
    <w:rsid w:val="00C82028"/>
    <w:rsid w:val="00C85F44"/>
    <w:rsid w:val="00C8683E"/>
    <w:rsid w:val="00C9581A"/>
    <w:rsid w:val="00CA1471"/>
    <w:rsid w:val="00CA6C65"/>
    <w:rsid w:val="00CC36D2"/>
    <w:rsid w:val="00CD1DFC"/>
    <w:rsid w:val="00CF2B9B"/>
    <w:rsid w:val="00D00B2E"/>
    <w:rsid w:val="00D1251F"/>
    <w:rsid w:val="00D31953"/>
    <w:rsid w:val="00D35B29"/>
    <w:rsid w:val="00D5672F"/>
    <w:rsid w:val="00D76038"/>
    <w:rsid w:val="00D82893"/>
    <w:rsid w:val="00D90065"/>
    <w:rsid w:val="00D91FAE"/>
    <w:rsid w:val="00DA7911"/>
    <w:rsid w:val="00DB36C4"/>
    <w:rsid w:val="00DC17AA"/>
    <w:rsid w:val="00DE354E"/>
    <w:rsid w:val="00DE7D8F"/>
    <w:rsid w:val="00DF12C4"/>
    <w:rsid w:val="00E0575F"/>
    <w:rsid w:val="00E12E4A"/>
    <w:rsid w:val="00E212C9"/>
    <w:rsid w:val="00E22049"/>
    <w:rsid w:val="00E600A1"/>
    <w:rsid w:val="00E75B7F"/>
    <w:rsid w:val="00E80282"/>
    <w:rsid w:val="00E86ED9"/>
    <w:rsid w:val="00EA683D"/>
    <w:rsid w:val="00EA7EE6"/>
    <w:rsid w:val="00EC2DE7"/>
    <w:rsid w:val="00ED1080"/>
    <w:rsid w:val="00ED24C5"/>
    <w:rsid w:val="00EE43F9"/>
    <w:rsid w:val="00F1419E"/>
    <w:rsid w:val="00F34D02"/>
    <w:rsid w:val="00F60BDD"/>
    <w:rsid w:val="00F77F6C"/>
    <w:rsid w:val="00F825A4"/>
    <w:rsid w:val="00FA0F70"/>
    <w:rsid w:val="00FB45E9"/>
    <w:rsid w:val="00FD45BB"/>
    <w:rsid w:val="00FD64DD"/>
    <w:rsid w:val="00FE6BB4"/>
    <w:rsid w:val="098F8BE3"/>
    <w:rsid w:val="381D49D3"/>
    <w:rsid w:val="54D617E0"/>
    <w:rsid w:val="571EF6F8"/>
    <w:rsid w:val="6FB37009"/>
    <w:rsid w:val="773CF9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75CD"/>
  <w15:chartTrackingRefBased/>
  <w15:docId w15:val="{A248F532-AABD-4BF7-AD2B-AF482AE690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6762D3"/>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6762D3"/>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6762D3"/>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styleId="KomentarotekstasDiagrama" w:customStyle="1">
    <w:name w:val="Komentaro tekstas Diagrama"/>
    <w:basedOn w:val="Numatytasispastraiposriftas"/>
    <w:link w:val="Komentarotekstas"/>
    <w:uiPriority w:val="99"/>
    <w:rsid w:val="00C9581A"/>
    <w:rPr>
      <w:sz w:val="20"/>
      <w:szCs w:val="20"/>
      <w:lang w:val="en-GB"/>
    </w:rPr>
  </w:style>
  <w:style w:type="character" w:styleId="Tablecaption" w:customStyle="1">
    <w:name w:val="Table caption_"/>
    <w:basedOn w:val="Numatytasispastraiposriftas"/>
    <w:link w:val="Tablecaption0"/>
    <w:locked/>
    <w:rsid w:val="00C9581A"/>
    <w:rPr>
      <w:b/>
      <w:bCs/>
      <w:u w:val="single"/>
    </w:rPr>
  </w:style>
  <w:style w:type="paragraph" w:styleId="Tablecaption0" w:customStyle="1">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character" w:styleId="SraopastraipaDiagrama" w:customStyle="1">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hAnsi="Times New Roman" w:eastAsia="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styleId="KomentarotemaDiagrama" w:customStyle="1">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2.xml><?xml version="1.0" encoding="utf-8"?>
<ds:datastoreItem xmlns:ds="http://schemas.openxmlformats.org/officeDocument/2006/customXml" ds:itemID="{62B69E3A-76F3-4091-8828-6D82386E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Aušra Sidaraitė-Markevičienė</dc:creator>
  <keywords/>
  <dc:description/>
  <lastModifiedBy>Elžbieta Taločkaitė</lastModifiedBy>
  <revision>76</revision>
  <dcterms:created xsi:type="dcterms:W3CDTF">2025-08-20T10:14:00.0000000Z</dcterms:created>
  <dcterms:modified xsi:type="dcterms:W3CDTF">2025-08-26T12:40:33.2115265Z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