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9642A8C" w:rsidR="00B45AD1" w:rsidRPr="00760B52" w:rsidRDefault="00063F5D" w:rsidP="00FF3643">
      <w:pPr>
        <w:autoSpaceDE w:val="0"/>
        <w:autoSpaceDN w:val="0"/>
        <w:adjustRightInd w:val="0"/>
        <w:jc w:val="center"/>
        <w:rPr>
          <w:rFonts w:eastAsiaTheme="minorHAnsi"/>
          <w:b/>
          <w:bCs/>
        </w:rPr>
      </w:pPr>
      <w:bookmarkStart w:id="0" w:name="_Hlk176526559"/>
      <w:r w:rsidRPr="00063F5D">
        <w:rPr>
          <w:b/>
          <w:lang w:eastAsia="lt-LT"/>
        </w:rPr>
        <w:t>KLAIPĖDOS VAIKŲ LIGONINĖS KONSULTACINĖS POLIKLINIKOS PASTATO, J. KAROSO G. 13, REKONSTRAVIMO DARBŲ SU DARBO PROJEKTO PARENGIMU</w:t>
      </w:r>
      <w:r>
        <w:rPr>
          <w:b/>
          <w:lang w:eastAsia="lt-LT"/>
        </w:rPr>
        <w:t xml:space="preserve"> PIRKIMO SUPAPRASTINTO</w:t>
      </w:r>
      <w:r w:rsidR="005827C1">
        <w:rPr>
          <w:b/>
          <w:lang w:eastAsia="lt-LT"/>
        </w:rPr>
        <w:t xml:space="preserve">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77777777" w:rsidR="00E1253D" w:rsidRDefault="00E1253D" w:rsidP="00E1253D">
      <w:pPr>
        <w:widowControl w:val="0"/>
        <w:jc w:val="both"/>
      </w:pPr>
      <w:r>
        <w:t xml:space="preserve">6 priedas – </w:t>
      </w:r>
      <w:r w:rsidRPr="00C8762B">
        <w:t>Rangos sutartis (</w:t>
      </w:r>
      <w:r>
        <w:t>bendrosios ir specialiosios sutarties sąlygos su priedais</w:t>
      </w:r>
      <w:r w:rsidRPr="00C8762B">
        <w:t>)</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453621D"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063F5D" w:rsidRPr="00063F5D">
        <w:rPr>
          <w:rFonts w:eastAsia="TimesNewRomanPS-BoldMT"/>
          <w:b/>
          <w:bCs/>
        </w:rPr>
        <w:t xml:space="preserve">Klaipėdos vaikų ligoninės konsultacinės poliklinikos pastato, </w:t>
      </w:r>
      <w:r w:rsidR="00063F5D">
        <w:rPr>
          <w:rFonts w:eastAsia="TimesNewRomanPS-BoldMT"/>
          <w:b/>
          <w:bCs/>
        </w:rPr>
        <w:t>J</w:t>
      </w:r>
      <w:r w:rsidR="00063F5D" w:rsidRPr="00063F5D">
        <w:rPr>
          <w:rFonts w:eastAsia="TimesNewRomanPS-BoldMT"/>
          <w:b/>
          <w:bCs/>
        </w:rPr>
        <w:t xml:space="preserve">. </w:t>
      </w:r>
      <w:r w:rsidR="00063F5D">
        <w:rPr>
          <w:rFonts w:eastAsia="TimesNewRomanPS-BoldMT"/>
          <w:b/>
          <w:bCs/>
        </w:rPr>
        <w:t>K</w:t>
      </w:r>
      <w:r w:rsidR="00063F5D" w:rsidRPr="00063F5D">
        <w:rPr>
          <w:rFonts w:eastAsia="TimesNewRomanPS-BoldMT"/>
          <w:b/>
          <w:bCs/>
        </w:rPr>
        <w:t>aroso g. 13, rekonstravimo darb</w:t>
      </w:r>
      <w:r w:rsidR="00063F5D">
        <w:rPr>
          <w:rFonts w:eastAsia="TimesNewRomanPS-BoldMT"/>
          <w:b/>
          <w:bCs/>
        </w:rPr>
        <w:t>us</w:t>
      </w:r>
      <w:r w:rsidR="00063F5D" w:rsidRPr="00063F5D">
        <w:rPr>
          <w:rFonts w:eastAsia="TimesNewRomanPS-BoldMT"/>
          <w:b/>
          <w:bCs/>
        </w:rPr>
        <w:t xml:space="preserve"> su darbo projekto parengimu</w:t>
      </w:r>
      <w:r w:rsidR="00063F5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08BEDC30" w:rsidR="00E1253D" w:rsidRPr="00E1253D"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063F5D" w:rsidRPr="00063F5D">
        <w:rPr>
          <w:rFonts w:eastAsia="TimesNewRomanPS-BoldMT"/>
          <w:b/>
          <w:bCs/>
          <w:sz w:val="24"/>
          <w:szCs w:val="24"/>
        </w:rPr>
        <w:t xml:space="preserve">Klaipėdos vaikų ligoninės konsultacinės poliklinikos pastato, </w:t>
      </w:r>
      <w:r w:rsidR="00063F5D">
        <w:rPr>
          <w:rFonts w:eastAsia="TimesNewRomanPS-BoldMT"/>
          <w:b/>
          <w:bCs/>
          <w:sz w:val="24"/>
          <w:szCs w:val="24"/>
        </w:rPr>
        <w:t>J</w:t>
      </w:r>
      <w:r w:rsidR="00063F5D" w:rsidRPr="00063F5D">
        <w:rPr>
          <w:rFonts w:eastAsia="TimesNewRomanPS-BoldMT"/>
          <w:b/>
          <w:bCs/>
          <w:sz w:val="24"/>
          <w:szCs w:val="24"/>
        </w:rPr>
        <w:t xml:space="preserve">. </w:t>
      </w:r>
      <w:r w:rsidR="00063F5D">
        <w:rPr>
          <w:rFonts w:eastAsia="TimesNewRomanPS-BoldMT"/>
          <w:b/>
          <w:bCs/>
          <w:sz w:val="24"/>
          <w:szCs w:val="24"/>
        </w:rPr>
        <w:t>K</w:t>
      </w:r>
      <w:r w:rsidR="00063F5D" w:rsidRPr="00063F5D">
        <w:rPr>
          <w:rFonts w:eastAsia="TimesNewRomanPS-BoldMT"/>
          <w:b/>
          <w:bCs/>
          <w:sz w:val="24"/>
          <w:szCs w:val="24"/>
        </w:rPr>
        <w:t>aroso g. 13, rekonstravimo darb</w:t>
      </w:r>
      <w:r w:rsidR="00063F5D">
        <w:rPr>
          <w:rFonts w:eastAsia="TimesNewRomanPS-BoldMT"/>
          <w:b/>
          <w:bCs/>
          <w:sz w:val="24"/>
          <w:szCs w:val="24"/>
        </w:rPr>
        <w:t>ai</w:t>
      </w:r>
      <w:r w:rsidR="00063F5D" w:rsidRPr="00063F5D">
        <w:rPr>
          <w:rFonts w:eastAsia="TimesNewRomanPS-BoldMT"/>
          <w:b/>
          <w:bCs/>
          <w:sz w:val="24"/>
          <w:szCs w:val="24"/>
        </w:rPr>
        <w:t xml:space="preserve"> su darbo projekto parengimu</w:t>
      </w:r>
      <w:r w:rsidR="00063F5D" w:rsidRPr="00032BA2">
        <w:rPr>
          <w:rFonts w:eastAsia="Calibri"/>
          <w:bCs/>
          <w:sz w:val="24"/>
          <w:szCs w:val="24"/>
        </w:rPr>
        <w:t>.</w:t>
      </w:r>
      <w:r w:rsidR="00063F5D" w:rsidRPr="00032BA2">
        <w:rPr>
          <w:sz w:val="24"/>
          <w:szCs w:val="24"/>
        </w:rPr>
        <w:t xml:space="preserve"> </w:t>
      </w:r>
    </w:p>
    <w:p w14:paraId="1AEBE9EA" w14:textId="458BAD40"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Užsakovo užduotyje (techninėje specifikacijoje) ir Techniniame projekte.</w:t>
      </w:r>
      <w:r w:rsidRPr="00032BA2">
        <w:t xml:space="preserve"> </w:t>
      </w:r>
    </w:p>
    <w:bookmarkEnd w:id="5"/>
    <w:bookmarkEnd w:id="6"/>
    <w:bookmarkEnd w:id="7"/>
    <w:p w14:paraId="2930AE19" w14:textId="6A420C25"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 xml:space="preserve">Užsakovo užduotyje </w:t>
      </w:r>
      <w:r w:rsidR="005C56BB">
        <w:rPr>
          <w:sz w:val="24"/>
          <w:szCs w:val="24"/>
        </w:rPr>
        <w:t>(</w:t>
      </w:r>
      <w:r w:rsidRPr="00970661">
        <w:rPr>
          <w:sz w:val="24"/>
          <w:szCs w:val="24"/>
        </w:rPr>
        <w:t>techninėje specifikacijoje</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26E48A1D"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482C5497" w14:textId="5A1B3A34" w:rsidR="00114962" w:rsidRPr="00114962" w:rsidRDefault="007A3A08" w:rsidP="00114962">
      <w:pPr>
        <w:pStyle w:val="Sraopastraipa"/>
        <w:widowControl w:val="0"/>
        <w:numPr>
          <w:ilvl w:val="0"/>
          <w:numId w:val="15"/>
        </w:numPr>
        <w:tabs>
          <w:tab w:val="left" w:pos="1134"/>
        </w:tabs>
        <w:autoSpaceDE w:val="0"/>
        <w:autoSpaceDN w:val="0"/>
        <w:adjustRightInd w:val="0"/>
        <w:jc w:val="both"/>
        <w:rPr>
          <w:bCs/>
          <w:sz w:val="24"/>
          <w:szCs w:val="24"/>
        </w:rPr>
      </w:pPr>
      <w:bookmarkStart w:id="9" w:name="_Hlk172626315"/>
      <w:r w:rsidRPr="00114962">
        <w:rPr>
          <w:b/>
          <w:color w:val="000000" w:themeColor="text1"/>
          <w:sz w:val="24"/>
          <w:szCs w:val="24"/>
        </w:rPr>
        <w:t>Šis pirkimas į dalis neskaidomas, todėl tiekėjas turi pateikti pasiūlymą visai pirkimo apimčiai bendrai.</w:t>
      </w:r>
      <w:r w:rsidRPr="00114962">
        <w:rPr>
          <w:bCs/>
          <w:color w:val="000000" w:themeColor="text1"/>
          <w:sz w:val="24"/>
          <w:szCs w:val="24"/>
        </w:rPr>
        <w:t xml:space="preserve"> </w:t>
      </w:r>
      <w:r w:rsidR="00114962" w:rsidRPr="00114962">
        <w:rPr>
          <w:rFonts w:eastAsia="TimesNewRomanPSMT"/>
          <w:sz w:val="24"/>
          <w:szCs w:val="24"/>
        </w:rPr>
        <w:t>Pagrindimas dėl neskaidymo:</w:t>
      </w:r>
    </w:p>
    <w:p w14:paraId="67B61120" w14:textId="77777777" w:rsidR="00114962" w:rsidRPr="00114962" w:rsidRDefault="00114962" w:rsidP="00114962">
      <w:pPr>
        <w:pStyle w:val="Sraopastraipa"/>
        <w:widowControl w:val="0"/>
        <w:numPr>
          <w:ilvl w:val="1"/>
          <w:numId w:val="15"/>
        </w:numPr>
        <w:tabs>
          <w:tab w:val="left" w:pos="1134"/>
        </w:tabs>
        <w:autoSpaceDE w:val="0"/>
        <w:autoSpaceDN w:val="0"/>
        <w:adjustRightInd w:val="0"/>
        <w:jc w:val="both"/>
        <w:rPr>
          <w:bCs/>
          <w:sz w:val="24"/>
          <w:szCs w:val="24"/>
        </w:rPr>
      </w:pPr>
      <w:r w:rsidRPr="00114962">
        <w:rPr>
          <w:bCs/>
          <w:color w:val="000000" w:themeColor="text1"/>
          <w:sz w:val="24"/>
          <w:szCs w:val="24"/>
        </w:rPr>
        <w:t xml:space="preserve">Pirkimo objektas į dalis neskaidomas,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w:t>
      </w:r>
      <w:r w:rsidRPr="00114962">
        <w:rPr>
          <w:bCs/>
          <w:color w:val="000000" w:themeColor="text1"/>
          <w:sz w:val="24"/>
          <w:szCs w:val="24"/>
        </w:rPr>
        <w:lastRenderedPageBreak/>
        <w:t>rengimo ir statybos darbus, t. y. projektuoti, o kartu ir ruoštis statybos darbams, atlikti paruošiamuosius darbus, planuoti reikalingą techniką ir pan.</w:t>
      </w:r>
    </w:p>
    <w:p w14:paraId="6A7CEAAF" w14:textId="60A1DC51" w:rsidR="009B710C" w:rsidRPr="00114962" w:rsidRDefault="00114962" w:rsidP="00114962">
      <w:pPr>
        <w:pStyle w:val="Sraopastraipa"/>
        <w:widowControl w:val="0"/>
        <w:numPr>
          <w:ilvl w:val="1"/>
          <w:numId w:val="15"/>
        </w:numPr>
        <w:tabs>
          <w:tab w:val="left" w:pos="1134"/>
        </w:tabs>
        <w:autoSpaceDE w:val="0"/>
        <w:autoSpaceDN w:val="0"/>
        <w:adjustRightInd w:val="0"/>
        <w:jc w:val="both"/>
        <w:rPr>
          <w:bCs/>
          <w:sz w:val="24"/>
          <w:szCs w:val="24"/>
        </w:rPr>
      </w:pPr>
      <w:r w:rsidRPr="00114962">
        <w:rPr>
          <w:rFonts w:eastAsia="TimesNewRomanPSMT"/>
          <w:sz w:val="24"/>
          <w:szCs w:val="24"/>
        </w:rPr>
        <w:t>Skaidyti darbus</w:t>
      </w:r>
      <w:r w:rsidRPr="003A5873">
        <w:rPr>
          <w:rFonts w:eastAsia="TimesNewRomanPSMT"/>
          <w:sz w:val="24"/>
          <w:szCs w:val="24"/>
        </w:rPr>
        <w:t xml:space="preserve"> į skirtingas dalis neracionalu, nes yra parengtas vienas Techninis projektas, kuris yra visuma sudėtinių dalių, pagal kurias </w:t>
      </w:r>
      <w:r>
        <w:rPr>
          <w:rFonts w:eastAsia="TimesNewRomanPSMT"/>
          <w:sz w:val="24"/>
          <w:szCs w:val="24"/>
        </w:rPr>
        <w:t>bus</w:t>
      </w:r>
      <w:r w:rsidRPr="003A5873">
        <w:rPr>
          <w:rFonts w:eastAsia="TimesNewRomanPSMT"/>
          <w:sz w:val="24"/>
          <w:szCs w:val="24"/>
        </w:rPr>
        <w:t xml:space="preserve"> vienas statybą leidžiantis dokumentas ir pagal šį dokumentą statybos užbaigimo procedūros bus vykdomos vienam objektui.</w:t>
      </w:r>
    </w:p>
    <w:bookmarkEnd w:id="8"/>
    <w:bookmarkEnd w:id="9"/>
    <w:p w14:paraId="21B15301" w14:textId="5D7D3F73" w:rsidR="00F717AA" w:rsidRDefault="00904F7E" w:rsidP="00114962">
      <w:pPr>
        <w:widowControl w:val="0"/>
        <w:numPr>
          <w:ilvl w:val="0"/>
          <w:numId w:val="7"/>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4F0144">
        <w:t>15</w:t>
      </w:r>
      <w:r w:rsidRPr="00322F43">
        <w:t>.1</w:t>
      </w:r>
      <w:r w:rsidR="000A1387">
        <w:t xml:space="preserve">, </w:t>
      </w:r>
      <w:r w:rsidR="004F0144">
        <w:t>15.4</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0F5D0D43" w:rsidR="00E23115" w:rsidRDefault="000B11B2" w:rsidP="00114962">
      <w:pPr>
        <w:widowControl w:val="0"/>
        <w:numPr>
          <w:ilvl w:val="0"/>
          <w:numId w:val="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0" w:name="_Hlk155949601"/>
      <w:r w:rsidR="008C626F" w:rsidRPr="008C626F">
        <w:t xml:space="preserve">CPO </w:t>
      </w:r>
      <w:r w:rsidR="008C626F">
        <w:t>LT</w:t>
      </w:r>
      <w:r w:rsidR="001573E0">
        <w:t xml:space="preserve"> </w:t>
      </w:r>
      <w:r w:rsidR="008C626F" w:rsidRPr="008C626F">
        <w:t>kataloge nėra galimybės įsigyti rekonstravimo darbų.</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1CBE2484"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w:t>
            </w:r>
            <w:r w:rsidRPr="00BE79AD">
              <w:lastRenderedPageBreak/>
              <w:t>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w:t>
            </w:r>
            <w:r w:rsidRPr="00C35CAD">
              <w:rPr>
                <w:rFonts w:eastAsia="Yu Mincho"/>
                <w:b/>
                <w:bCs/>
              </w:rPr>
              <w:lastRenderedPageBreak/>
              <w:t>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w:t>
            </w:r>
            <w:r w:rsidRPr="00031EB2">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w:t>
            </w:r>
            <w:r w:rsidRPr="0068041F">
              <w:rPr>
                <w:i/>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68041F">
              <w:rPr>
                <w:iCs/>
              </w:rPr>
              <w:lastRenderedPageBreak/>
              <w:t>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lastRenderedPageBreak/>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114962"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114962" w:rsidP="005962BB">
            <w:pPr>
              <w:jc w:val="both"/>
            </w:pPr>
            <w:hyperlink r:id="rId15"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031EB2">
              <w:lastRenderedPageBreak/>
              <w:t>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lastRenderedPageBreak/>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114962" w:rsidP="005962BB">
            <w:pPr>
              <w:jc w:val="both"/>
            </w:pPr>
            <w:hyperlink r:id="rId16" w:history="1">
              <w:r w:rsidR="000A1387">
                <w:rPr>
                  <w:rStyle w:val="Hipersaitas"/>
                </w:rPr>
                <w:t>Nepatikimi tiekėjai - Viešųjų pirkimų tarnyba (lrv.lt)</w:t>
              </w:r>
            </w:hyperlink>
          </w:p>
          <w:p w14:paraId="5349DC94" w14:textId="77777777" w:rsidR="000A1387" w:rsidRPr="00031EB2" w:rsidRDefault="000A1387" w:rsidP="005962BB">
            <w:pPr>
              <w:jc w:val="both"/>
              <w:rPr>
                <w:rFonts w:eastAsia="Yu Mincho"/>
              </w:rPr>
            </w:pPr>
          </w:p>
          <w:p w14:paraId="539FF900" w14:textId="77777777" w:rsidR="000A1387" w:rsidRPr="00031EB2" w:rsidRDefault="00114962" w:rsidP="005962BB">
            <w:pPr>
              <w:jc w:val="both"/>
            </w:pPr>
            <w:hyperlink r:id="rId17" w:history="1">
              <w:r w:rsidR="000A1387">
                <w:rPr>
                  <w:rStyle w:val="Hipersaitas"/>
                </w:rPr>
                <w:t>Nepatikimų koncesininkų sąrašas - Viešųjų pirkimų tarnyba (lrv.lt)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 xml:space="preserve">Priimant sprendimus dėl tiekėjo pašalinimo iš pirkimo procedūros šiame punkte nurodytu pašalinimo pagrindu, be </w:t>
            </w:r>
            <w:r w:rsidRPr="00031EB2">
              <w:rPr>
                <w:rFonts w:ascii="Times New Roman" w:hAnsi="Times New Roman" w:cs="Times New Roman"/>
                <w:sz w:val="24"/>
                <w:szCs w:val="24"/>
              </w:rPr>
              <w:lastRenderedPageBreak/>
              <w:t>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114962" w:rsidP="005962BB">
            <w:pPr>
              <w:jc w:val="both"/>
            </w:pPr>
            <w:hyperlink r:id="rId19" w:history="1">
              <w:r w:rsidR="000A1387">
                <w:rPr>
                  <w:rStyle w:val="Hipersaitas"/>
                </w:rPr>
                <w:t>Finansinių ataskaitų nepateikimas gali tapti kliūtimi dalyvauti viešuosiuose pirkimuose - Viešųjų pirkimų tarnyba (lrv.lt)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114962"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 xml:space="preserve">Tačiau kai yra šiame punkte apibrėžta situacija, perkančioji organizacija nepašalins tiekėjo iš pirkimo procedūros, </w:t>
            </w:r>
            <w:r w:rsidRPr="00031EB2">
              <w:lastRenderedPageBreak/>
              <w:t>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114962"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perkančiosios organizacijos prašymu turės pateikti </w:t>
            </w:r>
            <w:r w:rsidRPr="00031EB2">
              <w:rPr>
                <w:iCs/>
                <w:color w:val="000000" w:themeColor="text1"/>
              </w:rPr>
              <w:lastRenderedPageBreak/>
              <w:t>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lastRenderedPageBreak/>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8C626F" w:rsidRPr="00FC0FFD" w14:paraId="5F0F9CEF" w14:textId="77777777" w:rsidTr="008D0B98">
        <w:tc>
          <w:tcPr>
            <w:tcW w:w="704" w:type="dxa"/>
            <w:shd w:val="clear" w:color="auto" w:fill="auto"/>
          </w:tcPr>
          <w:p w14:paraId="0BD03050" w14:textId="4DC5770A" w:rsidR="008C626F" w:rsidRDefault="008C626F" w:rsidP="00C736A4">
            <w:pPr>
              <w:rPr>
                <w:bCs/>
              </w:rPr>
            </w:pPr>
            <w:r>
              <w:rPr>
                <w:bCs/>
              </w:rPr>
              <w:t>18.1.</w:t>
            </w:r>
          </w:p>
        </w:tc>
        <w:tc>
          <w:tcPr>
            <w:tcW w:w="4678" w:type="dxa"/>
            <w:shd w:val="clear" w:color="auto" w:fill="auto"/>
          </w:tcPr>
          <w:p w14:paraId="03FC57E1" w14:textId="4EB2CD8A" w:rsidR="008C626F" w:rsidRDefault="008C626F" w:rsidP="00C736A4">
            <w:pPr>
              <w:autoSpaceDE w:val="0"/>
              <w:autoSpaceDN w:val="0"/>
              <w:adjustRightInd w:val="0"/>
              <w:jc w:val="both"/>
              <w:rPr>
                <w:bCs/>
              </w:rPr>
            </w:pPr>
            <w:r w:rsidRPr="008C626F">
              <w:rPr>
                <w:bCs/>
              </w:rPr>
              <w:t>Tiekėjas turi turėti teisę būti ypatingojo statinio statybos rangovu (pastatų grupė: negyvenamieji pastatai, pastatų pogrupis – gydymo paskirties pastatai</w:t>
            </w:r>
            <w:r w:rsidR="00797C6A">
              <w:rPr>
                <w:bCs/>
              </w:rPr>
              <w:t>)</w:t>
            </w:r>
            <w:r w:rsidRPr="008C626F">
              <w:rPr>
                <w:bCs/>
              </w:rPr>
              <w:t>, statybos darbų sritys:</w:t>
            </w:r>
          </w:p>
          <w:p w14:paraId="3745E599" w14:textId="1E83873F" w:rsidR="008C626F" w:rsidRDefault="008C626F" w:rsidP="00C736A4">
            <w:pPr>
              <w:autoSpaceDE w:val="0"/>
              <w:autoSpaceDN w:val="0"/>
              <w:adjustRightInd w:val="0"/>
              <w:jc w:val="both"/>
              <w:rPr>
                <w:bCs/>
              </w:rPr>
            </w:pPr>
            <w:r w:rsidRPr="008C626F">
              <w:rPr>
                <w:bCs/>
              </w:rPr>
              <w:t>1</w:t>
            </w:r>
            <w:r>
              <w:rPr>
                <w:bCs/>
              </w:rPr>
              <w:t>.</w:t>
            </w:r>
            <w:r w:rsidRPr="008C626F">
              <w:rPr>
                <w:bCs/>
              </w:rPr>
              <w:t xml:space="preserve"> bendrieji statybos darbai:</w:t>
            </w:r>
          </w:p>
          <w:p w14:paraId="21A3AF65" w14:textId="77777777" w:rsidR="008C626F" w:rsidRDefault="008C626F" w:rsidP="00C736A4">
            <w:pPr>
              <w:autoSpaceDE w:val="0"/>
              <w:autoSpaceDN w:val="0"/>
              <w:adjustRightInd w:val="0"/>
              <w:jc w:val="both"/>
              <w:rPr>
                <w:bCs/>
              </w:rPr>
            </w:pPr>
            <w:r w:rsidRPr="008C626F">
              <w:rPr>
                <w:bCs/>
              </w:rPr>
              <w:t xml:space="preserve">1.1. statybinių konstrukcijų (gelžbetonio, betono, metalo, mūro) statyba ir montavimas; apdailos darbai; </w:t>
            </w:r>
          </w:p>
          <w:p w14:paraId="6A85B2F4" w14:textId="08E3011E" w:rsidR="008C626F" w:rsidRDefault="008C626F" w:rsidP="00C736A4">
            <w:pPr>
              <w:autoSpaceDE w:val="0"/>
              <w:autoSpaceDN w:val="0"/>
              <w:adjustRightInd w:val="0"/>
              <w:jc w:val="both"/>
              <w:rPr>
                <w:bCs/>
              </w:rPr>
            </w:pPr>
            <w:r w:rsidRPr="008C626F">
              <w:rPr>
                <w:bCs/>
              </w:rPr>
              <w:t>2</w:t>
            </w:r>
            <w:r>
              <w:rPr>
                <w:bCs/>
              </w:rPr>
              <w:t>.</w:t>
            </w:r>
            <w:r w:rsidRPr="008C626F">
              <w:rPr>
                <w:bCs/>
              </w:rPr>
              <w:t xml:space="preserve"> specialieji statybos darbai: </w:t>
            </w:r>
          </w:p>
          <w:p w14:paraId="78B592E5" w14:textId="50B630EA" w:rsidR="008C626F" w:rsidRDefault="008C626F" w:rsidP="00C736A4">
            <w:pPr>
              <w:autoSpaceDE w:val="0"/>
              <w:autoSpaceDN w:val="0"/>
              <w:adjustRightInd w:val="0"/>
              <w:jc w:val="both"/>
              <w:rPr>
                <w:bCs/>
              </w:rPr>
            </w:pPr>
            <w:r w:rsidRPr="008C626F">
              <w:rPr>
                <w:bCs/>
              </w:rPr>
              <w:t>2.1 mechanikos darbai (statinio vandentiekio ir nuotekų šalinimo inžinerinių sistemų įrengimas; statinio šildymo, vėdinimo, oro kondicionavimo inžinerinių sistemų įrengimas</w:t>
            </w:r>
            <w:r>
              <w:rPr>
                <w:bCs/>
              </w:rPr>
              <w:t>)</w:t>
            </w:r>
            <w:r w:rsidRPr="008C626F">
              <w:rPr>
                <w:bCs/>
              </w:rPr>
              <w:t xml:space="preserve">; </w:t>
            </w:r>
          </w:p>
          <w:p w14:paraId="061473C1" w14:textId="07AE9C7E" w:rsidR="008C626F" w:rsidRDefault="008C626F" w:rsidP="00C736A4">
            <w:pPr>
              <w:autoSpaceDE w:val="0"/>
              <w:autoSpaceDN w:val="0"/>
              <w:adjustRightInd w:val="0"/>
              <w:jc w:val="both"/>
              <w:rPr>
                <w:bCs/>
              </w:rPr>
            </w:pPr>
            <w:r w:rsidRPr="008C626F">
              <w:rPr>
                <w:bCs/>
              </w:rPr>
              <w:lastRenderedPageBreak/>
              <w:t>2.2 elektrotechnikos darbai (statinio elektros inžinerinių sistemų įrengimas; statinio nuotolinio ryšio (telekomunikacijų) inžinerinių</w:t>
            </w:r>
            <w:r>
              <w:rPr>
                <w:bCs/>
              </w:rPr>
              <w:t xml:space="preserve"> </w:t>
            </w:r>
            <w:r w:rsidRPr="008C626F">
              <w:rPr>
                <w:bCs/>
              </w:rPr>
              <w:t>sistemų įrengimas; statinio apsauginės signalizacijos, gaisrinės saugos inžinerinių sistemų įrengimas</w:t>
            </w:r>
            <w:r>
              <w:rPr>
                <w:bCs/>
              </w:rPr>
              <w:t>)</w:t>
            </w:r>
            <w:r w:rsidRPr="008C626F">
              <w:rPr>
                <w:bCs/>
              </w:rPr>
              <w:t xml:space="preserve">. </w:t>
            </w:r>
          </w:p>
          <w:p w14:paraId="3FB80560" w14:textId="77777777" w:rsidR="008C626F" w:rsidRDefault="008C626F" w:rsidP="00C736A4">
            <w:pPr>
              <w:autoSpaceDE w:val="0"/>
              <w:autoSpaceDN w:val="0"/>
              <w:adjustRightInd w:val="0"/>
              <w:jc w:val="both"/>
              <w:rPr>
                <w:bCs/>
              </w:rPr>
            </w:pPr>
          </w:p>
          <w:p w14:paraId="4CDA2BB4" w14:textId="6540E816" w:rsidR="008C626F" w:rsidRDefault="008C626F" w:rsidP="00C736A4">
            <w:pPr>
              <w:autoSpaceDE w:val="0"/>
              <w:autoSpaceDN w:val="0"/>
              <w:adjustRightInd w:val="0"/>
              <w:jc w:val="both"/>
              <w:rPr>
                <w:bCs/>
              </w:rPr>
            </w:pPr>
            <w:r w:rsidRPr="008C626F">
              <w:rPr>
                <w:bCs/>
              </w:rPr>
              <w:t>Teisinis pagrindas – Lietuvos Respublikos statybos įstatymo 18 str. 2 d.</w:t>
            </w:r>
          </w:p>
        </w:tc>
        <w:tc>
          <w:tcPr>
            <w:tcW w:w="4252" w:type="dxa"/>
            <w:shd w:val="clear" w:color="auto" w:fill="auto"/>
          </w:tcPr>
          <w:p w14:paraId="38DCED4C" w14:textId="77777777" w:rsidR="008C626F" w:rsidRDefault="008C626F" w:rsidP="008C626F">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2" w:name="_Hlk150091713"/>
            <w:r w:rsidRPr="00D35F7B">
              <w:t>užsienio šalies tiekėjams</w:t>
            </w:r>
            <w:r>
              <w:t xml:space="preserve"> </w:t>
            </w:r>
            <w:r w:rsidRPr="00D35F7B">
              <w:t>išduotas teisės pripažinimo dokumentas</w:t>
            </w:r>
            <w:bookmarkEnd w:id="1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lastRenderedPageBreak/>
              <w:t xml:space="preserve">Perkančioji organizacija </w:t>
            </w:r>
            <w:r w:rsidRPr="00D35F7B">
              <w:t>turės galimybę tiesiogiai ir neatlygintinai prisijung</w:t>
            </w:r>
            <w:r>
              <w:t xml:space="preserve">usi </w:t>
            </w:r>
            <w:r w:rsidRPr="00D35F7B">
              <w:t>susipažinti su reikalaujamais dokumentais ir (ar) informacija.</w:t>
            </w:r>
          </w:p>
          <w:p w14:paraId="0E884405" w14:textId="77777777" w:rsidR="008C626F" w:rsidRDefault="008C626F" w:rsidP="008C626F">
            <w:pPr>
              <w:jc w:val="both"/>
            </w:pPr>
          </w:p>
          <w:p w14:paraId="1CA62B44" w14:textId="77777777" w:rsidR="008C626F" w:rsidRPr="00D35F7B" w:rsidRDefault="008C626F" w:rsidP="008C626F">
            <w:pPr>
              <w:pBdr>
                <w:top w:val="nil"/>
                <w:left w:val="nil"/>
                <w:bottom w:val="nil"/>
                <w:right w:val="nil"/>
                <w:between w:val="nil"/>
                <w:bar w:val="nil"/>
              </w:pBdr>
              <w:jc w:val="both"/>
              <w:rPr>
                <w:i/>
                <w:iCs/>
              </w:rPr>
            </w:pPr>
            <w:r w:rsidRPr="00D35F7B">
              <w:rPr>
                <w:i/>
                <w:iCs/>
              </w:rPr>
              <w:t>Pastabos:</w:t>
            </w:r>
          </w:p>
          <w:p w14:paraId="2DD69311" w14:textId="77777777" w:rsidR="008C626F" w:rsidRDefault="008C626F" w:rsidP="008C626F">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1BD4B1F8" w14:textId="77777777" w:rsidR="008C626F" w:rsidRPr="00D35F7B" w:rsidRDefault="008C626F" w:rsidP="008C626F">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49BC32D0" w14:textId="77777777" w:rsidR="008C626F" w:rsidRDefault="008C626F" w:rsidP="008C626F">
            <w:pPr>
              <w:pBdr>
                <w:top w:val="nil"/>
                <w:left w:val="nil"/>
                <w:bottom w:val="nil"/>
                <w:right w:val="nil"/>
                <w:between w:val="nil"/>
                <w:bar w:val="nil"/>
              </w:pBdr>
              <w:jc w:val="both"/>
              <w:rPr>
                <w:i/>
                <w:iCs/>
              </w:rPr>
            </w:pPr>
            <w:r>
              <w:rPr>
                <w:i/>
                <w:iCs/>
              </w:rPr>
              <w:t xml:space="preserve">- </w:t>
            </w:r>
            <w:r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w:t>
            </w:r>
            <w:r w:rsidRPr="00811AD7">
              <w:rPr>
                <w:i/>
                <w:iCs/>
              </w:rPr>
              <w:lastRenderedPageBreak/>
              <w:t>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3F6267C" w14:textId="77777777" w:rsidR="008C626F" w:rsidRDefault="008C626F" w:rsidP="008C626F">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252F437B" w14:textId="77777777" w:rsidR="008C626F" w:rsidRDefault="008C626F" w:rsidP="008C626F">
            <w:pPr>
              <w:pBdr>
                <w:top w:val="nil"/>
                <w:left w:val="nil"/>
                <w:bottom w:val="nil"/>
                <w:right w:val="nil"/>
                <w:between w:val="nil"/>
                <w:bar w:val="nil"/>
              </w:pBdr>
              <w:jc w:val="both"/>
              <w:rPr>
                <w:i/>
                <w:iCs/>
              </w:rPr>
            </w:pPr>
            <w:r>
              <w:rPr>
                <w:i/>
                <w:iCs/>
              </w:rPr>
              <w:t xml:space="preserve">- </w:t>
            </w:r>
            <w:bookmarkStart w:id="13" w:name="_Hlk150091760"/>
            <w:r w:rsidRPr="00701D94">
              <w:rPr>
                <w:i/>
                <w:iCs/>
              </w:rPr>
              <w:t xml:space="preserve">teisės pripažinimo dokumentas turi būti gautas iki </w:t>
            </w:r>
            <w:r>
              <w:rPr>
                <w:i/>
                <w:iCs/>
              </w:rPr>
              <w:t>s</w:t>
            </w:r>
            <w:r w:rsidRPr="00114628">
              <w:rPr>
                <w:i/>
                <w:iCs/>
              </w:rPr>
              <w:t>utart</w:t>
            </w:r>
            <w:bookmarkEnd w:id="13"/>
            <w:r>
              <w:rPr>
                <w:i/>
                <w:iCs/>
              </w:rPr>
              <w:t>ies sudarymo.</w:t>
            </w:r>
          </w:p>
          <w:p w14:paraId="213C96C2" w14:textId="77777777" w:rsidR="008C626F" w:rsidRDefault="008C626F" w:rsidP="008C626F">
            <w:pPr>
              <w:pBdr>
                <w:top w:val="nil"/>
                <w:left w:val="nil"/>
                <w:bottom w:val="nil"/>
                <w:right w:val="nil"/>
                <w:between w:val="nil"/>
                <w:bar w:val="nil"/>
              </w:pBdr>
              <w:jc w:val="both"/>
              <w:rPr>
                <w:i/>
                <w:iCs/>
              </w:rPr>
            </w:pPr>
          </w:p>
          <w:p w14:paraId="68CB6C88" w14:textId="2C70587C" w:rsidR="008C626F" w:rsidRPr="001F01B7" w:rsidRDefault="008C626F" w:rsidP="008C626F">
            <w:pPr>
              <w:tabs>
                <w:tab w:val="left" w:pos="347"/>
                <w:tab w:val="left" w:pos="1665"/>
              </w:tabs>
              <w:jc w:val="both"/>
              <w:rPr>
                <w:color w:val="000000" w:themeColor="text1"/>
              </w:rPr>
            </w:pPr>
            <w:r w:rsidRPr="008247BF">
              <w:rPr>
                <w:i/>
                <w:iCs/>
              </w:rPr>
              <w:t>Pateikiami skenuoti arba el. parašu pasirašyti dokumentai</w:t>
            </w:r>
            <w:r w:rsidRPr="00D35F7B">
              <w:rPr>
                <w:i/>
                <w:iCs/>
              </w:rPr>
              <w:t>.</w:t>
            </w:r>
          </w:p>
        </w:tc>
      </w:tr>
      <w:tr w:rsidR="00C736A4" w:rsidRPr="00FC0FFD" w14:paraId="118BB3D0" w14:textId="77777777" w:rsidTr="008D0B98">
        <w:tc>
          <w:tcPr>
            <w:tcW w:w="704" w:type="dxa"/>
            <w:shd w:val="clear" w:color="auto" w:fill="auto"/>
          </w:tcPr>
          <w:p w14:paraId="7E52C71C" w14:textId="092439AE" w:rsidR="00C736A4" w:rsidRPr="00FC0FFD" w:rsidRDefault="00C736A4" w:rsidP="00C736A4">
            <w:pPr>
              <w:rPr>
                <w:bCs/>
              </w:rPr>
            </w:pPr>
          </w:p>
        </w:tc>
        <w:tc>
          <w:tcPr>
            <w:tcW w:w="4678" w:type="dxa"/>
            <w:shd w:val="clear" w:color="auto" w:fill="auto"/>
          </w:tcPr>
          <w:p w14:paraId="6463D997" w14:textId="726BC3E3" w:rsidR="00C736A4" w:rsidRDefault="00C736A4" w:rsidP="00C736A4">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8C626F">
              <w:rPr>
                <w:bCs/>
              </w:rPr>
              <w:t>3</w:t>
            </w:r>
            <w:r w:rsidRPr="00C736A4">
              <w:rPr>
                <w:bCs/>
              </w:rPr>
              <w:t xml:space="preserve"> 000 000,00</w:t>
            </w:r>
            <w:r>
              <w:rPr>
                <w:bCs/>
              </w:rPr>
              <w:t xml:space="preserve"> </w:t>
            </w:r>
            <w:r w:rsidRPr="00315EEB">
              <w:rPr>
                <w:bCs/>
              </w:rPr>
              <w:t>Eur</w:t>
            </w:r>
            <w:r>
              <w:rPr>
                <w:bCs/>
              </w:rPr>
              <w:t xml:space="preserve"> (be PVM).</w:t>
            </w:r>
          </w:p>
          <w:p w14:paraId="659F5FBA" w14:textId="77777777" w:rsidR="00C736A4" w:rsidRDefault="00C736A4" w:rsidP="00C736A4">
            <w:pPr>
              <w:autoSpaceDE w:val="0"/>
              <w:autoSpaceDN w:val="0"/>
              <w:adjustRightInd w:val="0"/>
              <w:jc w:val="both"/>
              <w:rPr>
                <w:bCs/>
              </w:rPr>
            </w:pPr>
          </w:p>
          <w:p w14:paraId="2E2855A9" w14:textId="77777777" w:rsidR="00C736A4" w:rsidRPr="00AC5C74" w:rsidRDefault="00C736A4" w:rsidP="00C736A4">
            <w:pPr>
              <w:jc w:val="both"/>
              <w:rPr>
                <w:i/>
              </w:rPr>
            </w:pPr>
            <w:r w:rsidRPr="00AC5C74">
              <w:rPr>
                <w:i/>
              </w:rPr>
              <w:t>Pastabos:</w:t>
            </w:r>
          </w:p>
          <w:p w14:paraId="5C6B0E3B" w14:textId="77777777" w:rsidR="00C736A4" w:rsidRPr="00AC5C74" w:rsidRDefault="00C736A4" w:rsidP="00C736A4">
            <w:pPr>
              <w:jc w:val="both"/>
              <w:rPr>
                <w:i/>
              </w:rPr>
            </w:pPr>
            <w:r>
              <w:rPr>
                <w:i/>
              </w:rPr>
              <w:t xml:space="preserve">- </w:t>
            </w:r>
            <w:r w:rsidRPr="00AC5C74">
              <w:rPr>
                <w:i/>
              </w:rPr>
              <w:t>jeigu pasiūlymą teikia ūkio subjektų grupė – reikalavimą turi atitikti visi kartu (pajėgumai sumuojami);</w:t>
            </w:r>
          </w:p>
          <w:p w14:paraId="48AD7E46" w14:textId="120DE579" w:rsidR="00C736A4" w:rsidRPr="00FC0FFD" w:rsidRDefault="00C736A4" w:rsidP="00C736A4">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3A2905FC" w14:textId="77777777" w:rsidR="00C736A4" w:rsidRDefault="00C736A4" w:rsidP="00C736A4">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52D762C5" w14:textId="77777777" w:rsidR="00C736A4" w:rsidRDefault="00C736A4" w:rsidP="00C736A4">
            <w:pPr>
              <w:tabs>
                <w:tab w:val="left" w:pos="347"/>
                <w:tab w:val="left" w:pos="1665"/>
              </w:tabs>
              <w:jc w:val="both"/>
              <w:rPr>
                <w:color w:val="FF0000"/>
              </w:rPr>
            </w:pPr>
          </w:p>
          <w:p w14:paraId="42D21C12" w14:textId="2BF511AF" w:rsidR="00C736A4" w:rsidRPr="00FC0FFD" w:rsidRDefault="00C736A4" w:rsidP="00C736A4">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4" w:name="_Hlk126918054"/>
            <w:r>
              <w:t>18</w:t>
            </w:r>
            <w:r w:rsidR="00CA117C" w:rsidRPr="00031EB2">
              <w:t>.</w:t>
            </w:r>
            <w:r w:rsidR="00417912">
              <w:t>2</w:t>
            </w:r>
            <w:r w:rsidR="00CA117C" w:rsidRPr="00031EB2">
              <w:t>.</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6C996985" w14:textId="77777777" w:rsidR="00417912" w:rsidRDefault="00417912" w:rsidP="00D23DCC">
            <w:pPr>
              <w:autoSpaceDE w:val="0"/>
              <w:autoSpaceDN w:val="0"/>
              <w:adjustRightInd w:val="0"/>
              <w:jc w:val="both"/>
              <w:rPr>
                <w:bCs/>
              </w:rPr>
            </w:pPr>
          </w:p>
          <w:p w14:paraId="35B919EB" w14:textId="5B49914E" w:rsidR="00797C6A" w:rsidRDefault="00797C6A" w:rsidP="00797C6A">
            <w:pPr>
              <w:autoSpaceDE w:val="0"/>
              <w:autoSpaceDN w:val="0"/>
              <w:adjustRightInd w:val="0"/>
              <w:jc w:val="both"/>
              <w:rPr>
                <w:bCs/>
              </w:rPr>
            </w:pPr>
            <w:r w:rsidRPr="00797C6A">
              <w:rPr>
                <w:bCs/>
              </w:rPr>
              <w:t xml:space="preserve">1) kvalifikuotą statinio statybos vadovą, turintį teisę eiti statybos vadovo pareigas (statinio kategorija – ypatingasis statinys, </w:t>
            </w:r>
            <w:r w:rsidRPr="00844ABC">
              <w:rPr>
                <w:rFonts w:eastAsiaTheme="minorHAnsi"/>
              </w:rPr>
              <w:t>pastatai pagal paskirtį: negyvenamieji pastatai</w:t>
            </w:r>
            <w:r w:rsidRPr="00844ABC">
              <w:rPr>
                <w:color w:val="000000" w:themeColor="text1"/>
                <w:szCs w:val="22"/>
              </w:rPr>
              <w:t xml:space="preserve">, </w:t>
            </w:r>
            <w:r w:rsidRPr="00844ABC">
              <w:rPr>
                <w:rFonts w:eastAsiaTheme="minorHAnsi"/>
              </w:rPr>
              <w:t xml:space="preserve">pastatų paskirtis </w:t>
            </w:r>
            <w:r w:rsidRPr="00844ABC">
              <w:rPr>
                <w:color w:val="000000" w:themeColor="text1"/>
                <w:szCs w:val="22"/>
              </w:rPr>
              <w:t xml:space="preserve">– </w:t>
            </w:r>
            <w:r w:rsidRPr="00844ABC">
              <w:rPr>
                <w:color w:val="000000"/>
              </w:rPr>
              <w:t>gydymo paskirties pastatai</w:t>
            </w:r>
            <w:r w:rsidRPr="00797C6A">
              <w:rPr>
                <w:bCs/>
              </w:rPr>
              <w:t xml:space="preserve">); </w:t>
            </w:r>
          </w:p>
          <w:p w14:paraId="6CE89129" w14:textId="2118611E" w:rsidR="00417912" w:rsidRDefault="00797C6A" w:rsidP="00797C6A">
            <w:pPr>
              <w:autoSpaceDE w:val="0"/>
              <w:autoSpaceDN w:val="0"/>
              <w:adjustRightInd w:val="0"/>
              <w:jc w:val="both"/>
              <w:rPr>
                <w:bCs/>
              </w:rPr>
            </w:pPr>
            <w:r w:rsidRPr="00797C6A">
              <w:rPr>
                <w:bCs/>
              </w:rPr>
              <w:t xml:space="preserve">2) kvalifikuotą statinio projekto vadovą, turintį teisę eiti projekto vadovo pareigas (statinio kategorija – ypatingasis statinys, </w:t>
            </w:r>
            <w:r w:rsidRPr="00844ABC">
              <w:rPr>
                <w:rFonts w:eastAsiaTheme="minorHAnsi"/>
              </w:rPr>
              <w:t>pastatai pagal paskirtį: negyvenamieji pastatai</w:t>
            </w:r>
            <w:r w:rsidRPr="00844ABC">
              <w:rPr>
                <w:color w:val="000000" w:themeColor="text1"/>
                <w:szCs w:val="22"/>
              </w:rPr>
              <w:t xml:space="preserve">, </w:t>
            </w:r>
            <w:r w:rsidRPr="00844ABC">
              <w:rPr>
                <w:rFonts w:eastAsiaTheme="minorHAnsi"/>
              </w:rPr>
              <w:t>pastatų paskirtis – gydymo paskirties pastatai</w:t>
            </w:r>
            <w:r w:rsidRPr="00797C6A">
              <w:rPr>
                <w:bCs/>
              </w:rPr>
              <w:t xml:space="preserve">). </w:t>
            </w:r>
          </w:p>
          <w:p w14:paraId="59D6F19A" w14:textId="77777777" w:rsidR="00797C6A" w:rsidRDefault="00797C6A" w:rsidP="00797C6A">
            <w:pPr>
              <w:autoSpaceDE w:val="0"/>
              <w:autoSpaceDN w:val="0"/>
              <w:adjustRightInd w:val="0"/>
              <w:jc w:val="both"/>
              <w:rPr>
                <w:bCs/>
              </w:rPr>
            </w:pPr>
          </w:p>
          <w:p w14:paraId="5BF13F08" w14:textId="3115CF67" w:rsidR="00417912" w:rsidRPr="00D23DCC" w:rsidRDefault="00417912" w:rsidP="00417912">
            <w:pPr>
              <w:autoSpaceDE w:val="0"/>
              <w:autoSpaceDN w:val="0"/>
              <w:adjustRightInd w:val="0"/>
              <w:jc w:val="both"/>
              <w:rPr>
                <w:b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lastRenderedPageBreak/>
              <w:t>Pateikiama:</w:t>
            </w:r>
          </w:p>
          <w:p w14:paraId="0689AC6C" w14:textId="2B71F26D" w:rsidR="00710474" w:rsidRPr="00622929" w:rsidRDefault="00710474" w:rsidP="00114962">
            <w:pPr>
              <w:pStyle w:val="Sraopastraipa"/>
              <w:numPr>
                <w:ilvl w:val="0"/>
                <w:numId w:val="6"/>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94AEC">
              <w:rPr>
                <w:sz w:val="24"/>
                <w:szCs w:val="24"/>
              </w:rPr>
              <w:t>4</w:t>
            </w:r>
            <w:r w:rsidRPr="0045489A">
              <w:rPr>
                <w:sz w:val="24"/>
                <w:szCs w:val="24"/>
              </w:rPr>
              <w:t xml:space="preserve"> priedą;</w:t>
            </w:r>
          </w:p>
          <w:p w14:paraId="6AA860BB" w14:textId="77777777" w:rsidR="00710474" w:rsidRDefault="00710474" w:rsidP="00710474">
            <w:pPr>
              <w:tabs>
                <w:tab w:val="left" w:pos="32"/>
                <w:tab w:val="left" w:pos="119"/>
                <w:tab w:val="left" w:pos="215"/>
                <w:tab w:val="left" w:pos="315"/>
              </w:tabs>
              <w:jc w:val="both"/>
            </w:pPr>
            <w:r w:rsidRPr="00EB42D9">
              <w:t>2)</w:t>
            </w:r>
            <w:r w:rsidRPr="00EB42D9">
              <w:tab/>
              <w:t xml:space="preserve">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w:t>
            </w:r>
            <w:r w:rsidRPr="00EB42D9">
              <w:lastRenderedPageBreak/>
              <w:t>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10474" w:rsidRPr="00EB42D9"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77777777"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1AF66C31" w14:textId="77777777" w:rsidR="00710474" w:rsidRDefault="00710474" w:rsidP="00710474">
            <w:pPr>
              <w:jc w:val="both"/>
              <w:rPr>
                <w:i/>
                <w:iCs/>
              </w:rPr>
            </w:pPr>
            <w:r>
              <w:rPr>
                <w:i/>
                <w:iCs/>
              </w:rPr>
              <w:lastRenderedPageBreak/>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10474" w:rsidRDefault="00710474" w:rsidP="00710474">
            <w:pPr>
              <w:jc w:val="both"/>
              <w:rPr>
                <w:i/>
                <w:iCs/>
              </w:rPr>
            </w:pPr>
            <w:r>
              <w:rPr>
                <w:i/>
                <w:iCs/>
              </w:rPr>
              <w:t>- užsienio šalies specialistai turi pareigą kreiptis į SSVA</w:t>
            </w:r>
            <w:r>
              <w:t xml:space="preserve"> </w:t>
            </w:r>
            <w:r>
              <w:rPr>
                <w:i/>
                <w:iCs/>
              </w:rPr>
              <w:t>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turi būti išviešintas pasiūlyme kaip kvazisubtiekėjas.</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4"/>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 xml:space="preserve">pasiūlymo patikslinimas, papildymas ar </w:t>
      </w:r>
      <w:r w:rsidRPr="00CB616E">
        <w:rPr>
          <w:i/>
          <w:iCs/>
          <w:color w:val="000000"/>
          <w:sz w:val="24"/>
          <w:szCs w:val="24"/>
          <w:u w:val="single"/>
        </w:rPr>
        <w:lastRenderedPageBreak/>
        <w:t>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676A5B0F" w14:textId="3B7C9C45" w:rsidR="00594AEC" w:rsidRPr="00594AEC" w:rsidRDefault="00594AEC" w:rsidP="00594AEC">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5"/>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6" w:name="_Hlk128677290"/>
      <w:r w:rsidRPr="00B12300">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B12300">
        <w:rPr>
          <w:rFonts w:eastAsia="Calibri"/>
          <w:b/>
        </w:rPr>
        <w:lastRenderedPageBreak/>
        <w:t>reikalavimus, tiekėjas negalės, t. y. po pasiūlymo pateikimo tiekėjas neturi teisės nurodyti naujų ūkio subjektų</w:t>
      </w:r>
      <w:bookmarkEnd w:id="16"/>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7"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kvazisubtiekėjas.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7"/>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381EFA">
        <w:rPr>
          <w:sz w:val="24"/>
          <w:szCs w:val="24"/>
        </w:rPr>
        <w:lastRenderedPageBreak/>
        <w:t>susijusią informaciją)</w:t>
      </w:r>
      <w:bookmarkEnd w:id="18"/>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7CC4162E" w14:textId="77777777" w:rsidR="00594AEC" w:rsidRPr="00F136E6" w:rsidRDefault="00594AEC" w:rsidP="00594AEC">
      <w:pPr>
        <w:widowControl w:val="0"/>
        <w:numPr>
          <w:ilvl w:val="0"/>
          <w:numId w:val="5"/>
        </w:numPr>
        <w:tabs>
          <w:tab w:val="left" w:pos="1134"/>
        </w:tabs>
        <w:jc w:val="both"/>
        <w:rPr>
          <w:b/>
          <w:i/>
          <w:color w:val="FF0000"/>
        </w:rPr>
      </w:pPr>
      <w:bookmarkStart w:id="19" w:name="_Hlk128677470"/>
      <w:bookmarkStart w:id="20"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9"/>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0"/>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1" w:name="_Hlk128677530"/>
      <w:r w:rsidRPr="00041070">
        <w:rPr>
          <w:i/>
          <w:sz w:val="24"/>
          <w:szCs w:val="24"/>
        </w:rPr>
        <w:t xml:space="preserve">Tiekėjui, teikiančiam pasiūlymą, rekomenduojama vadovautis Viešųjų pirkimų tarnybos </w:t>
      </w:r>
      <w:r w:rsidRPr="00041070">
        <w:rPr>
          <w:i/>
          <w:sz w:val="24"/>
          <w:szCs w:val="24"/>
        </w:rPr>
        <w:lastRenderedPageBreak/>
        <w:t>parengtomis gairėmis „Tiekėjo ABC“ ir pranešimu, kaip pagalbine medžiaga dėl dažniausiai tiekėjų daromų klaidų, pateiktais šiose nuorodose:</w:t>
      </w:r>
      <w:bookmarkEnd w:id="21"/>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48148139" w14:textId="6412693A"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594AEC">
      <w:pPr>
        <w:pStyle w:val="Sraopastraipa"/>
        <w:numPr>
          <w:ilvl w:val="1"/>
          <w:numId w:val="5"/>
        </w:numPr>
        <w:tabs>
          <w:tab w:val="left" w:pos="1276"/>
          <w:tab w:val="left" w:pos="1418"/>
        </w:tabs>
        <w:ind w:left="0" w:firstLine="709"/>
        <w:jc w:val="both"/>
        <w:rPr>
          <w:b/>
          <w:bCs/>
          <w:sz w:val="24"/>
          <w:szCs w:val="24"/>
        </w:rPr>
      </w:pPr>
      <w:r w:rsidRPr="005F2EBC">
        <w:rPr>
          <w:b/>
          <w:bCs/>
          <w:sz w:val="24"/>
          <w:szCs w:val="24"/>
        </w:rPr>
        <w:t>pasiūlymo galiojimo užtikrinimas;</w:t>
      </w:r>
    </w:p>
    <w:p w14:paraId="2D90FA0C" w14:textId="53CD021A" w:rsidR="00041070" w:rsidRPr="00594AEC" w:rsidRDefault="00041070" w:rsidP="00594AEC">
      <w:pPr>
        <w:pStyle w:val="Sraopastraipa"/>
        <w:numPr>
          <w:ilvl w:val="1"/>
          <w:numId w:val="5"/>
        </w:numPr>
        <w:tabs>
          <w:tab w:val="left" w:pos="1276"/>
        </w:tabs>
        <w:ind w:left="0" w:firstLine="709"/>
        <w:jc w:val="both"/>
        <w:rPr>
          <w:sz w:val="24"/>
          <w:szCs w:val="24"/>
        </w:rPr>
      </w:pPr>
      <w:r w:rsidRPr="00041070">
        <w:rPr>
          <w:sz w:val="24"/>
          <w:szCs w:val="24"/>
        </w:rPr>
        <w:t xml:space="preserve"> </w:t>
      </w:r>
      <w:r w:rsidR="00594AEC"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2"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3"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lastRenderedPageBreak/>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4"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4"/>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04E6CC71" w:rsidR="00594AEC" w:rsidRPr="00B82E6B" w:rsidRDefault="00594AEC" w:rsidP="00114962">
      <w:pPr>
        <w:pStyle w:val="Antrat5"/>
        <w:keepNext w:val="0"/>
        <w:keepLines w:val="0"/>
        <w:widowControl w:val="0"/>
        <w:numPr>
          <w:ilvl w:val="0"/>
          <w:numId w:val="10"/>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25" w:name="_Hlk196858659"/>
      <w:r w:rsidRPr="00440DCC">
        <w:rPr>
          <w:rFonts w:ascii="Times New Roman" w:hAnsi="Times New Roman"/>
          <w:b/>
          <w:bCs/>
          <w:color w:val="auto"/>
        </w:rPr>
        <w:t xml:space="preserve">ne mažesnei negu </w:t>
      </w:r>
      <w:r w:rsidR="00F334BF">
        <w:rPr>
          <w:rFonts w:ascii="Times New Roman" w:hAnsi="Times New Roman"/>
          <w:b/>
          <w:bCs/>
          <w:color w:val="auto"/>
        </w:rPr>
        <w:t>49</w:t>
      </w:r>
      <w:r>
        <w:rPr>
          <w:rFonts w:ascii="Times New Roman" w:hAnsi="Times New Roman"/>
          <w:b/>
          <w:bCs/>
          <w:color w:val="auto"/>
        </w:rPr>
        <w:t> 000,00</w:t>
      </w:r>
      <w:r w:rsidRPr="00440DCC">
        <w:rPr>
          <w:rFonts w:ascii="Times New Roman" w:hAnsi="Times New Roman"/>
          <w:b/>
          <w:bCs/>
          <w:color w:val="auto"/>
        </w:rPr>
        <w:t xml:space="preserve"> Eur sumai</w:t>
      </w:r>
      <w:bookmarkEnd w:id="25"/>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77777777" w:rsidR="00594AEC" w:rsidRPr="00B82E6B" w:rsidRDefault="00594AEC" w:rsidP="00114962">
      <w:pPr>
        <w:pStyle w:val="Sraopastraipa1"/>
        <w:widowControl w:val="0"/>
        <w:numPr>
          <w:ilvl w:val="0"/>
          <w:numId w:val="10"/>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26" w:name="_Hlk184490132"/>
      <w:r w:rsidRPr="008533DC">
        <w:rPr>
          <w:sz w:val="24"/>
          <w:szCs w:val="24"/>
        </w:rPr>
        <w:t>nuo pasiūlymų pateikimo termino pabaigos</w:t>
      </w:r>
      <w:bookmarkEnd w:id="26"/>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5AB2E6C6" w14:textId="77777777" w:rsidR="00594AEC" w:rsidRPr="00B82E6B" w:rsidRDefault="00594AEC" w:rsidP="00114962">
      <w:pPr>
        <w:pStyle w:val="Antrat5"/>
        <w:keepNext w:val="0"/>
        <w:keepLines w:val="0"/>
        <w:widowControl w:val="0"/>
        <w:numPr>
          <w:ilvl w:val="0"/>
          <w:numId w:val="10"/>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7" w:name="_Hlk184554829"/>
      <w:r w:rsidRPr="00B82E6B">
        <w:rPr>
          <w:rFonts w:ascii="Times New Roman" w:hAnsi="Times New Roman"/>
          <w:color w:val="auto"/>
        </w:rPr>
        <w:t>ar kitos kredito įstaigos</w:t>
      </w:r>
      <w:bookmarkEnd w:id="27"/>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114962">
      <w:pPr>
        <w:widowControl w:val="0"/>
        <w:numPr>
          <w:ilvl w:val="0"/>
          <w:numId w:val="10"/>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114962">
      <w:pPr>
        <w:pStyle w:val="Sraopastraipa"/>
        <w:numPr>
          <w:ilvl w:val="0"/>
          <w:numId w:val="10"/>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114962">
      <w:pPr>
        <w:numPr>
          <w:ilvl w:val="1"/>
          <w:numId w:val="10"/>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114962">
      <w:pPr>
        <w:numPr>
          <w:ilvl w:val="1"/>
          <w:numId w:val="10"/>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114962">
      <w:pPr>
        <w:numPr>
          <w:ilvl w:val="1"/>
          <w:numId w:val="10"/>
        </w:numPr>
        <w:tabs>
          <w:tab w:val="left" w:pos="993"/>
          <w:tab w:val="left" w:pos="1134"/>
          <w:tab w:val="left" w:pos="1276"/>
        </w:tabs>
        <w:ind w:left="-10"/>
        <w:contextualSpacing/>
        <w:jc w:val="both"/>
      </w:pPr>
      <w:r w:rsidRPr="000207C6">
        <w:lastRenderedPageBreak/>
        <w:t>atmetamas tiekėjo pasiūlymas;</w:t>
      </w:r>
    </w:p>
    <w:p w14:paraId="263AA7B3" w14:textId="77777777" w:rsidR="00594AEC" w:rsidRPr="004B3B24" w:rsidRDefault="00594AEC" w:rsidP="00114962">
      <w:pPr>
        <w:widowControl w:val="0"/>
        <w:numPr>
          <w:ilvl w:val="1"/>
          <w:numId w:val="10"/>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114962">
      <w:pPr>
        <w:widowControl w:val="0"/>
        <w:numPr>
          <w:ilvl w:val="0"/>
          <w:numId w:val="10"/>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114962">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114962">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114962">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114962">
      <w:pPr>
        <w:numPr>
          <w:ilvl w:val="0"/>
          <w:numId w:val="10"/>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114962">
      <w:pPr>
        <w:widowControl w:val="0"/>
        <w:numPr>
          <w:ilvl w:val="0"/>
          <w:numId w:val="10"/>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114962">
      <w:pPr>
        <w:pStyle w:val="Sraopastraipa"/>
        <w:numPr>
          <w:ilvl w:val="0"/>
          <w:numId w:val="11"/>
        </w:numPr>
        <w:tabs>
          <w:tab w:val="left" w:pos="1080"/>
          <w:tab w:val="left" w:pos="1276"/>
        </w:tabs>
        <w:jc w:val="both"/>
        <w:rPr>
          <w:i/>
          <w:sz w:val="24"/>
          <w:szCs w:val="24"/>
        </w:rPr>
      </w:pPr>
      <w:bookmarkStart w:id="28" w:name="_Toc47844933"/>
      <w:bookmarkStart w:id="2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114962">
      <w:pPr>
        <w:numPr>
          <w:ilvl w:val="0"/>
          <w:numId w:val="11"/>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114962">
      <w:pPr>
        <w:numPr>
          <w:ilvl w:val="0"/>
          <w:numId w:val="11"/>
        </w:numPr>
        <w:tabs>
          <w:tab w:val="left" w:pos="1080"/>
          <w:tab w:val="left" w:pos="1276"/>
        </w:tabs>
        <w:contextualSpacing/>
        <w:jc w:val="both"/>
        <w:rPr>
          <w:i/>
        </w:rPr>
      </w:pPr>
      <w:bookmarkStart w:id="3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0"/>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114962">
      <w:pPr>
        <w:numPr>
          <w:ilvl w:val="0"/>
          <w:numId w:val="11"/>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19F7F8EB" w:rsidR="00ED2918" w:rsidRPr="00381EFA" w:rsidRDefault="00ED2918" w:rsidP="00114962">
      <w:pPr>
        <w:numPr>
          <w:ilvl w:val="0"/>
          <w:numId w:val="11"/>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r w:rsidR="00265BE2" w:rsidRPr="00265BE2">
        <w:t xml:space="preserve">Tiekėjai savarankiškai patys gali vykti į objekto apžiūrą, apžiūros laiką susiderinant su objekto kontaktiniu asmeniu – Irma Girdauskaite, tel. +37061276889. Objekto apžiūros metu tiekėjai </w:t>
      </w:r>
      <w:r w:rsidR="00265BE2" w:rsidRPr="00265BE2">
        <w:lastRenderedPageBreak/>
        <w:t>negali uždavinėti klausimų apžiūroje dalyvaujančiam objekto atstovui, jeigu klausimų, vis dėlto, tiekėjas pateiktų – apžiūroje dalyvaujantis objekto atstovas į juos neatsakinės, Perkančioji organizacija apžiūros protokolo CVP IS neskelbs. Tiekėja</w:t>
      </w:r>
      <w:r w:rsidR="00EE5D75">
        <w:t>i</w:t>
      </w:r>
      <w:r w:rsidR="00265BE2" w:rsidRPr="00265BE2">
        <w:t xml:space="preserve"> po apžiūros gal</w:t>
      </w:r>
      <w:r w:rsidR="00EE5D75">
        <w:t>i</w:t>
      </w:r>
      <w:r w:rsidR="00265BE2" w:rsidRPr="00265BE2">
        <w:t xml:space="preserve"> teikti klausimus Perkančiajai organizacijai CVP IS susirašinėjimo priemonėmis</w:t>
      </w:r>
      <w:r w:rsidR="00EE5D75">
        <w:t>, tačiau</w:t>
      </w:r>
      <w:r w:rsidR="00265BE2" w:rsidRPr="00265BE2">
        <w:t xml:space="preserve"> </w:t>
      </w:r>
      <w:r w:rsidR="00265BE2" w:rsidRPr="00EE5D75">
        <w:rPr>
          <w:b/>
          <w:bCs/>
        </w:rPr>
        <w:t xml:space="preserve">ne vėliau kaip likus </w:t>
      </w:r>
      <w:r w:rsidR="00EE5D75" w:rsidRPr="00EE5D75">
        <w:rPr>
          <w:b/>
          <w:bCs/>
        </w:rPr>
        <w:t>4 darbo</w:t>
      </w:r>
      <w:r w:rsidR="00265BE2" w:rsidRPr="00EE5D75">
        <w:rPr>
          <w:b/>
          <w:bCs/>
        </w:rPr>
        <w:t xml:space="preserve"> </w:t>
      </w:r>
      <w:r w:rsidR="00EE5D75" w:rsidRPr="00EE5D75">
        <w:rPr>
          <w:b/>
          <w:bCs/>
        </w:rPr>
        <w:t>dienoms</w:t>
      </w:r>
      <w:r w:rsidR="00EE5D75">
        <w:t xml:space="preserve"> </w:t>
      </w:r>
      <w:r w:rsidR="00265BE2" w:rsidRPr="00265BE2">
        <w:t>iki pasiūlymų pateikimo termino pabaigos (neįskaitant paskutinės pasiūlymo pateikimo dienos), o Perkančioji organizacija į gautus klausimus atsakys konkurso sąlygų aprašo 5</w:t>
      </w:r>
      <w:r w:rsidR="006924E8">
        <w:t>5</w:t>
      </w:r>
      <w:r w:rsidR="00265BE2" w:rsidRPr="00265BE2">
        <w:t xml:space="preserve"> p. nustatyta tvarka.</w:t>
      </w:r>
    </w:p>
    <w:bookmarkEnd w:id="28"/>
    <w:bookmarkEnd w:id="29"/>
    <w:p w14:paraId="0585C49D" w14:textId="77777777" w:rsidR="00ED2918" w:rsidRPr="00381EFA" w:rsidRDefault="00ED2918" w:rsidP="00114962">
      <w:pPr>
        <w:numPr>
          <w:ilvl w:val="0"/>
          <w:numId w:val="11"/>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114962">
      <w:pPr>
        <w:numPr>
          <w:ilvl w:val="0"/>
          <w:numId w:val="11"/>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114962">
      <w:pPr>
        <w:pStyle w:val="Sraopastraipa1"/>
        <w:widowControl w:val="0"/>
        <w:numPr>
          <w:ilvl w:val="0"/>
          <w:numId w:val="11"/>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114962">
      <w:pPr>
        <w:pStyle w:val="Sraopastraipa1"/>
        <w:widowControl w:val="0"/>
        <w:numPr>
          <w:ilvl w:val="0"/>
          <w:numId w:val="1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114962">
      <w:pPr>
        <w:widowControl w:val="0"/>
        <w:numPr>
          <w:ilvl w:val="0"/>
          <w:numId w:val="11"/>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114962">
      <w:pPr>
        <w:pStyle w:val="Sraopastraipa"/>
        <w:numPr>
          <w:ilvl w:val="0"/>
          <w:numId w:val="11"/>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114962">
      <w:pPr>
        <w:pStyle w:val="Sraopastraipa"/>
        <w:numPr>
          <w:ilvl w:val="1"/>
          <w:numId w:val="11"/>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114962">
      <w:pPr>
        <w:pStyle w:val="Sraopastraipa"/>
        <w:numPr>
          <w:ilvl w:val="1"/>
          <w:numId w:val="11"/>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114962">
      <w:pPr>
        <w:pStyle w:val="Sraopastraipa"/>
        <w:numPr>
          <w:ilvl w:val="1"/>
          <w:numId w:val="11"/>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1" w:name="_Hlk128677779"/>
      <w:r w:rsidRPr="001B5E61">
        <w:rPr>
          <w:sz w:val="24"/>
          <w:szCs w:val="24"/>
        </w:rPr>
        <w:t>atitiktį kvalifikacijos reikalavimams</w:t>
      </w:r>
      <w:bookmarkEnd w:id="31"/>
      <w:r w:rsidRPr="00C66885">
        <w:rPr>
          <w:sz w:val="24"/>
          <w:szCs w:val="24"/>
        </w:rPr>
        <w:t>.</w:t>
      </w:r>
    </w:p>
    <w:p w14:paraId="3A4E6D27" w14:textId="77777777" w:rsidR="00DE3F87" w:rsidRPr="00C66885" w:rsidRDefault="00DE3F87" w:rsidP="00114962">
      <w:pPr>
        <w:pStyle w:val="Sraopastraipa1"/>
        <w:widowControl w:val="0"/>
        <w:numPr>
          <w:ilvl w:val="0"/>
          <w:numId w:val="11"/>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w:t>
      </w:r>
      <w:r w:rsidRPr="00C66885">
        <w:rPr>
          <w:sz w:val="24"/>
          <w:szCs w:val="24"/>
        </w:rPr>
        <w:lastRenderedPageBreak/>
        <w:t xml:space="preserve">informuojamas nedelsiant, bet ne vėliau kaip per 3 darbo dienas, raštu pranešant apie šio patikrinimo rezultatus bei pagrindžiant priimtus sprendimus. </w:t>
      </w:r>
    </w:p>
    <w:p w14:paraId="6DBE4E87" w14:textId="77777777" w:rsidR="00DE3F87" w:rsidRPr="00C66885" w:rsidRDefault="00DE3F87" w:rsidP="00114962">
      <w:pPr>
        <w:widowControl w:val="0"/>
        <w:numPr>
          <w:ilvl w:val="0"/>
          <w:numId w:val="11"/>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114962">
      <w:pPr>
        <w:widowControl w:val="0"/>
        <w:numPr>
          <w:ilvl w:val="0"/>
          <w:numId w:val="11"/>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114962">
      <w:pPr>
        <w:widowControl w:val="0"/>
        <w:numPr>
          <w:ilvl w:val="0"/>
          <w:numId w:val="11"/>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114962">
      <w:pPr>
        <w:widowControl w:val="0"/>
        <w:numPr>
          <w:ilvl w:val="0"/>
          <w:numId w:val="11"/>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114962">
      <w:pPr>
        <w:widowControl w:val="0"/>
        <w:numPr>
          <w:ilvl w:val="0"/>
          <w:numId w:val="11"/>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114962">
      <w:pPr>
        <w:widowControl w:val="0"/>
        <w:numPr>
          <w:ilvl w:val="0"/>
          <w:numId w:val="11"/>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29FACBDA" w:rsidR="00DE3F87" w:rsidRPr="00C66885" w:rsidRDefault="00DE3F87" w:rsidP="00114962">
      <w:pPr>
        <w:widowControl w:val="0"/>
        <w:numPr>
          <w:ilvl w:val="0"/>
          <w:numId w:val="11"/>
        </w:numPr>
        <w:tabs>
          <w:tab w:val="left" w:pos="993"/>
          <w:tab w:val="left" w:pos="1134"/>
        </w:tabs>
        <w:jc w:val="both"/>
      </w:pPr>
      <w:bookmarkStart w:id="3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4" w:name="_Hlk127458020"/>
      <w:r>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Pr="00C66885">
        <w:rPr>
          <w:b/>
        </w:rPr>
        <w:t>.</w:t>
      </w:r>
      <w:r w:rsidR="001573E0" w:rsidRPr="001573E0">
        <w:rPr>
          <w:b/>
        </w:rPr>
        <w:t xml:space="preserve"> </w:t>
      </w:r>
      <w:r w:rsidR="001573E0" w:rsidRPr="002071CD">
        <w:rPr>
          <w:b/>
        </w:rPr>
        <w:t>Dokumentų pagal EBVPD reikalaujama tik tuo atveju, jei šie dokumentai nebuvo pateikti kartu su pasiūlymu. Jei šie dokumentai buvo pateikti su pasiūlymu – tokiu atveju vertinami su pasiūlymu pateikti dokumentai.</w:t>
      </w:r>
    </w:p>
    <w:p w14:paraId="76FEB49A" w14:textId="77777777" w:rsidR="00DE3F87" w:rsidRPr="00C66885" w:rsidRDefault="00DE3F87" w:rsidP="00114962">
      <w:pPr>
        <w:widowControl w:val="0"/>
        <w:numPr>
          <w:ilvl w:val="0"/>
          <w:numId w:val="11"/>
        </w:numPr>
        <w:tabs>
          <w:tab w:val="left" w:pos="993"/>
          <w:tab w:val="left" w:pos="1134"/>
        </w:tabs>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2463709F" w14:textId="77777777" w:rsidR="00DE3F87" w:rsidRPr="00C66885" w:rsidRDefault="00DE3F87" w:rsidP="00114962">
      <w:pPr>
        <w:numPr>
          <w:ilvl w:val="1"/>
          <w:numId w:val="11"/>
        </w:numPr>
        <w:tabs>
          <w:tab w:val="left" w:pos="1276"/>
          <w:tab w:val="left" w:pos="1418"/>
        </w:tabs>
        <w:ind w:left="-10" w:right="40"/>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6"/>
      <w:r w:rsidRPr="00C66885">
        <w:t>;</w:t>
      </w:r>
    </w:p>
    <w:p w14:paraId="15E43897" w14:textId="77777777" w:rsidR="00DE3F87" w:rsidRPr="00C66885" w:rsidRDefault="00DE3F87" w:rsidP="00114962">
      <w:pPr>
        <w:numPr>
          <w:ilvl w:val="1"/>
          <w:numId w:val="11"/>
        </w:numPr>
        <w:tabs>
          <w:tab w:val="left" w:pos="1276"/>
          <w:tab w:val="left" w:pos="1418"/>
        </w:tabs>
        <w:ind w:left="-10" w:right="40"/>
        <w:jc w:val="both"/>
      </w:pPr>
      <w:bookmarkStart w:id="3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7"/>
      <w:r>
        <w:t>;</w:t>
      </w:r>
      <w:r w:rsidRPr="00C66885">
        <w:t xml:space="preserve"> </w:t>
      </w:r>
    </w:p>
    <w:p w14:paraId="6F5BAE80" w14:textId="77777777" w:rsidR="00DE3F87" w:rsidRPr="003236BB" w:rsidRDefault="00DE3F87" w:rsidP="00114962">
      <w:pPr>
        <w:widowControl w:val="0"/>
        <w:numPr>
          <w:ilvl w:val="1"/>
          <w:numId w:val="11"/>
        </w:numPr>
        <w:tabs>
          <w:tab w:val="left" w:pos="993"/>
          <w:tab w:val="left" w:pos="1276"/>
        </w:tabs>
        <w:ind w:left="-10"/>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lastRenderedPageBreak/>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8"/>
      <w:r w:rsidRPr="003236BB">
        <w:t>.</w:t>
      </w:r>
    </w:p>
    <w:p w14:paraId="2B4266CD" w14:textId="77777777" w:rsidR="00DE3F87" w:rsidRPr="003236BB" w:rsidRDefault="00DE3F87" w:rsidP="00114962">
      <w:pPr>
        <w:widowControl w:val="0"/>
        <w:numPr>
          <w:ilvl w:val="0"/>
          <w:numId w:val="11"/>
        </w:numPr>
        <w:tabs>
          <w:tab w:val="left" w:pos="1134"/>
        </w:tabs>
        <w:jc w:val="both"/>
        <w:rPr>
          <w:b/>
        </w:rPr>
      </w:pPr>
      <w:r w:rsidRPr="003236BB">
        <w:rPr>
          <w:b/>
        </w:rPr>
        <w:t>Komisija atmeta pasiūlymą, jeigu:</w:t>
      </w:r>
    </w:p>
    <w:p w14:paraId="2D6E9B85" w14:textId="078D10A1" w:rsidR="00DE3F87" w:rsidRPr="00C66885" w:rsidRDefault="00DE3F87" w:rsidP="00114962">
      <w:pPr>
        <w:pStyle w:val="Sraopastraipa1"/>
        <w:widowControl w:val="0"/>
        <w:numPr>
          <w:ilvl w:val="1"/>
          <w:numId w:val="11"/>
        </w:numPr>
        <w:tabs>
          <w:tab w:val="left" w:pos="993"/>
          <w:tab w:val="left" w:pos="1276"/>
        </w:tabs>
        <w:ind w:left="-10"/>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9"/>
      <w:r w:rsidRPr="00C66885">
        <w:rPr>
          <w:sz w:val="24"/>
          <w:szCs w:val="24"/>
        </w:rPr>
        <w:t xml:space="preserve">; </w:t>
      </w:r>
    </w:p>
    <w:p w14:paraId="482102AF" w14:textId="77777777" w:rsidR="00DE3F87" w:rsidRPr="00E51554" w:rsidRDefault="00DE3F87" w:rsidP="00114962">
      <w:pPr>
        <w:pStyle w:val="Sraopastraipa1"/>
        <w:widowControl w:val="0"/>
        <w:numPr>
          <w:ilvl w:val="1"/>
          <w:numId w:val="11"/>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114962">
      <w:pPr>
        <w:pStyle w:val="Sraopastraipa1"/>
        <w:widowControl w:val="0"/>
        <w:numPr>
          <w:ilvl w:val="1"/>
          <w:numId w:val="11"/>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114962">
      <w:pPr>
        <w:widowControl w:val="0"/>
        <w:numPr>
          <w:ilvl w:val="1"/>
          <w:numId w:val="11"/>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114962">
      <w:pPr>
        <w:widowControl w:val="0"/>
        <w:numPr>
          <w:ilvl w:val="1"/>
          <w:numId w:val="11"/>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114962">
      <w:pPr>
        <w:widowControl w:val="0"/>
        <w:numPr>
          <w:ilvl w:val="1"/>
          <w:numId w:val="11"/>
        </w:numPr>
        <w:tabs>
          <w:tab w:val="left" w:pos="993"/>
          <w:tab w:val="left" w:pos="1276"/>
        </w:tabs>
        <w:ind w:left="-10"/>
        <w:jc w:val="both"/>
      </w:pPr>
      <w:bookmarkStart w:id="40"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E76D2F" w:rsidRPr="00031EB2">
        <w:t>.</w:t>
      </w:r>
    </w:p>
    <w:p w14:paraId="7233C3DD" w14:textId="77777777" w:rsidR="00C20586" w:rsidRDefault="00C20586" w:rsidP="008B59AB">
      <w:pPr>
        <w:widowControl w:val="0"/>
        <w:spacing w:after="120"/>
        <w:contextualSpacing/>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114962">
      <w:pPr>
        <w:pStyle w:val="Sraopastraipa"/>
        <w:widowControl w:val="0"/>
        <w:numPr>
          <w:ilvl w:val="0"/>
          <w:numId w:val="11"/>
        </w:numPr>
        <w:tabs>
          <w:tab w:val="left" w:pos="1134"/>
        </w:tabs>
        <w:jc w:val="both"/>
        <w:rPr>
          <w:sz w:val="24"/>
          <w:szCs w:val="24"/>
        </w:rPr>
      </w:pPr>
      <w:bookmarkStart w:id="41" w:name="_Hlk127458282"/>
      <w:bookmarkStart w:id="42" w:name="_Hlk160297805"/>
      <w:bookmarkStart w:id="43" w:name="_Hlk116564628"/>
      <w:r w:rsidRPr="00C739F7">
        <w:rPr>
          <w:sz w:val="24"/>
          <w:szCs w:val="24"/>
        </w:rPr>
        <w:t xml:space="preserve">Pasiūlymuose </w:t>
      </w:r>
      <w:bookmarkEnd w:id="41"/>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Pr="00C739F7">
        <w:rPr>
          <w:sz w:val="24"/>
          <w:szCs w:val="24"/>
        </w:rPr>
        <w:t xml:space="preserve">. </w:t>
      </w:r>
    </w:p>
    <w:p w14:paraId="2B6FAE3B" w14:textId="70A48C65" w:rsidR="005C56BB" w:rsidRPr="005C56BB" w:rsidRDefault="00DB6497" w:rsidP="00114962">
      <w:pPr>
        <w:pStyle w:val="Sraopastraipa"/>
        <w:widowControl w:val="0"/>
        <w:numPr>
          <w:ilvl w:val="0"/>
          <w:numId w:val="11"/>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sidR="00A7758F">
        <w:rPr>
          <w:b/>
          <w:bCs/>
          <w:sz w:val="24"/>
          <w:szCs w:val="24"/>
        </w:rPr>
        <w:t>mažiausios kainos kriterijų.</w:t>
      </w:r>
    </w:p>
    <w:p w14:paraId="472913DB" w14:textId="56E43D2F" w:rsidR="0063183B" w:rsidRPr="00641270" w:rsidRDefault="0063183B" w:rsidP="00641270">
      <w:pPr>
        <w:widowControl w:val="0"/>
        <w:tabs>
          <w:tab w:val="left" w:pos="1134"/>
        </w:tabs>
        <w:jc w:val="both"/>
        <w:rPr>
          <w:bCs/>
        </w:rPr>
      </w:pPr>
    </w:p>
    <w:bookmarkEnd w:id="43"/>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131418F9" w:rsidR="00F97C0B" w:rsidRPr="00E82C73" w:rsidRDefault="00F97C0B" w:rsidP="00114962">
      <w:pPr>
        <w:pStyle w:val="Sraopastraipa"/>
        <w:widowControl w:val="0"/>
        <w:numPr>
          <w:ilvl w:val="0"/>
          <w:numId w:val="9"/>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676A2B" w:rsidRPr="007B52A8">
        <w:rPr>
          <w:rFonts w:eastAsia="Calibri"/>
          <w:sz w:val="24"/>
          <w:szCs w:val="24"/>
        </w:rPr>
        <w:t>j</w:t>
      </w:r>
      <w:r w:rsidRPr="007B52A8">
        <w:rPr>
          <w:rFonts w:eastAsia="Calibri"/>
          <w:sz w:val="24"/>
          <w:szCs w:val="24"/>
        </w:rPr>
        <w:t>e eilė</w:t>
      </w:r>
      <w:r w:rsidR="00676A2B" w:rsidRPr="007B52A8">
        <w:rPr>
          <w:rFonts w:eastAsia="Calibri"/>
          <w:sz w:val="24"/>
          <w:szCs w:val="24"/>
        </w:rPr>
        <w:t>j</w:t>
      </w:r>
      <w:r w:rsidRPr="007B52A8">
        <w:rPr>
          <w:rFonts w:eastAsia="Calibri"/>
          <w:sz w:val="24"/>
          <w:szCs w:val="24"/>
        </w:rPr>
        <w:t xml:space="preserve">e surašomi </w:t>
      </w:r>
      <w:r w:rsidR="00A7758F">
        <w:rPr>
          <w:rFonts w:eastAsia="Calibri"/>
          <w:sz w:val="24"/>
          <w:szCs w:val="24"/>
        </w:rPr>
        <w:t>kainų didėjimo</w:t>
      </w:r>
      <w:r w:rsidRPr="007B52A8">
        <w:rPr>
          <w:rFonts w:eastAsia="Calibri"/>
          <w:sz w:val="24"/>
          <w:szCs w:val="24"/>
        </w:rPr>
        <w:t xml:space="preserve"> tvarka. </w:t>
      </w:r>
      <w:bookmarkStart w:id="44" w:name="_Hlk131429937"/>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4"/>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A7758F">
        <w:rPr>
          <w:rFonts w:eastAsia="Calibri"/>
          <w:sz w:val="24"/>
          <w:szCs w:val="24"/>
        </w:rPr>
        <w:t>kainos</w:t>
      </w:r>
      <w:r w:rsidR="00676A2B">
        <w:rPr>
          <w:rFonts w:eastAsia="Calibri"/>
          <w:sz w:val="24"/>
          <w:szCs w:val="24"/>
        </w:rPr>
        <w:t xml:space="preserve"> yra vienod</w:t>
      </w:r>
      <w:r w:rsidR="00A7758F">
        <w:rPr>
          <w:rFonts w:eastAsia="Calibri"/>
          <w:sz w:val="24"/>
          <w:szCs w:val="24"/>
        </w:rPr>
        <w:t>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114962">
      <w:pPr>
        <w:pStyle w:val="Sraopastraipa"/>
        <w:widowControl w:val="0"/>
        <w:numPr>
          <w:ilvl w:val="0"/>
          <w:numId w:val="9"/>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114962">
      <w:pPr>
        <w:numPr>
          <w:ilvl w:val="0"/>
          <w:numId w:val="9"/>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114962">
      <w:pPr>
        <w:numPr>
          <w:ilvl w:val="0"/>
          <w:numId w:val="9"/>
        </w:numPr>
        <w:tabs>
          <w:tab w:val="left" w:pos="993"/>
          <w:tab w:val="left" w:pos="1134"/>
        </w:tabs>
        <w:jc w:val="both"/>
      </w:pPr>
      <w:r w:rsidRPr="00B65BEA">
        <w:rPr>
          <w:rFonts w:eastAsiaTheme="minorHAnsi"/>
          <w:color w:val="000000"/>
        </w:rPr>
        <w:lastRenderedPageBreak/>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114962">
      <w:pPr>
        <w:pStyle w:val="Sraopastraipa"/>
        <w:numPr>
          <w:ilvl w:val="0"/>
          <w:numId w:val="9"/>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114962">
      <w:pPr>
        <w:widowControl w:val="0"/>
        <w:numPr>
          <w:ilvl w:val="0"/>
          <w:numId w:val="9"/>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114962">
      <w:pPr>
        <w:widowControl w:val="0"/>
        <w:numPr>
          <w:ilvl w:val="0"/>
          <w:numId w:val="9"/>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114962">
      <w:pPr>
        <w:numPr>
          <w:ilvl w:val="0"/>
          <w:numId w:val="9"/>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C4C52F8" w14:textId="301046A1" w:rsidR="0064561E" w:rsidRPr="00943A95" w:rsidRDefault="00D308DF" w:rsidP="00114962">
      <w:pPr>
        <w:pStyle w:val="Sraopastraipa1"/>
        <w:widowControl w:val="0"/>
        <w:numPr>
          <w:ilvl w:val="0"/>
          <w:numId w:val="9"/>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D6AB625" w:rsidR="00E7771B" w:rsidRPr="00E7771B" w:rsidRDefault="00E7771B" w:rsidP="00114962">
      <w:pPr>
        <w:widowControl w:val="0"/>
        <w:numPr>
          <w:ilvl w:val="0"/>
          <w:numId w:val="9"/>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17977D6D" w:rsidR="00C94A4B" w:rsidRPr="00C94A4B" w:rsidRDefault="00C94A4B" w:rsidP="00114962">
      <w:pPr>
        <w:widowControl w:val="0"/>
        <w:numPr>
          <w:ilvl w:val="0"/>
          <w:numId w:val="9"/>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w:t>
      </w:r>
      <w:r w:rsidRPr="00C94A4B">
        <w:lastRenderedPageBreak/>
        <w:t xml:space="preserve">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114962">
      <w:pPr>
        <w:widowControl w:val="0"/>
        <w:numPr>
          <w:ilvl w:val="0"/>
          <w:numId w:val="9"/>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70C0E09E" w:rsidR="00027BD3" w:rsidRDefault="00265BE2" w:rsidP="00027BD3">
      <w:pPr>
        <w:shd w:val="clear" w:color="auto" w:fill="FFFFFF"/>
        <w:jc w:val="center"/>
        <w:rPr>
          <w:b/>
        </w:rPr>
      </w:pPr>
      <w:bookmarkStart w:id="45" w:name="_Hlk173928685"/>
      <w:r w:rsidRPr="00063F5D">
        <w:rPr>
          <w:b/>
          <w:lang w:eastAsia="lt-LT"/>
        </w:rPr>
        <w:t>KLAIPĖDOS VAIKŲ LIGONINĖS KONSULTACINĖS POLIKLINIKOS PASTATO, J. KAROSO G. 13, REKONSTRAVIMO DARBŲ SU DARBO PROJEKTO PARENGIMU</w:t>
      </w:r>
      <w:r>
        <w:rPr>
          <w:b/>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5"/>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5C6D2A90"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A1EA7">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12D45784" w:rsidR="00027BD3" w:rsidRPr="00031EB2" w:rsidRDefault="00027BD3" w:rsidP="003C5D48">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A1EA7">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EE5D75"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05D2DBC5" w:rsidR="00EE5D75" w:rsidRPr="00946E5D" w:rsidRDefault="00EE5D75" w:rsidP="00EE5D75">
            <w:pPr>
              <w:autoSpaceDE w:val="0"/>
              <w:autoSpaceDN w:val="0"/>
              <w:adjustRightInd w:val="0"/>
              <w:jc w:val="both"/>
              <w:rPr>
                <w:bCs/>
              </w:rPr>
            </w:pPr>
            <w:r>
              <w:t>K</w:t>
            </w:r>
            <w:r w:rsidRPr="009B1B4C">
              <w:t>valifikuot</w:t>
            </w:r>
            <w:r>
              <w:t>as</w:t>
            </w:r>
            <w:r w:rsidRPr="009B1B4C">
              <w:t xml:space="preserve"> statinio statybos vadov</w:t>
            </w:r>
            <w:r>
              <w:t>as</w:t>
            </w:r>
            <w:r w:rsidRPr="009B1B4C">
              <w:t>, turint</w:t>
            </w:r>
            <w:r>
              <w:t>is</w:t>
            </w:r>
            <w:r w:rsidRPr="009B1B4C">
              <w:t xml:space="preserve"> teisę eiti statybos vadovo pareigas (statinio kategorija – ypatingasis statinys, pastatai pagal paskirtį: negyvenamieji pastatai, pastatų paskirtis – gydymo paskirties pastatai)</w:t>
            </w:r>
          </w:p>
        </w:tc>
        <w:tc>
          <w:tcPr>
            <w:tcW w:w="3118" w:type="dxa"/>
            <w:tcMar>
              <w:top w:w="0" w:type="dxa"/>
              <w:left w:w="108" w:type="dxa"/>
              <w:bottom w:w="0" w:type="dxa"/>
              <w:right w:w="108" w:type="dxa"/>
            </w:tcMar>
          </w:tcPr>
          <w:p w14:paraId="0BAA58ED" w14:textId="77777777" w:rsidR="00EE5D75" w:rsidRPr="00031EB2" w:rsidRDefault="00EE5D75" w:rsidP="00EE5D75">
            <w:pPr>
              <w:jc w:val="both"/>
              <w:rPr>
                <w:color w:val="000000" w:themeColor="text1"/>
              </w:rPr>
            </w:pPr>
          </w:p>
        </w:tc>
      </w:tr>
      <w:tr w:rsidR="00EE5D75"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7D1EB943" w:rsidR="00EE5D75" w:rsidRPr="002D52E9" w:rsidRDefault="00EE5D75" w:rsidP="00EE5D75">
            <w:pPr>
              <w:jc w:val="both"/>
            </w:pPr>
            <w:r>
              <w:t>K</w:t>
            </w:r>
            <w:r w:rsidRPr="009B1B4C">
              <w:t>valifikuot</w:t>
            </w:r>
            <w:r>
              <w:t>as</w:t>
            </w:r>
            <w:r w:rsidRPr="009B1B4C">
              <w:t xml:space="preserve"> statinio projekto vadov</w:t>
            </w:r>
            <w:r>
              <w:t>as</w:t>
            </w:r>
            <w:r w:rsidRPr="009B1B4C">
              <w:t>, turint</w:t>
            </w:r>
            <w:r>
              <w:t>is</w:t>
            </w:r>
            <w:r w:rsidRPr="009B1B4C">
              <w:t xml:space="preserve"> teisę eiti projekto vadovo pareigas (statinio kategorija – ypatingasis statinys, pastatai pagal paskirtį: negyvenamieji pastatai, pastatų paskirtis – gydymo paskirties pastatai)</w:t>
            </w:r>
          </w:p>
        </w:tc>
        <w:tc>
          <w:tcPr>
            <w:tcW w:w="3118" w:type="dxa"/>
            <w:tcMar>
              <w:top w:w="0" w:type="dxa"/>
              <w:left w:w="108" w:type="dxa"/>
              <w:bottom w:w="0" w:type="dxa"/>
              <w:right w:w="108" w:type="dxa"/>
            </w:tcMar>
          </w:tcPr>
          <w:p w14:paraId="606FDA7E" w14:textId="77777777" w:rsidR="00EE5D75" w:rsidRPr="00031EB2" w:rsidRDefault="00EE5D75" w:rsidP="00EE5D75">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E6FC803"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A1EA7">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46" w:name="_Hlk190850686"/>
            <w:r w:rsidRPr="00954CF3">
              <w:t>1.</w:t>
            </w:r>
          </w:p>
        </w:tc>
        <w:tc>
          <w:tcPr>
            <w:tcW w:w="5954" w:type="dxa"/>
            <w:vAlign w:val="center"/>
          </w:tcPr>
          <w:p w14:paraId="2F06F142" w14:textId="35FBA57B" w:rsidR="00027BD3" w:rsidRPr="000D6134" w:rsidRDefault="00EE5D75" w:rsidP="003C5D48">
            <w:r w:rsidRPr="00EE5D75">
              <w:rPr>
                <w:rFonts w:eastAsia="TimesNewRomanPS-BoldMT"/>
              </w:rPr>
              <w:t xml:space="preserve">Klaipėdos vaikų ligoninės konsultacinės poliklinikos pastato, J. Karoso g. 13, rekonstravimo </w:t>
            </w:r>
            <w:r>
              <w:rPr>
                <w:rFonts w:eastAsia="TimesNewRomanPS-BoldMT"/>
              </w:rPr>
              <w:t>d</w:t>
            </w:r>
            <w:r w:rsidR="00027BD3" w:rsidRPr="000D6134">
              <w:rPr>
                <w:rFonts w:eastAsia="TimesNewRomanPS-BoldMT"/>
              </w:rPr>
              <w:t>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6F9CE89B" w:rsidR="00027BD3" w:rsidRPr="00BA4435" w:rsidRDefault="00EE5D75" w:rsidP="003C5D48">
            <w:pPr>
              <w:shd w:val="clear" w:color="auto" w:fill="FFFFFF"/>
              <w:jc w:val="both"/>
            </w:pPr>
            <w:r w:rsidRPr="00EE5D75">
              <w:t>Klaipėdos vaikų ligoninės konsultacinės poliklinikos pastato, J. Karoso g. 13, rekonstravimo darbai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46"/>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47" w:name="_Hlk120516996"/>
            <w:r>
              <w:rPr>
                <w:b/>
              </w:rPr>
              <w:t>Tiekėjo</w:t>
            </w:r>
            <w:r w:rsidRPr="0088735A">
              <w:rPr>
                <w:b/>
              </w:rPr>
              <w:t xml:space="preserve"> pelnas procentais</w:t>
            </w:r>
            <w:r>
              <w:rPr>
                <w:b/>
              </w:rPr>
              <w:t xml:space="preserve"> nuo pasiūlymo kainos Eur su PVM</w:t>
            </w:r>
            <w:r w:rsidRPr="0088735A">
              <w:rPr>
                <w:b/>
              </w:rPr>
              <w:t>:</w:t>
            </w:r>
            <w:bookmarkEnd w:id="47"/>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48" w:name="_Hlk127263941"/>
      <w:r>
        <w:rPr>
          <w:i/>
        </w:rPr>
        <w:t xml:space="preserve">- </w:t>
      </w:r>
      <w:bookmarkEnd w:id="48"/>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7D2BCED9" w14:textId="77777777" w:rsidR="00027BD3" w:rsidRPr="001F0A23" w:rsidRDefault="00027BD3" w:rsidP="00560B87">
      <w:pPr>
        <w:tabs>
          <w:tab w:val="left" w:pos="1134"/>
          <w:tab w:val="left" w:pos="1276"/>
          <w:tab w:val="left" w:pos="1418"/>
        </w:tabs>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0BC88029"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5F44D4">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548F6AB"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5F44D4">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9" w:name="_Hlk183076718"/>
    </w:p>
    <w:bookmarkEnd w:id="49"/>
    <w:p w14:paraId="134E15D6" w14:textId="77777777" w:rsidR="004B4F32" w:rsidRDefault="004B4F32" w:rsidP="004B4F32">
      <w:pPr>
        <w:spacing w:before="80" w:after="80"/>
        <w:jc w:val="center"/>
        <w:rPr>
          <w:b/>
          <w:color w:val="000000" w:themeColor="text1"/>
        </w:rPr>
      </w:pPr>
      <w:r>
        <w:rPr>
          <w:b/>
          <w:color w:val="000000" w:themeColor="text1"/>
        </w:rPr>
        <w:t>UŽSAKOVO UŽDUOTIS (TECHNINĖ SPECIFIKACIJA)</w:t>
      </w:r>
    </w:p>
    <w:p w14:paraId="35A85CC7" w14:textId="77777777" w:rsidR="004B4F32" w:rsidRDefault="004B4F32" w:rsidP="004B4F32">
      <w:pPr>
        <w:jc w:val="center"/>
        <w:rPr>
          <w:b/>
          <w:color w:val="000000" w:themeColor="text1"/>
        </w:rPr>
      </w:pPr>
    </w:p>
    <w:p w14:paraId="16FC1450" w14:textId="77777777" w:rsidR="004B4F32" w:rsidRDefault="004B4F32" w:rsidP="004B4F32">
      <w:pPr>
        <w:spacing w:before="80" w:after="80"/>
        <w:rPr>
          <w:color w:val="000000" w:themeColor="text1"/>
        </w:rPr>
      </w:pPr>
      <w:r>
        <w:rPr>
          <w:color w:val="000000" w:themeColor="text1"/>
        </w:rPr>
        <w:t>Reikalavimai sutarties vykdymui:</w:t>
      </w:r>
    </w:p>
    <w:p w14:paraId="5FA4089E" w14:textId="77777777" w:rsidR="004B4F32" w:rsidRDefault="004B4F32" w:rsidP="00114962">
      <w:pPr>
        <w:pStyle w:val="Sraopastraipa"/>
        <w:numPr>
          <w:ilvl w:val="0"/>
          <w:numId w:val="12"/>
        </w:numPr>
        <w:tabs>
          <w:tab w:val="left" w:pos="993"/>
        </w:tabs>
        <w:ind w:left="0" w:firstLine="709"/>
        <w:jc w:val="both"/>
        <w:rPr>
          <w:sz w:val="24"/>
          <w:szCs w:val="24"/>
        </w:rPr>
      </w:pPr>
      <w:r>
        <w:rPr>
          <w:sz w:val="24"/>
          <w:szCs w:val="24"/>
        </w:rPr>
        <w:t>Darbo projektą rengia rangovas. Rangovas privalo pateikti (perdavus užbaigtus statybos darbus pasirašant Rangovo užbaigtų statybos darbų perdavimo statytojui aktą) Užsakovui įrenginių ir gaminių naudojimo instrukcijas lietuvių kalba. Rangovas turi įvykdyti Užsakovui ar Užsakovo nurodytam personalui (Naudotojui) mokymus (kontaktinius):</w:t>
      </w:r>
    </w:p>
    <w:p w14:paraId="32EB8125" w14:textId="77777777" w:rsidR="004B4F32" w:rsidRDefault="004B4F32" w:rsidP="00114962">
      <w:pPr>
        <w:pStyle w:val="Sraopastraipa"/>
        <w:numPr>
          <w:ilvl w:val="0"/>
          <w:numId w:val="8"/>
        </w:numPr>
        <w:tabs>
          <w:tab w:val="left" w:pos="851"/>
        </w:tabs>
        <w:ind w:left="0" w:firstLine="709"/>
        <w:jc w:val="both"/>
        <w:rPr>
          <w:sz w:val="24"/>
          <w:szCs w:val="24"/>
        </w:rPr>
      </w:pPr>
      <w:r>
        <w:rPr>
          <w:sz w:val="24"/>
          <w:szCs w:val="24"/>
        </w:rPr>
        <w:t>Šildymo, vėdinimo ir oro kondicionavimo sistemos naudojimas ir priežiūra 2 val. Specialistams: Ūkio ir techninės tarnybos vedėjas, elektrikas, santechnikas, infekcijų kontrolės specialistas, darbuotojų saugos ir sveikatos tarnybos specialistas;</w:t>
      </w:r>
    </w:p>
    <w:p w14:paraId="0FC649ED" w14:textId="77777777" w:rsidR="004B4F32" w:rsidRDefault="004B4F32" w:rsidP="00114962">
      <w:pPr>
        <w:pStyle w:val="Sraopastraipa"/>
        <w:numPr>
          <w:ilvl w:val="0"/>
          <w:numId w:val="8"/>
        </w:numPr>
        <w:tabs>
          <w:tab w:val="left" w:pos="851"/>
        </w:tabs>
        <w:ind w:left="0" w:firstLine="709"/>
        <w:jc w:val="both"/>
        <w:rPr>
          <w:sz w:val="24"/>
          <w:szCs w:val="24"/>
        </w:rPr>
      </w:pPr>
      <w:r>
        <w:rPr>
          <w:sz w:val="24"/>
          <w:szCs w:val="24"/>
        </w:rPr>
        <w:t>Baseino technologijos: naudojimas ir priežiūra 2 val. Specialistams: Ūkio ir techninės tarnybos vedėjas, elektrikas, santechnikas, infekcijų kontrolės specialistas, darbuotojų saugos ir sveikatos tarnybos specialistas;</w:t>
      </w:r>
    </w:p>
    <w:p w14:paraId="450EC8A3" w14:textId="77777777" w:rsidR="004B4F32" w:rsidRDefault="004B4F32" w:rsidP="00114962">
      <w:pPr>
        <w:pStyle w:val="Sraopastraipa"/>
        <w:numPr>
          <w:ilvl w:val="0"/>
          <w:numId w:val="8"/>
        </w:numPr>
        <w:tabs>
          <w:tab w:val="left" w:pos="851"/>
        </w:tabs>
        <w:ind w:left="0" w:firstLine="709"/>
        <w:jc w:val="both"/>
        <w:rPr>
          <w:sz w:val="24"/>
          <w:szCs w:val="24"/>
        </w:rPr>
      </w:pPr>
      <w:r>
        <w:rPr>
          <w:sz w:val="24"/>
          <w:szCs w:val="24"/>
        </w:rPr>
        <w:t>Deguonies tiekimo sistemos naudojimas ir priežiūra 1 val. Specialistams: Ūkio ir techninės tarnybos vedėjas, medicinos technikai, darbuotojų saugos ir sveikatos tarnybos specialistas;</w:t>
      </w:r>
    </w:p>
    <w:p w14:paraId="6333F040" w14:textId="77777777" w:rsidR="004B4F32" w:rsidRDefault="004B4F32" w:rsidP="00114962">
      <w:pPr>
        <w:pStyle w:val="Sraopastraipa"/>
        <w:numPr>
          <w:ilvl w:val="0"/>
          <w:numId w:val="8"/>
        </w:numPr>
        <w:tabs>
          <w:tab w:val="left" w:pos="851"/>
        </w:tabs>
        <w:ind w:left="0" w:firstLine="709"/>
        <w:jc w:val="both"/>
        <w:rPr>
          <w:sz w:val="24"/>
          <w:szCs w:val="24"/>
        </w:rPr>
      </w:pPr>
      <w:r>
        <w:rPr>
          <w:sz w:val="24"/>
          <w:szCs w:val="24"/>
        </w:rPr>
        <w:t>Lifto naudojimas ir priežiūra 1 val. Specialistams: Ūkio ir techninės tarnybos vedėjas, darbuotojas, atsakingas už liftų priežiūrą ligoninėje;</w:t>
      </w:r>
    </w:p>
    <w:p w14:paraId="5A94BBB0" w14:textId="77777777" w:rsidR="004B4F32" w:rsidRDefault="004B4F32" w:rsidP="00114962">
      <w:pPr>
        <w:pStyle w:val="Sraopastraipa"/>
        <w:numPr>
          <w:ilvl w:val="0"/>
          <w:numId w:val="8"/>
        </w:numPr>
        <w:tabs>
          <w:tab w:val="left" w:pos="851"/>
        </w:tabs>
        <w:ind w:left="0" w:firstLine="709"/>
        <w:jc w:val="both"/>
        <w:rPr>
          <w:sz w:val="24"/>
          <w:szCs w:val="24"/>
        </w:rPr>
      </w:pPr>
      <w:r>
        <w:rPr>
          <w:sz w:val="24"/>
          <w:szCs w:val="24"/>
        </w:rPr>
        <w:t>Išorinio keltuvo naudojimas ir priežiūra 0,5 val. Specialistams: Ūkio ir techninės tarnybos vedėjas, elektrikas,  darbuotojas, atsakingas už liftų priežiūrą ligoninėje;</w:t>
      </w:r>
    </w:p>
    <w:p w14:paraId="16F1331F" w14:textId="77777777" w:rsidR="004B4F32" w:rsidRDefault="004B4F32" w:rsidP="00114962">
      <w:pPr>
        <w:pStyle w:val="Sraopastraipa"/>
        <w:numPr>
          <w:ilvl w:val="0"/>
          <w:numId w:val="8"/>
        </w:numPr>
        <w:tabs>
          <w:tab w:val="left" w:pos="851"/>
        </w:tabs>
        <w:ind w:left="0" w:firstLine="709"/>
        <w:jc w:val="both"/>
        <w:rPr>
          <w:sz w:val="24"/>
          <w:szCs w:val="24"/>
        </w:rPr>
      </w:pPr>
      <w:r>
        <w:rPr>
          <w:sz w:val="24"/>
          <w:szCs w:val="24"/>
        </w:rPr>
        <w:t>Vidinių pacientų keltuvų naudojimas ir priežiūra 0,5 val. Specialistams: Ūkio ir techninės tarnybos vedėjas, elektrikas,  darbuotojas, atsakingas už liftų priežiūrą;</w:t>
      </w:r>
    </w:p>
    <w:p w14:paraId="3E42DA1E" w14:textId="77777777" w:rsidR="004B4F32" w:rsidRDefault="004B4F32" w:rsidP="00114962">
      <w:pPr>
        <w:pStyle w:val="Sraopastraipa"/>
        <w:numPr>
          <w:ilvl w:val="0"/>
          <w:numId w:val="8"/>
        </w:numPr>
        <w:tabs>
          <w:tab w:val="left" w:pos="851"/>
        </w:tabs>
        <w:ind w:left="0" w:firstLine="709"/>
        <w:jc w:val="both"/>
        <w:rPr>
          <w:sz w:val="24"/>
          <w:szCs w:val="24"/>
        </w:rPr>
      </w:pPr>
      <w:r>
        <w:rPr>
          <w:sz w:val="24"/>
          <w:szCs w:val="24"/>
        </w:rPr>
        <w:t>IT sistemų (pacientų eilių reguliavimo sistemos ir t.t.) naudojimas ir priežiūra 1 val. Specialistams: Ūkio ir techninės tarnybos vedėjas, IT specialistai, darbuotojai.</w:t>
      </w:r>
    </w:p>
    <w:p w14:paraId="25B69109" w14:textId="77777777" w:rsidR="004B4F32" w:rsidRDefault="004B4F32" w:rsidP="00114962">
      <w:pPr>
        <w:numPr>
          <w:ilvl w:val="0"/>
          <w:numId w:val="12"/>
        </w:numPr>
        <w:tabs>
          <w:tab w:val="left" w:pos="993"/>
        </w:tabs>
        <w:ind w:left="0" w:firstLine="709"/>
        <w:jc w:val="both"/>
      </w:pPr>
      <w:r>
        <w:t>Nuo sezono priklausantys teritorijos atstatymo į buvusią padėtį darbai gali būti atlikti po statybos užbaigimo.</w:t>
      </w:r>
    </w:p>
    <w:p w14:paraId="67E6BB77" w14:textId="77777777" w:rsidR="004B4F32" w:rsidRDefault="004B4F32" w:rsidP="00114962">
      <w:pPr>
        <w:numPr>
          <w:ilvl w:val="0"/>
          <w:numId w:val="12"/>
        </w:numPr>
        <w:tabs>
          <w:tab w:val="left" w:pos="993"/>
        </w:tabs>
        <w:ind w:left="0" w:firstLine="709"/>
        <w:jc w:val="both"/>
      </w:pPr>
      <w:r>
        <w:t>Rangovo dokumentams priskiriamas žemės darbų leidimas.</w:t>
      </w:r>
    </w:p>
    <w:p w14:paraId="19B2C316" w14:textId="77777777" w:rsidR="004B4F32" w:rsidRDefault="004B4F32" w:rsidP="00114962">
      <w:pPr>
        <w:numPr>
          <w:ilvl w:val="0"/>
          <w:numId w:val="12"/>
        </w:numPr>
        <w:tabs>
          <w:tab w:val="left" w:pos="993"/>
        </w:tabs>
        <w:ind w:left="0" w:firstLine="709"/>
        <w:jc w:val="both"/>
      </w:pPr>
      <w:r>
        <w:t xml:space="preserve">Užsakovas privalo išnagrinėti Rangovo pirmą kartą pateiktą darbo projekto dalį kaip galima greičiau, bet ne ilgiau nei per 10 darbo dienų nuo raštu pateikto Rangovo prašymo. </w:t>
      </w:r>
    </w:p>
    <w:p w14:paraId="79F2EA52" w14:textId="77777777" w:rsidR="004B4F32" w:rsidRDefault="004B4F32" w:rsidP="00114962">
      <w:pPr>
        <w:pStyle w:val="Sraopastraipa"/>
        <w:widowControl w:val="0"/>
        <w:numPr>
          <w:ilvl w:val="0"/>
          <w:numId w:val="12"/>
        </w:numPr>
        <w:tabs>
          <w:tab w:val="left" w:pos="993"/>
          <w:tab w:val="left" w:pos="1134"/>
        </w:tabs>
        <w:suppressAutoHyphens/>
        <w:autoSpaceDN w:val="0"/>
        <w:ind w:left="0" w:firstLine="709"/>
        <w:jc w:val="both"/>
        <w:rPr>
          <w:sz w:val="24"/>
          <w:szCs w:val="24"/>
        </w:rPr>
      </w:pPr>
      <w:r>
        <w:rPr>
          <w:sz w:val="24"/>
          <w:szCs w:val="24"/>
        </w:rPr>
        <w:t>Užsakovas privalo išnagrinėti Rangovo pirmą kartą pateiktą Rangovo dokumentą, kitą nei darbo projektas, kaip galima greičiau, bet ne ilgiau nei per 10 darbo dienų nuo raštu pateikto Rangovo prašymo.</w:t>
      </w:r>
    </w:p>
    <w:p w14:paraId="771448FE" w14:textId="77777777" w:rsidR="004B4F32" w:rsidRDefault="004B4F32" w:rsidP="00114962">
      <w:pPr>
        <w:pStyle w:val="Sraopastraipa"/>
        <w:widowControl w:val="0"/>
        <w:numPr>
          <w:ilvl w:val="0"/>
          <w:numId w:val="12"/>
        </w:numPr>
        <w:tabs>
          <w:tab w:val="left" w:pos="993"/>
          <w:tab w:val="left" w:pos="1134"/>
        </w:tabs>
        <w:suppressAutoHyphens/>
        <w:autoSpaceDN w:val="0"/>
        <w:ind w:left="0" w:firstLine="709"/>
        <w:jc w:val="both"/>
        <w:rPr>
          <w:sz w:val="24"/>
          <w:szCs w:val="24"/>
        </w:rPr>
      </w:pPr>
      <w:r>
        <w:rPr>
          <w:rFonts w:eastAsia="Calibri"/>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60412631" w14:textId="77777777" w:rsidR="004B4F32" w:rsidRDefault="004B4F32" w:rsidP="00114962">
      <w:pPr>
        <w:numPr>
          <w:ilvl w:val="0"/>
          <w:numId w:val="12"/>
        </w:numPr>
        <w:tabs>
          <w:tab w:val="left" w:pos="314"/>
          <w:tab w:val="left" w:pos="346"/>
          <w:tab w:val="left" w:pos="388"/>
          <w:tab w:val="left" w:pos="993"/>
        </w:tabs>
        <w:spacing w:after="100" w:afterAutospacing="1"/>
        <w:ind w:left="0" w:firstLine="709"/>
        <w:contextualSpacing/>
        <w:jc w:val="both"/>
        <w:rPr>
          <w:rFonts w:eastAsiaTheme="minorHAnsi"/>
        </w:rPr>
      </w:pPr>
      <w:r>
        <w:t xml:space="preserve">Statybvietės ribos – statinio projekte nurodyta darbų zona. Statybvietė perduodama per 14 dienų nuo sutarties įsigaliojimo. </w:t>
      </w:r>
      <w:r>
        <w:rPr>
          <w:rFonts w:eastAsiaTheme="minorHAns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E63119F" w14:textId="77777777" w:rsidR="004B4F32" w:rsidRDefault="004B4F32" w:rsidP="00114962">
      <w:pPr>
        <w:pStyle w:val="Sraopastraipa"/>
        <w:numPr>
          <w:ilvl w:val="0"/>
          <w:numId w:val="12"/>
        </w:numPr>
        <w:tabs>
          <w:tab w:val="left" w:pos="993"/>
        </w:tabs>
        <w:ind w:left="0" w:firstLine="709"/>
        <w:jc w:val="both"/>
        <w:rPr>
          <w:sz w:val="24"/>
          <w:szCs w:val="24"/>
          <w:shd w:val="clear" w:color="auto" w:fill="FFFFFF"/>
        </w:rPr>
      </w:pPr>
      <w:r>
        <w:rPr>
          <w:sz w:val="24"/>
          <w:szCs w:val="24"/>
        </w:rPr>
        <w:t xml:space="preserve">Užsakovui įgaliojus, Rangovas, </w:t>
      </w:r>
      <w:r>
        <w:rPr>
          <w:sz w:val="24"/>
          <w:szCs w:val="24"/>
          <w:shd w:val="clear" w:color="auto" w:fill="FFFFFF"/>
        </w:rPr>
        <w:t>vadovaudamasis Lietuvos Respublikos statybos įstatymo 14 straipsnio 1 dalies 12 punktu,</w:t>
      </w:r>
      <w:r>
        <w:rPr>
          <w:sz w:val="24"/>
          <w:szCs w:val="24"/>
        </w:rPr>
        <w:t xml:space="preserve"> pateikia pranešimą apie statybos darbų pradžią </w:t>
      </w:r>
      <w:r>
        <w:rPr>
          <w:sz w:val="24"/>
          <w:szCs w:val="24"/>
          <w:shd w:val="clear" w:color="auto" w:fill="FFFFFF"/>
        </w:rPr>
        <w:t>Lietuvos Respublikos statybos leidimų ir statybos valstybinės priežiūros informacinėje sistemoje „Infostatyba“ arba</w:t>
      </w:r>
      <w:r>
        <w:rPr>
          <w:sz w:val="24"/>
          <w:szCs w:val="24"/>
        </w:rPr>
        <w:t xml:space="preserve"> raštu Valstybinei teritorijų planavimo ir statybos inspekcijai prie Aplinkos ministerijos</w:t>
      </w:r>
      <w:r>
        <w:rPr>
          <w:sz w:val="24"/>
          <w:szCs w:val="24"/>
          <w:shd w:val="clear" w:color="auto" w:fill="FFFFFF"/>
        </w:rPr>
        <w:t xml:space="preserve">,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w:t>
      </w:r>
      <w:r>
        <w:rPr>
          <w:sz w:val="24"/>
          <w:szCs w:val="24"/>
          <w:shd w:val="clear" w:color="auto" w:fill="FFFFFF"/>
        </w:rPr>
        <w:lastRenderedPageBreak/>
        <w:t>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79A7E935" w14:textId="77777777" w:rsidR="004B4F32" w:rsidRDefault="004B4F32" w:rsidP="00114962">
      <w:pPr>
        <w:numPr>
          <w:ilvl w:val="0"/>
          <w:numId w:val="12"/>
        </w:numPr>
        <w:tabs>
          <w:tab w:val="left" w:pos="314"/>
          <w:tab w:val="left" w:pos="346"/>
          <w:tab w:val="left" w:pos="388"/>
          <w:tab w:val="left" w:pos="993"/>
        </w:tabs>
        <w:spacing w:after="100" w:afterAutospacing="1"/>
        <w:ind w:left="0" w:firstLine="709"/>
        <w:contextualSpacing/>
        <w:jc w:val="both"/>
        <w:rPr>
          <w:rFonts w:eastAsiaTheme="minorHAnsi"/>
          <w:color w:val="000000" w:themeColor="text1"/>
        </w:rPr>
      </w:pPr>
      <w:r>
        <w:rPr>
          <w:color w:val="000000" w:themeColor="text1"/>
        </w:rPr>
        <w:t xml:space="preserve">Rangovas turi įrengti informacinį stendą pagal galiojančių teisės aktų reikalavimus. </w:t>
      </w:r>
    </w:p>
    <w:p w14:paraId="39AA9E66" w14:textId="77777777" w:rsidR="004B4F32" w:rsidRDefault="004B4F32" w:rsidP="00114962">
      <w:pPr>
        <w:numPr>
          <w:ilvl w:val="0"/>
          <w:numId w:val="12"/>
        </w:numPr>
        <w:tabs>
          <w:tab w:val="left" w:pos="1134"/>
        </w:tabs>
        <w:ind w:left="0" w:firstLine="709"/>
        <w:jc w:val="both"/>
      </w:pPr>
      <w:r>
        <w:t>Energijos (elektros), vandens tiekimo, šildymo tiekimo ir kt. laikinus tinklus Rangovas įrengia pats savo sąskaita. Už energiją (elektrą), vandens tiekimą, šildymo tiekimą ir kt. paslaugas moka Rangovas.</w:t>
      </w:r>
    </w:p>
    <w:p w14:paraId="618B8A8A" w14:textId="77777777" w:rsidR="004B4F32" w:rsidRDefault="004B4F32" w:rsidP="00114962">
      <w:pPr>
        <w:numPr>
          <w:ilvl w:val="0"/>
          <w:numId w:val="12"/>
        </w:numPr>
        <w:tabs>
          <w:tab w:val="left" w:pos="314"/>
          <w:tab w:val="left" w:pos="346"/>
          <w:tab w:val="left" w:pos="388"/>
          <w:tab w:val="left" w:pos="1134"/>
        </w:tabs>
        <w:spacing w:after="100" w:afterAutospacing="1"/>
        <w:ind w:left="0" w:firstLine="709"/>
        <w:contextualSpacing/>
        <w:jc w:val="both"/>
      </w:pPr>
      <w:r>
        <w:t>Rangovas turi įrengti laikiną patalpą gamybiniams pasitarimams.</w:t>
      </w:r>
      <w:r>
        <w:rPr>
          <w:rFonts w:eastAsiaTheme="minorHAnsi"/>
        </w:rPr>
        <w:t xml:space="preserve"> </w:t>
      </w:r>
      <w:r>
        <w:t>Rangovas turi užtikrinti gamybinių pasitarimų protokolavimą.</w:t>
      </w:r>
      <w:r>
        <w:rPr>
          <w:rFonts w:eastAsiaTheme="minorHAnsi"/>
        </w:rPr>
        <w:t xml:space="preserve"> Rangovas privalo netrukdyti dirbti specialistams, atliekantiems darbus, vykdantiems techninę priežiūrą, statytojo atstovams bei atsižvelgti į jų teikiamas pastabas ir teisėtus reikalavimus. </w:t>
      </w:r>
      <w:r>
        <w:t>Darbų vykdymo metu privaloma laikytis darbo saugos reikalavimų, užtikrinti saugumą žmonių sveikatai ir aplinkai,</w:t>
      </w:r>
      <w:r>
        <w:rPr>
          <w:rFonts w:eastAsia="Calibri"/>
        </w:rPr>
        <w:t xml:space="preserve"> nepažeisti trečiųjų asmenų interesų.</w:t>
      </w:r>
    </w:p>
    <w:p w14:paraId="414EC805" w14:textId="77777777" w:rsidR="004B4F32" w:rsidRDefault="004B4F32" w:rsidP="00114962">
      <w:pPr>
        <w:numPr>
          <w:ilvl w:val="0"/>
          <w:numId w:val="12"/>
        </w:numPr>
        <w:tabs>
          <w:tab w:val="left" w:pos="1134"/>
        </w:tabs>
        <w:ind w:left="0" w:firstLine="709"/>
        <w:jc w:val="both"/>
      </w:pPr>
      <w:r>
        <w:t>Rangovas turi iš anksto suderinti su Užsakovu vizualiai matomų medžiagų pavyzdžius.</w:t>
      </w:r>
    </w:p>
    <w:p w14:paraId="065C3346" w14:textId="77777777" w:rsidR="004B4F32" w:rsidRDefault="004B4F32" w:rsidP="00114962">
      <w:pPr>
        <w:numPr>
          <w:ilvl w:val="0"/>
          <w:numId w:val="12"/>
        </w:numPr>
        <w:tabs>
          <w:tab w:val="left" w:pos="1134"/>
        </w:tabs>
        <w:ind w:left="0" w:firstLine="709"/>
        <w:jc w:val="both"/>
      </w:pPr>
      <w:r>
        <w:t xml:space="preserve">Bandymai turi būti atliekami pagal teisės aktų, Statinio projekto ir įrenginių gamintojo reikalavimus. </w:t>
      </w:r>
    </w:p>
    <w:p w14:paraId="1A27B489" w14:textId="63D74916" w:rsidR="004B4F32" w:rsidRDefault="004B4F32" w:rsidP="00114962">
      <w:pPr>
        <w:numPr>
          <w:ilvl w:val="0"/>
          <w:numId w:val="12"/>
        </w:numPr>
        <w:tabs>
          <w:tab w:val="left" w:pos="1134"/>
        </w:tabs>
        <w:ind w:left="0" w:firstLine="709"/>
        <w:jc w:val="both"/>
      </w:pPr>
      <w:r>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(pagal poreikį); specialiosios higieninės ekspertizės užsakymas ir apmokėjimas;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50" w:name="_Hlk129604317"/>
    <w:p w14:paraId="0045B6C7" w14:textId="77777777" w:rsidR="004B4F32" w:rsidRDefault="004B4F32" w:rsidP="00114962">
      <w:pPr>
        <w:widowControl w:val="0"/>
        <w:numPr>
          <w:ilvl w:val="0"/>
          <w:numId w:val="12"/>
        </w:numPr>
        <w:tabs>
          <w:tab w:val="left" w:pos="426"/>
          <w:tab w:val="left" w:pos="1134"/>
        </w:tabs>
        <w:ind w:left="0" w:firstLine="709"/>
        <w:jc w:val="both"/>
      </w:pPr>
      <w:r>
        <w:fldChar w:fldCharType="begin"/>
      </w:r>
      <w:r>
        <w:instrText xml:space="preserve"> HYPERLINK "https://e-seimas.lrs.lt/portal/legalAct/lt/TAD/TAIS.403512/asr" </w:instrText>
      </w:r>
      <w:r>
        <w:fldChar w:fldCharType="separate"/>
      </w:r>
      <w:r>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r>
        <w:fldChar w:fldCharType="end"/>
      </w:r>
      <w:r>
        <w:t xml:space="preserve"> (toliau – Aprašas) nustatytų kriterijų taikymas:</w:t>
      </w:r>
    </w:p>
    <w:p w14:paraId="0D819CF4" w14:textId="4CC284CF" w:rsidR="004B4F32" w:rsidRDefault="004B4F32" w:rsidP="00114962">
      <w:pPr>
        <w:widowControl w:val="0"/>
        <w:numPr>
          <w:ilvl w:val="1"/>
          <w:numId w:val="13"/>
        </w:numPr>
        <w:tabs>
          <w:tab w:val="left" w:pos="426"/>
          <w:tab w:val="left" w:pos="993"/>
        </w:tabs>
        <w:ind w:left="0" w:firstLine="709"/>
        <w:contextualSpacing/>
        <w:jc w:val="both"/>
        <w:rPr>
          <w:b/>
          <w:bCs/>
          <w:lang w:eastAsia="lt-LT"/>
        </w:rPr>
      </w:pPr>
      <w:bookmarkStart w:id="51" w:name="_Hlk183618541"/>
      <w:r>
        <w:rPr>
          <w:b/>
          <w:bCs/>
          <w:lang w:eastAsia="lt-LT"/>
        </w:rPr>
        <w:t>Pagal Aprašo 2 priedo XII skyriaus 15.1 punktą:</w:t>
      </w:r>
      <w:bookmarkStart w:id="52" w:name="_Hlk167452961"/>
      <w:r>
        <w:rPr>
          <w:b/>
          <w:bCs/>
          <w:lang w:eastAsia="lt-LT"/>
        </w:rPr>
        <w:t xml:space="preserve"> </w:t>
      </w:r>
      <w:r>
        <w:rPr>
          <w:lang w:eastAsia="lt-LT"/>
        </w:rPr>
        <w:t xml:space="preserve">Rangovas įsipareigoja, </w:t>
      </w:r>
      <w:r>
        <w:rPr>
          <w:b/>
          <w:bCs/>
          <w:lang w:eastAsia="lt-LT"/>
        </w:rPr>
        <w:t xml:space="preserve">teikdamas projektavimo (darbo projekto parengimo) paslaugas, </w:t>
      </w:r>
      <w:r>
        <w:rPr>
          <w:lang w:eastAsia="lt-LT"/>
        </w:rPr>
        <w:t>darbo projekte numatyti, kad statyboje naudojamos statybinės medžiagos atitiktų minimalius aplinkos apsaugos kriterijus (</w:t>
      </w:r>
      <w:hyperlink r:id="rId35" w:history="1">
        <w:r>
          <w:rPr>
            <w:rStyle w:val="Hipersaitas"/>
            <w:color w:val="000000"/>
            <w:lang w:eastAsia="lt-LT"/>
          </w:rPr>
          <w:t>Aprašo</w:t>
        </w:r>
      </w:hyperlink>
      <w:r>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w:t>
      </w:r>
      <w:r>
        <w:rPr>
          <w:color w:val="000000"/>
          <w:lang w:eastAsia="lt-LT"/>
        </w:rPr>
        <w:t>ir kad kiti su pastato projektu susiję produktai atitiktų jiems taikomus minimalius aplinkos apsaugos kriterijus</w:t>
      </w:r>
      <w:r>
        <w:rPr>
          <w:lang w:eastAsia="lt-LT"/>
        </w:rPr>
        <w:t>, Rangovas privalo</w:t>
      </w:r>
      <w:r>
        <w:rPr>
          <w:b/>
          <w:bCs/>
          <w:lang w:eastAsia="lt-LT"/>
        </w:rPr>
        <w:t xml:space="preserve"> </w:t>
      </w:r>
      <w:r>
        <w:rPr>
          <w:lang w:eastAsia="lt-LT"/>
        </w:rPr>
        <w:t>sumokėti Užsakovui Specialiosiose sutarties sąlygose nurodytą baudą</w:t>
      </w:r>
      <w:bookmarkStart w:id="53" w:name="part_a0abe73bcdab42a3ae800ad079bc495b"/>
      <w:bookmarkEnd w:id="53"/>
      <w:r w:rsidR="001573E0">
        <w:rPr>
          <w:color w:val="000000"/>
          <w:lang w:eastAsia="lt-LT"/>
        </w:rPr>
        <w:t xml:space="preserve"> ir neatitikimai turi būti ištaisyti;</w:t>
      </w:r>
    </w:p>
    <w:bookmarkEnd w:id="52"/>
    <w:p w14:paraId="406EFA02" w14:textId="77777777" w:rsidR="004B4F32" w:rsidRDefault="004B4F32" w:rsidP="004B4F32">
      <w:pPr>
        <w:tabs>
          <w:tab w:val="left" w:pos="709"/>
          <w:tab w:val="left" w:pos="851"/>
        </w:tabs>
        <w:spacing w:after="100" w:afterAutospacing="1"/>
        <w:ind w:firstLine="709"/>
        <w:contextualSpacing/>
        <w:jc w:val="both"/>
        <w:rPr>
          <w:bCs/>
          <w:color w:val="000000" w:themeColor="text1"/>
          <w:lang w:eastAsia="lt-LT"/>
        </w:rPr>
      </w:pPr>
      <w:r>
        <w:t xml:space="preserve">15.2) </w:t>
      </w:r>
      <w:r>
        <w:rPr>
          <w:b/>
          <w:bCs/>
          <w:lang w:eastAsia="lt-LT"/>
        </w:rPr>
        <w:t>Pagal Aprašo 2 priedo XII skyriaus 15.4 punktą:</w:t>
      </w:r>
      <w:r>
        <w:rPr>
          <w:lang w:eastAsia="lt-LT"/>
        </w:rPr>
        <w:t xml:space="preserve"> </w:t>
      </w:r>
      <w:r>
        <w:rPr>
          <w:bCs/>
          <w:color w:val="000000" w:themeColor="text1"/>
          <w:lang w:eastAsia="lt-LT"/>
        </w:rPr>
        <w:t xml:space="preserve">Rangovas, </w:t>
      </w:r>
      <w:r>
        <w:rPr>
          <w:b/>
          <w:color w:val="000000" w:themeColor="text1"/>
          <w:u w:val="single"/>
          <w:lang w:eastAsia="lt-LT"/>
        </w:rPr>
        <w:t>atliekamiems statybos darbams</w:t>
      </w:r>
      <w:r>
        <w:rPr>
          <w:bCs/>
          <w:color w:val="000000" w:themeColor="text1"/>
          <w:lang w:eastAsia="lt-LT"/>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w:t>
      </w:r>
      <w:r>
        <w:rPr>
          <w:bCs/>
          <w:color w:val="000000" w:themeColor="text1"/>
          <w:lang w:eastAsia="lt-LT"/>
        </w:rPr>
        <w:lastRenderedPageBreak/>
        <w:t xml:space="preserve">lygiaverčiais įrodymais. </w:t>
      </w:r>
      <w:r>
        <w:rPr>
          <w:b/>
          <w:color w:val="000000" w:themeColor="text1"/>
          <w:lang w:eastAsia="lt-LT"/>
        </w:rPr>
        <w:t>Rangovas įsipareigoja ne vėliau kaip per 10 darbo dienų nuo Sutarties įsigaliojimo dienos Užsakovui pateikti</w:t>
      </w:r>
      <w:r>
        <w:rPr>
          <w:bCs/>
          <w:color w:val="000000" w:themeColor="text1"/>
          <w:lang w:eastAsia="lt-LT"/>
        </w:rPr>
        <w:t xml:space="preserve"> arba </w:t>
      </w:r>
      <w:r>
        <w:rPr>
          <w:b/>
          <w:color w:val="000000" w:themeColor="text1"/>
          <w:lang w:eastAsia="lt-LT"/>
        </w:rPr>
        <w:t>(1)</w:t>
      </w:r>
      <w:r>
        <w:rPr>
          <w:bCs/>
          <w:color w:val="000000" w:themeColor="text1"/>
          <w:lang w:eastAsia="lt-LT"/>
        </w:rPr>
        <w:t xml:space="preserve"> nepriklausomos įstaigos išduotą galiojantį sertifikatą* dėl nustatytų aplinkos apsaugos vadybos sistemos standartų arba </w:t>
      </w:r>
      <w:r>
        <w:rPr>
          <w:b/>
          <w:color w:val="000000" w:themeColor="text1"/>
          <w:lang w:eastAsia="lt-LT"/>
        </w:rPr>
        <w:t>(2)</w:t>
      </w:r>
      <w:r>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7C79FDDD" w14:textId="77777777" w:rsidR="004B4F32" w:rsidRDefault="004B4F32" w:rsidP="004B4F32">
      <w:pPr>
        <w:widowControl w:val="0"/>
        <w:tabs>
          <w:tab w:val="left" w:pos="1276"/>
          <w:tab w:val="left" w:pos="1418"/>
          <w:tab w:val="left" w:pos="1620"/>
        </w:tabs>
        <w:ind w:firstLine="709"/>
        <w:contextualSpacing/>
        <w:jc w:val="both"/>
        <w:rPr>
          <w:bCs/>
          <w:color w:val="000000" w:themeColor="text1"/>
          <w:lang w:eastAsia="lt-LT"/>
        </w:rPr>
      </w:pPr>
      <w:r>
        <w:rPr>
          <w:bCs/>
          <w:color w:val="000000" w:themeColor="text1"/>
          <w:lang w:eastAsia="lt-LT"/>
        </w:rPr>
        <w:t>Jei Rangovas nepateikia ties numeriu (1) arba (2) nurodytų dokumentų/informacijos, Rangovui bus taikoma Specialiosiose sąlygose numatyta atsakomybė.</w:t>
      </w:r>
    </w:p>
    <w:p w14:paraId="6F0D0337" w14:textId="77777777" w:rsidR="004B4F32" w:rsidRDefault="004B4F32" w:rsidP="004B4F32">
      <w:pPr>
        <w:widowControl w:val="0"/>
        <w:tabs>
          <w:tab w:val="left" w:pos="1276"/>
          <w:tab w:val="left" w:pos="1418"/>
          <w:tab w:val="left" w:pos="1620"/>
        </w:tabs>
        <w:ind w:firstLine="709"/>
        <w:contextualSpacing/>
        <w:jc w:val="both"/>
        <w:rPr>
          <w:i/>
          <w:iCs/>
        </w:rPr>
      </w:pPr>
      <w:r>
        <w:rPr>
          <w:bCs/>
          <w:i/>
          <w:iCs/>
          <w:color w:val="000000" w:themeColor="text1"/>
          <w:lang w:eastAsia="lt-LT"/>
        </w:rPr>
        <w:t>*Užsakovas pripažįsta lygiaverčius sertifikatus, išduotus kitose valstybėse narėse įsteigtų nepriklausomų įstaigų.</w:t>
      </w:r>
    </w:p>
    <w:p w14:paraId="61413F9A" w14:textId="2A6994EC" w:rsidR="004B4F32" w:rsidRDefault="004B4F32" w:rsidP="009D2367">
      <w:pPr>
        <w:ind w:firstLine="709"/>
        <w:jc w:val="both"/>
        <w:rPr>
          <w:b/>
          <w:bCs/>
          <w:vanish/>
          <w:color w:val="000000"/>
        </w:rPr>
      </w:pPr>
    </w:p>
    <w:p w14:paraId="1F31E312" w14:textId="77777777" w:rsidR="004B4F32" w:rsidRDefault="004B4F32" w:rsidP="00114962">
      <w:pPr>
        <w:pStyle w:val="Sraopastraipa"/>
        <w:widowControl w:val="0"/>
        <w:numPr>
          <w:ilvl w:val="0"/>
          <w:numId w:val="14"/>
        </w:numPr>
        <w:tabs>
          <w:tab w:val="left" w:pos="1276"/>
        </w:tabs>
        <w:ind w:left="0" w:firstLine="709"/>
        <w:jc w:val="both"/>
        <w:rPr>
          <w:b/>
          <w:bCs/>
          <w:vanish/>
          <w:color w:val="000000"/>
          <w:sz w:val="24"/>
          <w:szCs w:val="24"/>
        </w:rPr>
      </w:pPr>
    </w:p>
    <w:p w14:paraId="57E0E122" w14:textId="77777777" w:rsidR="004B4F32" w:rsidRDefault="004B4F32" w:rsidP="00114962">
      <w:pPr>
        <w:pStyle w:val="Sraopastraipa"/>
        <w:widowControl w:val="0"/>
        <w:numPr>
          <w:ilvl w:val="0"/>
          <w:numId w:val="14"/>
        </w:numPr>
        <w:tabs>
          <w:tab w:val="left" w:pos="1276"/>
        </w:tabs>
        <w:ind w:left="0" w:firstLine="709"/>
        <w:jc w:val="both"/>
        <w:rPr>
          <w:b/>
          <w:bCs/>
          <w:vanish/>
          <w:color w:val="000000"/>
          <w:sz w:val="24"/>
          <w:szCs w:val="24"/>
        </w:rPr>
      </w:pPr>
    </w:p>
    <w:p w14:paraId="6929CD03" w14:textId="77777777" w:rsidR="004B4F32" w:rsidRDefault="004B4F32" w:rsidP="00114962">
      <w:pPr>
        <w:pStyle w:val="Sraopastraipa"/>
        <w:widowControl w:val="0"/>
        <w:numPr>
          <w:ilvl w:val="0"/>
          <w:numId w:val="14"/>
        </w:numPr>
        <w:tabs>
          <w:tab w:val="left" w:pos="1276"/>
        </w:tabs>
        <w:ind w:left="0" w:firstLine="709"/>
        <w:jc w:val="both"/>
        <w:rPr>
          <w:b/>
          <w:bCs/>
          <w:vanish/>
          <w:color w:val="000000"/>
          <w:sz w:val="24"/>
          <w:szCs w:val="24"/>
        </w:rPr>
      </w:pPr>
    </w:p>
    <w:p w14:paraId="03AAC901" w14:textId="77777777" w:rsidR="004B4F32" w:rsidRDefault="004B4F32" w:rsidP="00114962">
      <w:pPr>
        <w:pStyle w:val="Sraopastraipa"/>
        <w:widowControl w:val="0"/>
        <w:numPr>
          <w:ilvl w:val="1"/>
          <w:numId w:val="14"/>
        </w:numPr>
        <w:tabs>
          <w:tab w:val="left" w:pos="1276"/>
        </w:tabs>
        <w:ind w:left="0" w:firstLine="709"/>
        <w:jc w:val="both"/>
        <w:rPr>
          <w:b/>
          <w:bCs/>
          <w:vanish/>
          <w:color w:val="000000"/>
          <w:sz w:val="24"/>
          <w:szCs w:val="24"/>
        </w:rPr>
      </w:pPr>
    </w:p>
    <w:p w14:paraId="49EDE7D5" w14:textId="77777777" w:rsidR="004B4F32" w:rsidRDefault="004B4F32" w:rsidP="00114962">
      <w:pPr>
        <w:pStyle w:val="Sraopastraipa"/>
        <w:widowControl w:val="0"/>
        <w:numPr>
          <w:ilvl w:val="1"/>
          <w:numId w:val="14"/>
        </w:numPr>
        <w:tabs>
          <w:tab w:val="left" w:pos="1276"/>
        </w:tabs>
        <w:ind w:left="0" w:firstLine="709"/>
        <w:jc w:val="both"/>
        <w:rPr>
          <w:b/>
          <w:bCs/>
          <w:vanish/>
          <w:color w:val="000000"/>
          <w:sz w:val="24"/>
          <w:szCs w:val="24"/>
        </w:rPr>
      </w:pPr>
    </w:p>
    <w:p w14:paraId="46E3A042" w14:textId="77777777" w:rsidR="004B4F32" w:rsidRDefault="004B4F32" w:rsidP="00114962">
      <w:pPr>
        <w:pStyle w:val="Sraopastraipa"/>
        <w:widowControl w:val="0"/>
        <w:numPr>
          <w:ilvl w:val="1"/>
          <w:numId w:val="14"/>
        </w:numPr>
        <w:tabs>
          <w:tab w:val="left" w:pos="1276"/>
        </w:tabs>
        <w:ind w:left="0" w:firstLine="709"/>
        <w:jc w:val="both"/>
        <w:rPr>
          <w:b/>
          <w:bCs/>
          <w:vanish/>
          <w:color w:val="000000"/>
          <w:sz w:val="24"/>
          <w:szCs w:val="24"/>
        </w:rPr>
      </w:pPr>
    </w:p>
    <w:p w14:paraId="2587E190" w14:textId="793D72B6" w:rsidR="004B4F32" w:rsidRDefault="004B4F32" w:rsidP="009D2367">
      <w:pPr>
        <w:pStyle w:val="Sraopastraipa"/>
        <w:widowControl w:val="0"/>
        <w:tabs>
          <w:tab w:val="left" w:pos="1276"/>
        </w:tabs>
        <w:ind w:left="0" w:firstLine="709"/>
        <w:jc w:val="both"/>
        <w:rPr>
          <w:sz w:val="24"/>
          <w:szCs w:val="24"/>
        </w:rPr>
      </w:pPr>
      <w:r>
        <w:rPr>
          <w:color w:val="000000"/>
          <w:sz w:val="24"/>
          <w:szCs w:val="24"/>
        </w:rPr>
        <w:t>15.3.)</w:t>
      </w:r>
      <w:r>
        <w:rPr>
          <w:b/>
          <w:bCs/>
          <w:color w:val="000000"/>
          <w:sz w:val="24"/>
          <w:szCs w:val="24"/>
        </w:rPr>
        <w:t xml:space="preserve"> Rangovas įsipareigoja darbų vykdymui naudoti statybines medžiagas, </w:t>
      </w:r>
      <w:r>
        <w:rPr>
          <w:color w:val="000000"/>
          <w:sz w:val="24"/>
          <w:szCs w:val="24"/>
        </w:rPr>
        <w:t xml:space="preserve">atitinkančias </w:t>
      </w:r>
      <w:r>
        <w:rPr>
          <w:sz w:val="24"/>
          <w:szCs w:val="24"/>
        </w:rPr>
        <w:t>parengtame darbo projekte</w:t>
      </w:r>
      <w:r>
        <w:rPr>
          <w:color w:val="000000"/>
          <w:sz w:val="24"/>
          <w:szCs w:val="24"/>
        </w:rPr>
        <w:t xml:space="preserve"> joms nustatytus </w:t>
      </w:r>
      <w:r>
        <w:rPr>
          <w:sz w:val="24"/>
          <w:szCs w:val="24"/>
        </w:rPr>
        <w:t>minimalius</w:t>
      </w:r>
      <w:r>
        <w:rPr>
          <w:color w:val="000000"/>
          <w:sz w:val="24"/>
          <w:szCs w:val="24"/>
        </w:rPr>
        <w:t xml:space="preserve"> aplinkos apsaugos reikalavimus</w:t>
      </w:r>
      <w:r>
        <w:rPr>
          <w:b/>
          <w:bCs/>
          <w:sz w:val="24"/>
          <w:szCs w:val="24"/>
        </w:rPr>
        <w:t xml:space="preserve"> ir </w:t>
      </w:r>
      <w:bookmarkStart w:id="54" w:name="_Hlk157606125"/>
      <w:bookmarkStart w:id="55" w:name="_Hlk157606510"/>
      <w:r>
        <w:rPr>
          <w:b/>
          <w:bCs/>
          <w:sz w:val="24"/>
          <w:szCs w:val="24"/>
        </w:rPr>
        <w:t>kitus su pastato projektu susijusius produk</w:t>
      </w:r>
      <w:bookmarkEnd w:id="54"/>
      <w:r>
        <w:rPr>
          <w:b/>
          <w:bCs/>
          <w:sz w:val="24"/>
          <w:szCs w:val="24"/>
        </w:rPr>
        <w:t>tus</w:t>
      </w:r>
      <w:r>
        <w:rPr>
          <w:sz w:val="24"/>
          <w:szCs w:val="24"/>
        </w:rPr>
        <w:t>,</w:t>
      </w:r>
      <w:bookmarkEnd w:id="55"/>
      <w:r>
        <w:rPr>
          <w:sz w:val="24"/>
          <w:szCs w:val="24"/>
        </w:rPr>
        <w:t xml:space="preserve"> atitinkančius jiems taikomus minimalius aplinkos apsaugos kriterijus</w:t>
      </w:r>
      <w:bookmarkStart w:id="56" w:name="_Hlk157606531"/>
      <w:r>
        <w:rPr>
          <w:sz w:val="24"/>
          <w:szCs w:val="24"/>
        </w:rPr>
        <w:t>.</w:t>
      </w:r>
      <w:r>
        <w:rPr>
          <w:b/>
          <w:bCs/>
          <w:color w:val="000000"/>
          <w:sz w:val="24"/>
          <w:szCs w:val="24"/>
        </w:rPr>
        <w:t xml:space="preserve"> </w:t>
      </w:r>
      <w:bookmarkEnd w:id="56"/>
      <w:r>
        <w:rPr>
          <w:b/>
          <w:bCs/>
          <w:color w:val="000000"/>
          <w:sz w:val="24"/>
          <w:szCs w:val="24"/>
        </w:rPr>
        <w:t xml:space="preserve">Visos statybinės medžiagos ir </w:t>
      </w:r>
      <w:r>
        <w:rPr>
          <w:b/>
          <w:bCs/>
          <w:sz w:val="24"/>
          <w:szCs w:val="24"/>
        </w:rPr>
        <w:t>kiti su pastato projektu susiję produktai</w:t>
      </w:r>
      <w:r>
        <w:rPr>
          <w:b/>
          <w:bCs/>
          <w:color w:val="000000"/>
          <w:sz w:val="24"/>
          <w:szCs w:val="24"/>
        </w:rPr>
        <w:t xml:space="preserve"> iki darbų vykdymo pradžios turi būti suderinti su Užsakovu ir techniniu prižiūrėtoju</w:t>
      </w:r>
      <w:r>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Pr>
          <w:sz w:val="24"/>
          <w:szCs w:val="24"/>
        </w:rPr>
        <w:t xml:space="preserve">galimi pateikti dokumentai nurodyti Aprašo 9 p. (tiekėjas taip gali teikti </w:t>
      </w:r>
      <w:hyperlink r:id="rId36" w:history="1">
        <w:r>
          <w:rPr>
            <w:rStyle w:val="Hipersaitas"/>
            <w:sz w:val="24"/>
            <w:szCs w:val="24"/>
          </w:rPr>
          <w:t>2023-12-22 Viešųjų pirkimų tarnybos rekomendacijose dėl minimalių aplinkos apsaugos kriterijų nustatymo</w:t>
        </w:r>
      </w:hyperlink>
      <w:r>
        <w:rPr>
          <w:sz w:val="24"/>
          <w:szCs w:val="24"/>
        </w:rPr>
        <w:t xml:space="preserve"> dėl minėtų  produktų nurodytus rekomenduojamus teikti dokumentus).</w:t>
      </w:r>
      <w:r>
        <w:rPr>
          <w:b/>
          <w:bCs/>
          <w:sz w:val="24"/>
          <w:szCs w:val="24"/>
        </w:rPr>
        <w:t xml:space="preserve"> Užsakovui nustačius, kad Rangovas nesilaiko šiame papunktyje nurodyto įsipareigojimo, Rangovas privalo sumokėti Užsakovui Specialiosiose sąlygose nurodytą baudą</w:t>
      </w:r>
      <w:r w:rsidR="001573E0">
        <w:rPr>
          <w:color w:val="000000"/>
          <w:sz w:val="24"/>
          <w:szCs w:val="24"/>
        </w:rPr>
        <w:t xml:space="preserve"> </w:t>
      </w:r>
      <w:r w:rsidR="001573E0" w:rsidRPr="001573E0">
        <w:rPr>
          <w:b/>
          <w:bCs/>
          <w:color w:val="000000"/>
          <w:sz w:val="24"/>
          <w:szCs w:val="24"/>
        </w:rPr>
        <w:t>ir neatitikimai turi būti ištaisyti.</w:t>
      </w:r>
    </w:p>
    <w:bookmarkEnd w:id="50"/>
    <w:bookmarkEnd w:id="51"/>
    <w:p w14:paraId="68E52621" w14:textId="77777777" w:rsidR="004B4F32" w:rsidRDefault="004B4F32" w:rsidP="00114962">
      <w:pPr>
        <w:numPr>
          <w:ilvl w:val="0"/>
          <w:numId w:val="12"/>
        </w:numPr>
        <w:tabs>
          <w:tab w:val="left" w:pos="1134"/>
        </w:tabs>
        <w:spacing w:after="100" w:afterAutospacing="1"/>
        <w:ind w:left="0" w:firstLine="709"/>
        <w:jc w:val="both"/>
      </w:pPr>
      <w:r>
        <w:t>Statybos darbus vykdyti vadovaujantis inžinerinių tinklų operatorių (savininkų) išduotomis sąlygomis. Prieš pradedant darbus būtina apie tai informuoti inžinerinių tinklų operatorius (savininkus) ir darbus atlikti jiems dalyvaujant.</w:t>
      </w:r>
    </w:p>
    <w:p w14:paraId="39F4B181" w14:textId="77777777" w:rsidR="004B4F32" w:rsidRDefault="004B4F32" w:rsidP="00114962">
      <w:pPr>
        <w:numPr>
          <w:ilvl w:val="0"/>
          <w:numId w:val="12"/>
        </w:numPr>
        <w:tabs>
          <w:tab w:val="left" w:pos="1134"/>
        </w:tabs>
        <w:spacing w:after="100" w:afterAutospacing="1"/>
        <w:ind w:left="0" w:firstLine="709"/>
        <w:jc w:val="both"/>
      </w:pPr>
      <w: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sukomplektuota dokumentacija, sunumeruota).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B4A82D1" w14:textId="77777777" w:rsidR="004B4F32" w:rsidRDefault="004B4F32" w:rsidP="00114962">
      <w:pPr>
        <w:numPr>
          <w:ilvl w:val="0"/>
          <w:numId w:val="12"/>
        </w:numPr>
        <w:tabs>
          <w:tab w:val="left" w:pos="1134"/>
        </w:tabs>
        <w:spacing w:after="100" w:afterAutospacing="1"/>
        <w:ind w:left="0" w:firstLine="709"/>
        <w:jc w:val="both"/>
      </w:pPr>
      <w:r>
        <w:t>Rangovas turi derinti tarpusavio statybos darbus su AB „Energijos skirstymo operatorius“ elektros tinklų statybos rangovu.</w:t>
      </w:r>
    </w:p>
    <w:p w14:paraId="74898DC6" w14:textId="44546B0B" w:rsidR="004B4F32" w:rsidRDefault="004B4F32" w:rsidP="00114962">
      <w:pPr>
        <w:pStyle w:val="Sraopastraipa"/>
        <w:numPr>
          <w:ilvl w:val="0"/>
          <w:numId w:val="12"/>
        </w:numPr>
        <w:tabs>
          <w:tab w:val="left" w:pos="1134"/>
        </w:tabs>
        <w:ind w:left="0" w:firstLine="709"/>
        <w:jc w:val="both"/>
        <w:rPr>
          <w:sz w:val="24"/>
          <w:szCs w:val="24"/>
        </w:rPr>
      </w:pPr>
      <w:r>
        <w:rPr>
          <w:sz w:val="24"/>
          <w:szCs w:val="24"/>
        </w:rPr>
        <w:t xml:space="preserve">AB „Energijos skirstymo operatoriaus“ (toliau – ESO) nuosavybės teise priklausančius elektros-dujų ir įrenginių suprojektuotus rangos darbus atlieka ESO paskirtas rangovas. Į pasiūlymo kainą šie darbai nevertinami. </w:t>
      </w:r>
      <w:r w:rsidR="009D2367">
        <w:rPr>
          <w:sz w:val="24"/>
          <w:szCs w:val="24"/>
        </w:rPr>
        <w:t>J</w:t>
      </w:r>
      <w:r>
        <w:rPr>
          <w:sz w:val="24"/>
          <w:szCs w:val="24"/>
        </w:rPr>
        <w:t>ie bus perkami atskiru pirkimu.</w:t>
      </w:r>
    </w:p>
    <w:p w14:paraId="5C10DCE3" w14:textId="77777777" w:rsidR="004B4F32" w:rsidRDefault="004B4F32" w:rsidP="00114962">
      <w:pPr>
        <w:numPr>
          <w:ilvl w:val="0"/>
          <w:numId w:val="12"/>
        </w:numPr>
        <w:tabs>
          <w:tab w:val="left" w:pos="1134"/>
        </w:tabs>
        <w:spacing w:after="100" w:afterAutospacing="1"/>
        <w:ind w:left="0" w:firstLine="709"/>
        <w:jc w:val="both"/>
      </w:pPr>
      <w:r>
        <w:t>Užbaigus rangos darbus visa rangos metu pažeista (-i) / sugadinta (-i) infrastruktūra, inžineriniai tinklai, želdiniai ir kt. objektai/elementai privalo būti Rangovo atstatyti į buvusią padėtį.</w:t>
      </w:r>
    </w:p>
    <w:p w14:paraId="0DF6E954" w14:textId="77777777" w:rsidR="004B4F32" w:rsidRDefault="004B4F32" w:rsidP="00114962">
      <w:pPr>
        <w:numPr>
          <w:ilvl w:val="0"/>
          <w:numId w:val="12"/>
        </w:numPr>
        <w:tabs>
          <w:tab w:val="left" w:pos="1134"/>
        </w:tabs>
        <w:spacing w:after="100" w:afterAutospacing="1"/>
        <w:ind w:left="0" w:firstLine="709"/>
        <w:jc w:val="both"/>
        <w:rPr>
          <w:color w:val="FF0000"/>
        </w:rPr>
      </w:pPr>
      <w:r>
        <w:t>Rangovas turi pateikti Užsakovui su Klaipėdos m. sav. Išmanaus skaitmeninio miesto skyriumi suderintą geodezinę (topografinę) nuotrauką atlikus visus statybinius darbus (dwg formatu).</w:t>
      </w:r>
    </w:p>
    <w:p w14:paraId="5461EE77" w14:textId="77777777" w:rsidR="004B4F32" w:rsidRDefault="004B4F32" w:rsidP="00114962">
      <w:pPr>
        <w:numPr>
          <w:ilvl w:val="0"/>
          <w:numId w:val="12"/>
        </w:numPr>
        <w:tabs>
          <w:tab w:val="left" w:pos="1134"/>
        </w:tabs>
        <w:spacing w:after="100" w:afterAutospacing="1"/>
        <w:ind w:left="0" w:firstLine="709"/>
        <w:jc w:val="both"/>
      </w:pPr>
      <w:r>
        <w:t>Rangovas turi paskirti asmenį atsakingą už energetinį ūkį iki objekto pridavimo.</w:t>
      </w:r>
    </w:p>
    <w:p w14:paraId="4C0638DA" w14:textId="77777777" w:rsidR="004B4F32" w:rsidRDefault="004B4F32" w:rsidP="00114962">
      <w:pPr>
        <w:numPr>
          <w:ilvl w:val="0"/>
          <w:numId w:val="12"/>
        </w:numPr>
        <w:tabs>
          <w:tab w:val="left" w:pos="1134"/>
        </w:tabs>
        <w:spacing w:after="100" w:afterAutospacing="1"/>
        <w:ind w:left="0" w:firstLine="709"/>
        <w:jc w:val="both"/>
      </w:pPr>
      <w:bookmarkStart w:id="57" w:name="_Hlk149220734"/>
      <w:r>
        <w:t>Užsakovui suteikus įgaliojimą teikti prašymą į el. sistemą „Infostatyba“ dėl objekto pripažinimo tinkamu naudoti ir gauti deklaraciją apie statybos užbaigimą ir (ar) statybos užbaigimo aktą (</w:t>
      </w:r>
      <w:r>
        <w:rPr>
          <w:i/>
        </w:rPr>
        <w:t xml:space="preserve">rekomenduojame informuoti įgaliotus asmenis, įmones, kuriems suteikta teisė atlikti būtinus veiksmus „Infostatyboje“, užpildžius statybos užbaigimo dokumentą, perduoti peržiūrai Turto valdymo skyriui (el. paštu </w:t>
      </w:r>
      <w:hyperlink r:id="rId37" w:history="1">
        <w:r>
          <w:rPr>
            <w:rStyle w:val="Hipersaitas"/>
            <w:i/>
          </w:rPr>
          <w:t>ausra.ruliene@klaipeda.lt</w:t>
        </w:r>
      </w:hyperlink>
      <w:r>
        <w:rPr>
          <w:i/>
        </w:rPr>
        <w:t>); statytojas - Klaipėdos miesto savivaldybė, kodas – 111100775</w:t>
      </w:r>
      <w:r>
        <w:t xml:space="preserve">), bei atlikti teisinę objekto registraciją Nekilnojamojo turto registre (NTR). </w:t>
      </w:r>
      <w:r>
        <w:lastRenderedPageBreak/>
        <w:t>Rangovas privalo įsivertinti išlaidas (apmokėjimus) už statybos užbaigimo dokumentą, teikiant dokumentaciją per „Infostatybą“ el. sistemą ir už teisinę registraciją NTR (jos metu patiriamas visas išlaidas).</w:t>
      </w:r>
    </w:p>
    <w:bookmarkEnd w:id="57"/>
    <w:p w14:paraId="25BFD312" w14:textId="77777777" w:rsidR="004B4F32" w:rsidRDefault="004B4F32" w:rsidP="00114962">
      <w:pPr>
        <w:numPr>
          <w:ilvl w:val="0"/>
          <w:numId w:val="12"/>
        </w:numPr>
        <w:tabs>
          <w:tab w:val="left" w:pos="1134"/>
        </w:tabs>
        <w:spacing w:after="100" w:afterAutospacing="1"/>
        <w:ind w:left="0" w:firstLine="709"/>
        <w:jc w:val="both"/>
      </w:pPr>
      <w:r>
        <w:t>Rangovas privalo darbų vykdymo eigoje susidariusias atliekas tvarkyti laikantis visų galiojančių įstatymų, Klaipėdos miesto atliekų tvarkymo taisyklių, patvirtintų Klaipėdos miesto savivaldybės tarybos 2011-11-24 sprendimu Nr. T2-370.</w:t>
      </w:r>
    </w:p>
    <w:p w14:paraId="4B112524" w14:textId="4776C188" w:rsidR="004B4F32" w:rsidRPr="001573E0" w:rsidRDefault="001573E0" w:rsidP="00114962">
      <w:pPr>
        <w:pStyle w:val="Sraopastraipa"/>
        <w:numPr>
          <w:ilvl w:val="0"/>
          <w:numId w:val="12"/>
        </w:numPr>
        <w:ind w:left="0" w:firstLine="709"/>
        <w:jc w:val="both"/>
        <w:rPr>
          <w:sz w:val="24"/>
          <w:szCs w:val="24"/>
          <w:lang w:eastAsia="en-US"/>
        </w:rPr>
      </w:pPr>
      <w:r w:rsidRPr="001573E0">
        <w:rPr>
          <w:sz w:val="24"/>
          <w:szCs w:val="24"/>
          <w:lang w:eastAsia="en-US"/>
        </w:rPr>
        <w:t xml:space="preserve">Apibūdinant pirkimo objektą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CABA7B" w14:textId="77777777" w:rsidR="004B4F32" w:rsidRDefault="004B4F32" w:rsidP="00114962">
      <w:pPr>
        <w:numPr>
          <w:ilvl w:val="0"/>
          <w:numId w:val="12"/>
        </w:numPr>
        <w:tabs>
          <w:tab w:val="left" w:pos="1134"/>
        </w:tabs>
        <w:spacing w:after="100" w:afterAutospacing="1"/>
        <w:ind w:left="0" w:firstLine="709"/>
        <w:jc w:val="both"/>
        <w:rPr>
          <w:b/>
          <w:bCs/>
        </w:rPr>
      </w:pPr>
      <w:r>
        <w:rPr>
          <w:b/>
          <w:bCs/>
        </w:rPr>
        <w:t>Sutarties kainos (įkainių) detalizacijos žiniaraštis pateikiamas per 1 mėn. nuo Sutarties įsigaliojimo dienos pagal Sutarties Bendrųjų sąlygų 15.4.1 p.</w:t>
      </w:r>
    </w:p>
    <w:p w14:paraId="5B60E9CF" w14:textId="77777777" w:rsidR="004B4F32" w:rsidRDefault="004B4F32" w:rsidP="00114962">
      <w:pPr>
        <w:numPr>
          <w:ilvl w:val="0"/>
          <w:numId w:val="12"/>
        </w:numPr>
        <w:tabs>
          <w:tab w:val="left" w:pos="1134"/>
        </w:tabs>
        <w:spacing w:after="100" w:afterAutospacing="1"/>
        <w:ind w:left="0" w:firstLine="709"/>
        <w:jc w:val="both"/>
      </w:pPr>
      <w:r>
        <w:t>Rangovas įsipareigoja Lietuvos Respublikos statybos įstatymo (toliau – Statybos įstatymas) 22</w:t>
      </w:r>
      <w:r>
        <w:rPr>
          <w:vertAlign w:val="superscript"/>
        </w:rPr>
        <w:t>1</w:t>
      </w:r>
      <w:r>
        <w:t xml:space="preserve"> str. nustatyta tvarka (</w:t>
      </w:r>
      <w:hyperlink r:id="rId38" w:history="1">
        <w:r>
          <w:rPr>
            <w:rStyle w:val="Hipersaitas"/>
          </w:rPr>
          <w:t>https://e-seimas.lrs.lt/portal/legalAct/lt/TAD/TAIS.26250/asr/</w:t>
        </w:r>
      </w:hyperlink>
      <w: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vertAlign w:val="superscript"/>
        </w:rPr>
        <w:t>1</w:t>
      </w:r>
      <w:r>
        <w:t xml:space="preserve"> 1 ir 2 dalyse nustatytais atvejais ir tvarka. Už šios pareigos nevykdymą Rangovas atsako Statybos įstatymo ir Lietuvos Respublikos administracinių nusižengimų kodekso nustatyta tvarka. Šiuo užsakovo užduotyje numatomu įsipareigojimu išreiškiamas Užsakovo įgaliojimas Rangovui pagal Statybos įstatymo 22</w:t>
      </w:r>
      <w:r>
        <w:rPr>
          <w:vertAlign w:val="superscript"/>
        </w:rPr>
        <w:t>1</w:t>
      </w:r>
      <w:r>
        <w:t xml:space="preserve"> str.</w:t>
      </w:r>
    </w:p>
    <w:p w14:paraId="2FF67E0C" w14:textId="77777777" w:rsidR="004B4F32" w:rsidRDefault="004B4F32" w:rsidP="00114962">
      <w:pPr>
        <w:numPr>
          <w:ilvl w:val="0"/>
          <w:numId w:val="12"/>
        </w:numPr>
        <w:tabs>
          <w:tab w:val="left" w:pos="1134"/>
        </w:tabs>
        <w:spacing w:after="100" w:afterAutospacing="1"/>
        <w:ind w:left="0" w:firstLine="709"/>
        <w:jc w:val="both"/>
        <w:rPr>
          <w:b/>
          <w:bCs/>
        </w:rPr>
      </w:pPr>
      <w:r>
        <w:rPr>
          <w:b/>
          <w:bCs/>
        </w:rPr>
        <w:t xml:space="preserve">Techniniame projekte įvardinta įranga (Technologinėje dalyje T-13, dokumente medžiagų žiniaraštyje, nurodytos pozicijos </w:t>
      </w:r>
      <w:r>
        <w:rPr>
          <w:b/>
          <w:bCs/>
          <w:i/>
        </w:rPr>
        <w:t>21 p. Dugno valymo teleskopinis šepetys (kotas 7m ilgio), 28 p. Gulima plokštuma kabinama ant turėklų ir 30 p. Neįgaliųjų keltuvas mobilus</w:t>
      </w:r>
      <w:r>
        <w:rPr>
          <w:b/>
          <w:bCs/>
        </w:rPr>
        <w:t>), šiuo pirkimu neperkami, todėl teikiant pasiūlymą jų įsivertinti nereikia. Užsakovo jie bus perkami atskiru pirkimu.</w:t>
      </w:r>
    </w:p>
    <w:p w14:paraId="1E4E4FA7" w14:textId="77777777" w:rsidR="004B4F32" w:rsidRDefault="004B4F32" w:rsidP="00114962">
      <w:pPr>
        <w:numPr>
          <w:ilvl w:val="0"/>
          <w:numId w:val="12"/>
        </w:numPr>
        <w:tabs>
          <w:tab w:val="left" w:pos="993"/>
          <w:tab w:val="left" w:pos="1134"/>
        </w:tabs>
        <w:ind w:left="0" w:firstLine="709"/>
        <w:jc w:val="both"/>
        <w:rPr>
          <w:b/>
          <w:bCs/>
        </w:rPr>
      </w:pPr>
      <w:r>
        <w:rPr>
          <w:b/>
          <w:bCs/>
        </w:rPr>
        <w:t>Rangovas privalo per 14 k. d. nuo Sutarties įsigaliojimo datos parengti ir pateikti Užsakovui Grafiką (Sutarties Specialiųjų sąlygų priedas Nr. 16), kuriame turi numatyti kalendoriniais metų ketvirčiais suskirstytus vykdomus darbus, darbų vykdymo eiliškumą ir tarpusavio priklausomybę, laikydamasis darbų galutinio termino (dalių galutinių terminų).</w:t>
      </w:r>
    </w:p>
    <w:p w14:paraId="3D528379" w14:textId="77777777" w:rsidR="004B4F32" w:rsidRPr="00E843BE" w:rsidRDefault="004B4F32" w:rsidP="00114962">
      <w:pPr>
        <w:numPr>
          <w:ilvl w:val="0"/>
          <w:numId w:val="12"/>
        </w:numPr>
        <w:tabs>
          <w:tab w:val="left" w:pos="993"/>
          <w:tab w:val="left" w:pos="1134"/>
        </w:tabs>
        <w:ind w:left="0" w:firstLine="709"/>
        <w:jc w:val="both"/>
        <w:rPr>
          <w:b/>
          <w:bCs/>
        </w:rPr>
      </w:pPr>
      <w:r>
        <w:rPr>
          <w:b/>
          <w:bCs/>
        </w:rPr>
        <w:t>Užsakovas turi teisę keisti baseino technologinę dalį.</w:t>
      </w:r>
    </w:p>
    <w:p w14:paraId="3F100CCE" w14:textId="4A76291D" w:rsidR="002872C9" w:rsidRPr="00876F38" w:rsidRDefault="002872C9" w:rsidP="00876F38">
      <w:pPr>
        <w:spacing w:before="80" w:after="80"/>
        <w:rPr>
          <w:b/>
          <w:color w:val="000000" w:themeColor="text1"/>
        </w:rPr>
        <w:sectPr w:rsidR="002872C9"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0B5E18D"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6ED5E6E" w:rsidR="004F571F" w:rsidRPr="00D71838" w:rsidRDefault="009350A6"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6D886788" w:rsidR="0079723A" w:rsidRDefault="0079723A">
      <w:pPr>
        <w:spacing w:after="200" w:line="276" w:lineRule="auto"/>
        <w:rPr>
          <w:rFonts w:eastAsia="Calibri"/>
          <w:lang w:eastAsia="lt-LT"/>
        </w:rPr>
      </w:pPr>
    </w:p>
    <w:sectPr w:rsidR="0079723A" w:rsidSect="00374632">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114962">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4DD0A16"/>
    <w:multiLevelType w:val="multilevel"/>
    <w:tmpl w:val="2FB6D134"/>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466AF0"/>
    <w:multiLevelType w:val="multilevel"/>
    <w:tmpl w:val="AFE6A38C"/>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9"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E01F9"/>
    <w:multiLevelType w:val="multilevel"/>
    <w:tmpl w:val="02609B5C"/>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6"/>
  </w:num>
  <w:num w:numId="3">
    <w:abstractNumId w:val="10"/>
  </w:num>
  <w:num w:numId="4">
    <w:abstractNumId w:val="11"/>
  </w:num>
  <w:num w:numId="5">
    <w:abstractNumId w:val="13"/>
  </w:num>
  <w:num w:numId="6">
    <w:abstractNumId w:val="8"/>
  </w:num>
  <w:num w:numId="7">
    <w:abstractNumId w:val="5"/>
  </w:num>
  <w:num w:numId="8">
    <w:abstractNumId w:val="3"/>
  </w:num>
  <w:num w:numId="9">
    <w:abstractNumId w:val="4"/>
  </w:num>
  <w:num w:numId="10">
    <w:abstractNumId w:val="1"/>
  </w:num>
  <w:num w:numId="11">
    <w:abstractNumId w:val="12"/>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3F5D"/>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962"/>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3E0"/>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BE2"/>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4F32"/>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B87"/>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4E8"/>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C6A"/>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26F"/>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A95"/>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367"/>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58F"/>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5D75"/>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4BF"/>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eader" Target="header1.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ausra.ruliene@klaipeda.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vpt.lrv.lt/media/viesa/saugykla/2023/12/PMBwTt00yK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TotalTime>
  <Pages>35</Pages>
  <Words>73366</Words>
  <Characters>41820</Characters>
  <Application>Microsoft Office Word</Application>
  <DocSecurity>0</DocSecurity>
  <Lines>348</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664</cp:revision>
  <cp:lastPrinted>2024-11-22T08:10:00Z</cp:lastPrinted>
  <dcterms:created xsi:type="dcterms:W3CDTF">2024-10-17T13:23:00Z</dcterms:created>
  <dcterms:modified xsi:type="dcterms:W3CDTF">2025-08-26T13:45:00Z</dcterms:modified>
</cp:coreProperties>
</file>