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308865DA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779C4455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FE6C72" w:rsidRPr="00FE6C72">
        <w:rPr>
          <w:rFonts w:cs="Times New Roman"/>
          <w:sz w:val="24"/>
          <w:szCs w:val="24"/>
          <w:lang w:val="lt-LT"/>
        </w:rPr>
        <w:t>3828417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176A2D3C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484A9CD3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734721">
        <w:trPr>
          <w:trHeight w:val="457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0627F957" w:rsidR="000B7062" w:rsidRPr="00CB4143" w:rsidRDefault="00FE6C72" w:rsidP="004C5A81">
            <w:pPr>
              <w:jc w:val="both"/>
              <w:rPr>
                <w:rFonts w:ascii="Times New Roman" w:hAnsi="Times New Roman" w:cs="Times New Roman"/>
              </w:rPr>
            </w:pPr>
            <w:r w:rsidRPr="00FE6C72">
              <w:t>OKT skenavimo išilginė/ašinė optinė rezoliucija ≤ 5 µm</w:t>
            </w:r>
            <w:r w:rsidR="003E6C08">
              <w:t>.</w:t>
            </w:r>
            <w:r w:rsidRPr="00FE6C72">
              <w:br/>
              <w:t>Siūlome keisti į: ≤ 7 µm</w:t>
            </w:r>
            <w:r w:rsidR="003E6C08">
              <w:t>.</w:t>
            </w:r>
            <w:r w:rsidRPr="00FE6C72">
              <w:br/>
              <w:t>Reikalavimas ≤ 5 µm nepagrįstai riboja konkurenciją, kadangi dauguma patikimų gamintojų siūlo 6–7 µm rezoliucijos aparatus.</w:t>
            </w:r>
          </w:p>
        </w:tc>
        <w:tc>
          <w:tcPr>
            <w:tcW w:w="4573" w:type="dxa"/>
          </w:tcPr>
          <w:p w14:paraId="543429A6" w14:textId="0254F446" w:rsidR="003C482A" w:rsidRDefault="00FE6C72" w:rsidP="00F9173C">
            <w:pPr>
              <w:jc w:val="both"/>
            </w:pPr>
            <w:r>
              <w:t>R</w:t>
            </w:r>
            <w:r w:rsidRPr="00FE6C72">
              <w:t>eikalavimas ≤5 µm išlieka nepakeistas.</w:t>
            </w:r>
          </w:p>
          <w:p w14:paraId="1D3DE762" w14:textId="6611A933" w:rsidR="00FE6C72" w:rsidRPr="00FE6C72" w:rsidRDefault="00FE6C72" w:rsidP="00FE6C72">
            <w:pPr>
              <w:jc w:val="both"/>
            </w:pPr>
            <w:r w:rsidRPr="00FE6C72">
              <w:t>Aukštas diagnostikos tikslumas. ≤5 µm ašinė rezoliucija leidžia aiškiai matyti atskirus tinklainės sluoksnius ir aptikti ankstyvus pokyčius, susijusius su glaukomos ar geltonosios dėmės degeneracijos pradžia.</w:t>
            </w:r>
          </w:p>
          <w:p w14:paraId="6AE26441" w14:textId="44B4B2D9" w:rsidR="00FE6C72" w:rsidRPr="00FE6C72" w:rsidRDefault="00FE6C72" w:rsidP="00FE6C72">
            <w:pPr>
              <w:jc w:val="both"/>
            </w:pPr>
            <w:r w:rsidRPr="00FE6C72">
              <w:t>Klinikinė praktika. Smulkesni pakitimai matomi anksčiau, todėl gydymas tampa efektyvesnis ir pacientų rezultatai geresni.</w:t>
            </w:r>
          </w:p>
          <w:p w14:paraId="3ADA1531" w14:textId="608BA160" w:rsidR="00FE6C72" w:rsidRPr="00FE6C72" w:rsidRDefault="00FE6C72" w:rsidP="00FE6C72">
            <w:pPr>
              <w:jc w:val="both"/>
            </w:pPr>
            <w:r w:rsidRPr="00FE6C72">
              <w:t>Konkurencija neapribojama. Šiuolaikiniai įrenginiai rinkoje užtikrina tokį ar dar geresnį tikslumą, todėl šis reikalavimas nepažeidžia sąžiningos konkurencijos principo.</w:t>
            </w:r>
          </w:p>
        </w:tc>
      </w:tr>
      <w:tr w:rsidR="004C5A81" w:rsidRPr="00F90521" w14:paraId="1403367D" w14:textId="77777777" w:rsidTr="00590562">
        <w:trPr>
          <w:trHeight w:val="1859"/>
        </w:trPr>
        <w:tc>
          <w:tcPr>
            <w:tcW w:w="704" w:type="dxa"/>
          </w:tcPr>
          <w:p w14:paraId="47BA4C24" w14:textId="020BB2B7" w:rsidR="004C5A81" w:rsidRPr="00F90521" w:rsidRDefault="004C5A81" w:rsidP="000B7062">
            <w:r>
              <w:t>2.</w:t>
            </w:r>
          </w:p>
        </w:tc>
        <w:tc>
          <w:tcPr>
            <w:tcW w:w="4678" w:type="dxa"/>
          </w:tcPr>
          <w:p w14:paraId="1328C081" w14:textId="6627B05B" w:rsidR="00205518" w:rsidRDefault="00205518" w:rsidP="00205518">
            <w:pPr>
              <w:jc w:val="both"/>
            </w:pPr>
            <w:r w:rsidRPr="0056449F">
              <w:t>OKT skenavimo skersinė rezoliucija ≤ 18 µm</w:t>
            </w:r>
            <w:r w:rsidR="003E6C08">
              <w:t>.</w:t>
            </w:r>
            <w:r w:rsidRPr="0056449F">
              <w:br/>
              <w:t>Siūlome keisti</w:t>
            </w:r>
            <w:r w:rsidR="003E6C08">
              <w:t xml:space="preserve"> </w:t>
            </w:r>
            <w:r w:rsidRPr="0056449F">
              <w:t>į: ≤ 20 µm</w:t>
            </w:r>
            <w:r w:rsidR="003E6C08">
              <w:t>.</w:t>
            </w:r>
            <w:r w:rsidRPr="0056449F">
              <w:br/>
              <w:t>Reikalavimas ≤ 18 µm dirbtinai sumažina galimų tiekėjų skaičių. Skirtumas tarp 18 µm ir 20 µm neturi esminės įtakos diagnostikai, tačiau 20 µm yra laikomas aukšto lygio klinikiniu standartu, kurį siūlo dauguma gamintojų.</w:t>
            </w:r>
          </w:p>
          <w:p w14:paraId="5107E88E" w14:textId="1F441D67" w:rsidR="004C5A81" w:rsidRPr="004C5A81" w:rsidRDefault="004C5A81" w:rsidP="00205518">
            <w:pPr>
              <w:jc w:val="both"/>
              <w:rPr>
                <w:rFonts w:ascii="Times New Roman" w:hAnsi="Times New Roman" w:cs="Times New Roman"/>
                <w:color w:val="00241A"/>
                <w:shd w:val="clear" w:color="auto" w:fill="FFFFFF"/>
              </w:rPr>
            </w:pPr>
          </w:p>
        </w:tc>
        <w:tc>
          <w:tcPr>
            <w:tcW w:w="4573" w:type="dxa"/>
          </w:tcPr>
          <w:p w14:paraId="67018F13" w14:textId="31C97588" w:rsidR="00F9173C" w:rsidRDefault="00E06A96" w:rsidP="00F9173C">
            <w:pPr>
              <w:jc w:val="both"/>
            </w:pPr>
            <w:r>
              <w:t>R</w:t>
            </w:r>
            <w:r w:rsidR="00205518" w:rsidRPr="00205518">
              <w:t>eikalavimas </w:t>
            </w:r>
            <w:r w:rsidR="00205518" w:rsidRPr="00947A88">
              <w:t>≤18 µm</w:t>
            </w:r>
            <w:r w:rsidR="00205518" w:rsidRPr="00205518">
              <w:t> išlieka nepakeistas.</w:t>
            </w:r>
          </w:p>
          <w:p w14:paraId="3E6DD4E4" w14:textId="03E05739" w:rsidR="00205518" w:rsidRDefault="00205518" w:rsidP="00205518">
            <w:pPr>
              <w:jc w:val="both"/>
            </w:pPr>
            <w:r>
              <w:t>Vaizdo detalumas. Mažesnė skersinė rezoliucija leidžia tiksliau matyti tinklainės struktūras ir kraujagysles.</w:t>
            </w:r>
          </w:p>
          <w:p w14:paraId="168D1183" w14:textId="2C227FF9" w:rsidR="00205518" w:rsidRDefault="00205518" w:rsidP="00205518">
            <w:pPr>
              <w:jc w:val="both"/>
            </w:pPr>
            <w:r>
              <w:t>Klinikinė vertė. Ypač svarbu vertinant tinklainės angiografiją bei diagnozuojant smulkius pokyčius periferinėse srityse.</w:t>
            </w:r>
          </w:p>
          <w:p w14:paraId="37716382" w14:textId="4D46BB37" w:rsidR="004C5A81" w:rsidRPr="007D3D16" w:rsidRDefault="00205518" w:rsidP="007D3D16">
            <w:pPr>
              <w:jc w:val="both"/>
            </w:pPr>
            <w:r>
              <w:t>Standartas atitinka daugumą šiuolaikinių technologijų.</w:t>
            </w:r>
          </w:p>
        </w:tc>
      </w:tr>
      <w:tr w:rsidR="00590562" w:rsidRPr="00F90521" w14:paraId="5047396F" w14:textId="77777777" w:rsidTr="00734721">
        <w:trPr>
          <w:trHeight w:val="457"/>
        </w:trPr>
        <w:tc>
          <w:tcPr>
            <w:tcW w:w="704" w:type="dxa"/>
          </w:tcPr>
          <w:p w14:paraId="300C0CA1" w14:textId="42AF6838" w:rsidR="00590562" w:rsidRDefault="00590562" w:rsidP="000B7062">
            <w:r>
              <w:t>3.</w:t>
            </w:r>
          </w:p>
        </w:tc>
        <w:tc>
          <w:tcPr>
            <w:tcW w:w="4678" w:type="dxa"/>
          </w:tcPr>
          <w:p w14:paraId="594D4F0F" w14:textId="3C9F15DE" w:rsidR="00590562" w:rsidRPr="001048C3" w:rsidRDefault="00E06A96" w:rsidP="004C5A81">
            <w:pPr>
              <w:jc w:val="both"/>
            </w:pPr>
            <w:r w:rsidRPr="00E06A96">
              <w:t>Skenavimo lauko dydis tinklainėje (horizontalus × vertikalus) Nuo 3 × 3 mm iki 15 × 15 mm, priklausomai nuo skenavimo režimo. Arba lygiavertis.</w:t>
            </w:r>
            <w:r w:rsidRPr="00E06A96">
              <w:br/>
              <w:t>Siūlome keisti į:</w:t>
            </w:r>
            <w:r w:rsidR="003E6C08">
              <w:t xml:space="preserve"> n</w:t>
            </w:r>
            <w:r w:rsidRPr="00E06A96">
              <w:t>uo ≤6×6 mm iki ≥15×15 mm</w:t>
            </w:r>
            <w:r w:rsidR="003E6C08">
              <w:t>.</w:t>
            </w:r>
            <w:r w:rsidRPr="00E06A96">
              <w:br/>
              <w:t>Dabartinis reikalavimas galimai yra labiau pritaikytas vienam gamintojui, o ne realiems klinikiniams poreikiams</w:t>
            </w:r>
            <w:r w:rsidR="003E6C08">
              <w:t>.</w:t>
            </w:r>
            <w:r w:rsidRPr="00E06A96">
              <w:t xml:space="preserve"> Tokie itin maži skenavimo laukai dažniausiai naudojami moksliniams tyrimams, tačiau įprastinėje klinikinėje praktikoje jie nesuteikia papildomos diagnostinės naudos.</w:t>
            </w:r>
          </w:p>
        </w:tc>
        <w:tc>
          <w:tcPr>
            <w:tcW w:w="4573" w:type="dxa"/>
          </w:tcPr>
          <w:p w14:paraId="72A17CAD" w14:textId="3838EA24" w:rsidR="00E06A96" w:rsidRDefault="00E06A96" w:rsidP="00E06A96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lang w:eastAsia="lt-LT"/>
              </w:rPr>
              <w:t>R</w:t>
            </w:r>
            <w:r w:rsidRPr="00E06A96">
              <w:rPr>
                <w:rFonts w:ascii="Times New Roman" w:eastAsia="Calibri" w:hAnsi="Times New Roman" w:cs="Times New Roman"/>
                <w:bCs/>
                <w:lang w:eastAsia="lt-LT"/>
              </w:rPr>
              <w:t>eikalavimas </w:t>
            </w:r>
            <w:r w:rsidRPr="00947A88">
              <w:rPr>
                <w:rFonts w:ascii="Times New Roman" w:eastAsia="Calibri" w:hAnsi="Times New Roman" w:cs="Times New Roman"/>
                <w:lang w:eastAsia="lt-LT"/>
              </w:rPr>
              <w:t>3×3 mm – 15×15 mm</w:t>
            </w:r>
            <w:r w:rsidRPr="00E06A96">
              <w:rPr>
                <w:rFonts w:ascii="Times New Roman" w:eastAsia="Calibri" w:hAnsi="Times New Roman" w:cs="Times New Roman"/>
                <w:bCs/>
                <w:lang w:eastAsia="lt-LT"/>
              </w:rPr>
              <w:t> išlieka nepakeistas</w:t>
            </w:r>
            <w:r>
              <w:rPr>
                <w:rFonts w:ascii="Times New Roman" w:eastAsia="Calibri" w:hAnsi="Times New Roman" w:cs="Times New Roman"/>
                <w:bCs/>
                <w:lang w:eastAsia="lt-LT"/>
              </w:rPr>
              <w:t>.</w:t>
            </w:r>
          </w:p>
          <w:p w14:paraId="69E4E370" w14:textId="77777777" w:rsidR="00E06A96" w:rsidRDefault="00E06A96" w:rsidP="00E06A96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E06A96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Ankstyva diagnostika. 3×3 mm režimas užtikrina didelės raiškos tyrimus </w:t>
            </w:r>
            <w:proofErr w:type="spellStart"/>
            <w:r w:rsidRPr="00E06A96">
              <w:rPr>
                <w:rFonts w:ascii="Times New Roman" w:eastAsia="Calibri" w:hAnsi="Times New Roman" w:cs="Times New Roman"/>
                <w:bCs/>
                <w:lang w:eastAsia="lt-LT"/>
              </w:rPr>
              <w:t>makulos</w:t>
            </w:r>
            <w:proofErr w:type="spellEnd"/>
            <w:r w:rsidRPr="00E06A96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srityje, leidžiančius anksti nustatyti geltonosios dėmės, diabetinės </w:t>
            </w:r>
            <w:proofErr w:type="spellStart"/>
            <w:r w:rsidRPr="00E06A96">
              <w:rPr>
                <w:rFonts w:ascii="Times New Roman" w:eastAsia="Calibri" w:hAnsi="Times New Roman" w:cs="Times New Roman"/>
                <w:bCs/>
                <w:lang w:eastAsia="lt-LT"/>
              </w:rPr>
              <w:t>retinopatijos</w:t>
            </w:r>
            <w:proofErr w:type="spellEnd"/>
            <w:r w:rsidRPr="00E06A96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ar kitų tinklainės patologijų požymius.</w:t>
            </w:r>
          </w:p>
          <w:p w14:paraId="6F52E993" w14:textId="2C2A32A0" w:rsidR="00E06A96" w:rsidRPr="00E06A96" w:rsidRDefault="00E06A96" w:rsidP="00E06A96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E06A96">
              <w:rPr>
                <w:rFonts w:ascii="Times New Roman" w:eastAsia="Calibri" w:hAnsi="Times New Roman" w:cs="Times New Roman"/>
                <w:bCs/>
                <w:lang w:eastAsia="lt-LT"/>
              </w:rPr>
              <w:t>Pacientų patogumas. Mažesnio lauko tyrimas trunka trumpiau, todėl sumažėja klaidų dėl akių judėjimo.</w:t>
            </w:r>
          </w:p>
          <w:p w14:paraId="05DED2BC" w14:textId="5B09E183" w:rsidR="00E06A96" w:rsidRPr="00E52104" w:rsidRDefault="00E06A96" w:rsidP="00E06A96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E06A96">
              <w:rPr>
                <w:rFonts w:ascii="Times New Roman" w:eastAsia="Calibri" w:hAnsi="Times New Roman" w:cs="Times New Roman"/>
                <w:bCs/>
                <w:lang w:eastAsia="lt-LT"/>
              </w:rPr>
              <w:t>Universalumas. Diapazonas 3×3–15×15 mm leidžia vienu įrenginiu atlikti tiek mažo lauko, tiek plataus lauko tyrimus pagal klinikinį poreikį.</w:t>
            </w:r>
          </w:p>
        </w:tc>
      </w:tr>
      <w:tr w:rsidR="00590562" w:rsidRPr="00F90521" w14:paraId="4B9EBAB5" w14:textId="77777777" w:rsidTr="00734721">
        <w:trPr>
          <w:trHeight w:val="457"/>
        </w:trPr>
        <w:tc>
          <w:tcPr>
            <w:tcW w:w="704" w:type="dxa"/>
          </w:tcPr>
          <w:p w14:paraId="041D70DF" w14:textId="30DD6620" w:rsidR="00590562" w:rsidRDefault="00F9173C" w:rsidP="000B7062">
            <w:r>
              <w:t>4.</w:t>
            </w:r>
          </w:p>
        </w:tc>
        <w:tc>
          <w:tcPr>
            <w:tcW w:w="4678" w:type="dxa"/>
          </w:tcPr>
          <w:p w14:paraId="06AAAECA" w14:textId="77777777" w:rsidR="00E06A96" w:rsidRDefault="00E06A96" w:rsidP="00E06A96">
            <w:pPr>
              <w:jc w:val="both"/>
            </w:pPr>
            <w:r>
              <w:t xml:space="preserve">OKT skenavimo tipai 3D, Angiografijos, Išplėsto gylio </w:t>
            </w:r>
            <w:proofErr w:type="spellStart"/>
            <w:r>
              <w:t>radialinis</w:t>
            </w:r>
            <w:proofErr w:type="spellEnd"/>
            <w:r>
              <w:t xml:space="preserve"> skenavimas, B-</w:t>
            </w:r>
            <w:proofErr w:type="spellStart"/>
            <w:r>
              <w:t>scan</w:t>
            </w:r>
            <w:proofErr w:type="spellEnd"/>
            <w:r>
              <w:t xml:space="preserve">, Aukštos raiškos </w:t>
            </w:r>
            <w:proofErr w:type="spellStart"/>
            <w:r>
              <w:t>radialinis</w:t>
            </w:r>
            <w:proofErr w:type="spellEnd"/>
            <w:r>
              <w:t xml:space="preserve"> skenavimas, B-</w:t>
            </w:r>
            <w:proofErr w:type="spellStart"/>
            <w:r>
              <w:t>scan</w:t>
            </w:r>
            <w:proofErr w:type="spellEnd"/>
            <w:r>
              <w:t xml:space="preserve"> (HD), </w:t>
            </w:r>
            <w:proofErr w:type="spellStart"/>
            <w:r>
              <w:t>Raster</w:t>
            </w:r>
            <w:proofErr w:type="spellEnd"/>
            <w:r>
              <w:t xml:space="preserve"> (HD), </w:t>
            </w:r>
            <w:proofErr w:type="spellStart"/>
            <w:r>
              <w:t>Cross</w:t>
            </w:r>
            <w:proofErr w:type="spellEnd"/>
            <w:r>
              <w:t xml:space="preserve"> (HD) - Kryžminis aukštos raiškos skenavimas, Topografijos, Biometrijos. Arba lygiaverčiai skenavimo tipai</w:t>
            </w:r>
          </w:p>
          <w:p w14:paraId="5D002B8F" w14:textId="77777777" w:rsidR="00E06A96" w:rsidRDefault="00E06A96" w:rsidP="00E06A96">
            <w:pPr>
              <w:jc w:val="both"/>
            </w:pPr>
            <w:r>
              <w:t xml:space="preserve">Siūlome keisti į: 3D, Angiografijos, Išplėsto gylio </w:t>
            </w:r>
            <w:proofErr w:type="spellStart"/>
            <w:r>
              <w:t>radialinis</w:t>
            </w:r>
            <w:proofErr w:type="spellEnd"/>
            <w:r>
              <w:t xml:space="preserve"> skenavimas, </w:t>
            </w:r>
            <w:proofErr w:type="spellStart"/>
            <w:r>
              <w:t>radialinis</w:t>
            </w:r>
            <w:proofErr w:type="spellEnd"/>
            <w:r>
              <w:t xml:space="preserve"> skenavimas, B-</w:t>
            </w:r>
            <w:proofErr w:type="spellStart"/>
            <w:r>
              <w:t>scan</w:t>
            </w:r>
            <w:proofErr w:type="spellEnd"/>
            <w:r>
              <w:t xml:space="preserve"> , </w:t>
            </w:r>
            <w:proofErr w:type="spellStart"/>
            <w:r>
              <w:t>Cross</w:t>
            </w:r>
            <w:proofErr w:type="spellEnd"/>
            <w:r>
              <w:t xml:space="preserve"> - Kryžminis skenavimas arba lygiaverčiai skenavimo tipai.</w:t>
            </w:r>
          </w:p>
          <w:p w14:paraId="787FDA66" w14:textId="6A940548" w:rsidR="00590562" w:rsidRPr="001048C3" w:rsidRDefault="00E06A96" w:rsidP="00E06A96">
            <w:pPr>
              <w:jc w:val="both"/>
            </w:pPr>
            <w:r>
              <w:t xml:space="preserve">Dabartiniai reikalavimai iš dalies yra pritaikyti ir būdingi konkrečiam gamintojui (šiuo atveju </w:t>
            </w:r>
            <w:r>
              <w:lastRenderedPageBreak/>
              <w:t xml:space="preserve">ZEISS). Taip pat „Topografija“ ir „Biometrija“ nėra standartinės OCT funkcijos, jos labiau priklauso kitiems prietaisams (pvz. </w:t>
            </w:r>
            <w:proofErr w:type="spellStart"/>
            <w:r>
              <w:t>biometrams</w:t>
            </w:r>
            <w:proofErr w:type="spellEnd"/>
            <w:r>
              <w:t>, topografams). Kad būtų užtikrintas konkurencingumas tarp tiekėjų siūlome reikalavimą keisti.</w:t>
            </w:r>
          </w:p>
        </w:tc>
        <w:tc>
          <w:tcPr>
            <w:tcW w:w="4573" w:type="dxa"/>
          </w:tcPr>
          <w:p w14:paraId="24C91AED" w14:textId="6680C426" w:rsidR="00A44F4A" w:rsidRDefault="00A44F4A" w:rsidP="00A44F4A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lang w:eastAsia="lt-LT"/>
              </w:rPr>
              <w:lastRenderedPageBreak/>
              <w:t>R</w:t>
            </w:r>
            <w:r w:rsidRPr="00A44F4A">
              <w:rPr>
                <w:rFonts w:ascii="Times New Roman" w:eastAsia="Calibri" w:hAnsi="Times New Roman" w:cs="Times New Roman"/>
                <w:bCs/>
                <w:lang w:eastAsia="lt-LT"/>
              </w:rPr>
              <w:t>eikalavimas išlieka nepakeistas.</w:t>
            </w:r>
          </w:p>
          <w:p w14:paraId="3E3CEB4F" w14:textId="65D8558F" w:rsidR="00A44F4A" w:rsidRPr="00A44F4A" w:rsidRDefault="00A44F4A" w:rsidP="00A44F4A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proofErr w:type="spellStart"/>
            <w:r w:rsidRPr="00A44F4A">
              <w:rPr>
                <w:rFonts w:ascii="Times New Roman" w:eastAsia="Calibri" w:hAnsi="Times New Roman" w:cs="Times New Roman"/>
                <w:bCs/>
                <w:lang w:eastAsia="lt-LT"/>
              </w:rPr>
              <w:t>Daugiafunkciškumas</w:t>
            </w:r>
            <w:proofErr w:type="spellEnd"/>
            <w:r w:rsidRPr="00A44F4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mažoje patalpoje. Integruotos topografijos ir biometrijos funkcijos leidžia vienu prietaisu atlikti daugiau tyrimų, todėl nereikia pirkti kelių įrenginių.</w:t>
            </w:r>
          </w:p>
          <w:p w14:paraId="421BFB02" w14:textId="2AC0E5A3" w:rsidR="00A44F4A" w:rsidRPr="00A44F4A" w:rsidRDefault="00A44F4A" w:rsidP="00A44F4A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A44F4A">
              <w:rPr>
                <w:rFonts w:ascii="Times New Roman" w:eastAsia="Calibri" w:hAnsi="Times New Roman" w:cs="Times New Roman"/>
                <w:bCs/>
                <w:lang w:eastAsia="lt-LT"/>
              </w:rPr>
              <w:t>Ekonominė nauda. Sutaupomos ne tik įrangos įsigijimo, bet ir priežiūros išlaidos.</w:t>
            </w:r>
          </w:p>
          <w:p w14:paraId="79A54ADC" w14:textId="5197F193" w:rsidR="00A44F4A" w:rsidRPr="00A44F4A" w:rsidRDefault="00A44F4A" w:rsidP="00A44F4A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A44F4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Diagnostinė vertė. Biometrija ir topografija reikalingos IOL parinkimui, </w:t>
            </w:r>
            <w:proofErr w:type="spellStart"/>
            <w:r w:rsidRPr="00A44F4A">
              <w:rPr>
                <w:rFonts w:ascii="Times New Roman" w:eastAsia="Calibri" w:hAnsi="Times New Roman" w:cs="Times New Roman"/>
                <w:bCs/>
                <w:lang w:eastAsia="lt-LT"/>
              </w:rPr>
              <w:t>keratokonuso</w:t>
            </w:r>
            <w:proofErr w:type="spellEnd"/>
            <w:r w:rsidRPr="00A44F4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vertinimui, kontaktinių lęšių parinkimui bei kitoms būtinoms klinikinėms užduotims.</w:t>
            </w:r>
          </w:p>
          <w:p w14:paraId="5BEA6E85" w14:textId="793FEF37" w:rsidR="00590562" w:rsidRPr="00E52104" w:rsidRDefault="00590562" w:rsidP="004C5A81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</w:p>
        </w:tc>
      </w:tr>
      <w:tr w:rsidR="00590562" w:rsidRPr="00F90521" w14:paraId="6C78DD0B" w14:textId="77777777" w:rsidTr="00734721">
        <w:trPr>
          <w:trHeight w:val="457"/>
        </w:trPr>
        <w:tc>
          <w:tcPr>
            <w:tcW w:w="704" w:type="dxa"/>
          </w:tcPr>
          <w:p w14:paraId="0C5239B2" w14:textId="76CD6014" w:rsidR="00590562" w:rsidRDefault="00F9173C" w:rsidP="000B7062">
            <w:r>
              <w:lastRenderedPageBreak/>
              <w:t>5.</w:t>
            </w:r>
          </w:p>
        </w:tc>
        <w:tc>
          <w:tcPr>
            <w:tcW w:w="4678" w:type="dxa"/>
          </w:tcPr>
          <w:p w14:paraId="497C15E4" w14:textId="31DCFB31" w:rsidR="00590562" w:rsidRPr="001048C3" w:rsidRDefault="00E06A96" w:rsidP="004C5A81">
            <w:pPr>
              <w:jc w:val="both"/>
            </w:pPr>
            <w:r w:rsidRPr="00E06A96">
              <w:t xml:space="preserve">Akies sekimo sistema </w:t>
            </w:r>
            <w:r w:rsidR="00186D49">
              <w:t>b</w:t>
            </w:r>
            <w:r w:rsidRPr="00E06A96">
              <w:t>ūtina priekinio segmento kampo ir ragenos atvaizdo gavimo galimybė, kampo išmatavimas, bei galimybė išmatuoti centrinį ragenos storį.</w:t>
            </w:r>
            <w:r w:rsidRPr="00E06A96">
              <w:br/>
              <w:t xml:space="preserve">Dabartinis aprašymas labiau atitinka priekinio segmentą, o ne </w:t>
            </w:r>
            <w:r w:rsidR="003E6C08">
              <w:t>a</w:t>
            </w:r>
            <w:r w:rsidRPr="00E06A96">
              <w:t>kies sekimo sistemą.</w:t>
            </w:r>
            <w:r w:rsidRPr="00E06A96">
              <w:br/>
              <w:t>Šio atv</w:t>
            </w:r>
            <w:r w:rsidR="003E6C08">
              <w:t>e</w:t>
            </w:r>
            <w:r w:rsidRPr="00E06A96">
              <w:t>ju prašome keisti į:</w:t>
            </w:r>
            <w:r w:rsidRPr="00E06A96">
              <w:br/>
            </w:r>
            <w:r w:rsidR="003E6C08">
              <w:t>u</w:t>
            </w:r>
            <w:r w:rsidRPr="00E06A96">
              <w:t>žtikrinanti artefaktų išvengimą skanavimo metu bei tikslų tos pačios skenuojamos vietos nustatymą vėlesnių vizitų metu.</w:t>
            </w:r>
          </w:p>
        </w:tc>
        <w:tc>
          <w:tcPr>
            <w:tcW w:w="4573" w:type="dxa"/>
          </w:tcPr>
          <w:p w14:paraId="2DAAB8A9" w14:textId="1842162B" w:rsidR="00186D49" w:rsidRDefault="00186D49" w:rsidP="00186D49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lang w:eastAsia="lt-LT"/>
              </w:rPr>
              <w:t>R</w:t>
            </w:r>
            <w:r w:rsidRPr="00186D49">
              <w:rPr>
                <w:rFonts w:ascii="Times New Roman" w:eastAsia="Calibri" w:hAnsi="Times New Roman" w:cs="Times New Roman"/>
                <w:bCs/>
                <w:lang w:eastAsia="lt-LT"/>
              </w:rPr>
              <w:t>eikalavimas </w:t>
            </w:r>
            <w:r w:rsidRPr="00947A88">
              <w:rPr>
                <w:rFonts w:ascii="Times New Roman" w:eastAsia="Calibri" w:hAnsi="Times New Roman" w:cs="Times New Roman"/>
                <w:lang w:eastAsia="lt-LT"/>
              </w:rPr>
              <w:t>paliekamas nepakeistas</w:t>
            </w:r>
            <w:r w:rsidRPr="00186D49">
              <w:rPr>
                <w:rFonts w:ascii="Times New Roman" w:eastAsia="Calibri" w:hAnsi="Times New Roman" w:cs="Times New Roman"/>
                <w:bCs/>
                <w:lang w:eastAsia="lt-LT"/>
              </w:rPr>
              <w:t>, tačiau paaiškiname priežastis.</w:t>
            </w:r>
          </w:p>
          <w:p w14:paraId="6319001B" w14:textId="46911048" w:rsidR="00186D49" w:rsidRPr="00186D49" w:rsidRDefault="00186D49" w:rsidP="00186D49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186D49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Akių sekimo funkcijos būtinybė. Akių sekimo sistema yra svarbi norint kompensuoti paciento akių judesius ar mirksėjimus tyrimo metu. Tai ypač aktualu atliekant </w:t>
            </w:r>
            <w:proofErr w:type="spellStart"/>
            <w:r w:rsidRPr="00186D49">
              <w:rPr>
                <w:rFonts w:ascii="Times New Roman" w:eastAsia="Calibri" w:hAnsi="Times New Roman" w:cs="Times New Roman"/>
                <w:bCs/>
                <w:lang w:eastAsia="lt-LT"/>
              </w:rPr>
              <w:t>angiografinius</w:t>
            </w:r>
            <w:proofErr w:type="spellEnd"/>
            <w:r w:rsidRPr="00186D49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tyrimus, kai net menkiausi akių judesiai gali sugadinti gautus vaizdus.</w:t>
            </w:r>
          </w:p>
          <w:p w14:paraId="512603B1" w14:textId="67E435F5" w:rsidR="00186D49" w:rsidRPr="00186D49" w:rsidRDefault="00186D49" w:rsidP="00186D49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186D49">
              <w:rPr>
                <w:rFonts w:ascii="Times New Roman" w:eastAsia="Calibri" w:hAnsi="Times New Roman" w:cs="Times New Roman"/>
                <w:bCs/>
                <w:lang w:eastAsia="lt-LT"/>
              </w:rPr>
              <w:t>Klaidos techninėje formuluotėje nėra. Techninėje specifikacijoje nurodytas reikalavimas yra tikslus: įrenginys turi turėti akių sekimo sistemą, užtikrinančią tikslius tyrimo rezultatus ir mažesnį pakartotinių tyrimų poreikį.</w:t>
            </w:r>
          </w:p>
          <w:p w14:paraId="38609675" w14:textId="7EA052B8" w:rsidR="00590562" w:rsidRPr="00E52104" w:rsidRDefault="00186D49" w:rsidP="004C5A81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186D49">
              <w:rPr>
                <w:rFonts w:ascii="Times New Roman" w:eastAsia="Calibri" w:hAnsi="Times New Roman" w:cs="Times New Roman"/>
                <w:bCs/>
                <w:lang w:eastAsia="lt-LT"/>
              </w:rPr>
              <w:t>Papildoma priekinio segmento funkcija. Nors tiekėjo pastebėta, kad tekstas mini priekinio segmento kampo ir ragenos matavimo galimybę, šios funkcijos irgi reikalingos, tačiau jos papildo, o ne pakeičia akių sekimo funkcionalumą.</w:t>
            </w:r>
          </w:p>
        </w:tc>
      </w:tr>
      <w:tr w:rsidR="00590562" w:rsidRPr="00F90521" w14:paraId="6AACB7E8" w14:textId="77777777" w:rsidTr="00734721">
        <w:trPr>
          <w:trHeight w:val="457"/>
        </w:trPr>
        <w:tc>
          <w:tcPr>
            <w:tcW w:w="704" w:type="dxa"/>
          </w:tcPr>
          <w:p w14:paraId="070D66A2" w14:textId="55002653" w:rsidR="00590562" w:rsidRDefault="00F9173C" w:rsidP="000B7062">
            <w:r>
              <w:t>6.</w:t>
            </w:r>
          </w:p>
        </w:tc>
        <w:tc>
          <w:tcPr>
            <w:tcW w:w="4678" w:type="dxa"/>
          </w:tcPr>
          <w:p w14:paraId="28270BB3" w14:textId="66E81698" w:rsidR="00590562" w:rsidRPr="001048C3" w:rsidRDefault="00E06A96" w:rsidP="00E06A96">
            <w:pPr>
              <w:jc w:val="both"/>
            </w:pPr>
            <w:r w:rsidRPr="00E06A96">
              <w:t>Fokuso reguliavimo diapazonas ≥ -25 D iki +25</w:t>
            </w:r>
            <w:r w:rsidR="00E31ABE">
              <w:t xml:space="preserve"> D. </w:t>
            </w:r>
            <w:r w:rsidRPr="00E06A96">
              <w:t>Siūlome keisti į: ≥ -20 D iki +20 D</w:t>
            </w:r>
            <w:r w:rsidRPr="00E06A96">
              <w:br/>
              <w:t>Šiuo metu reikalavimas galimai dirbtinai riboja konkurencingumą. Didžioji dalis rinkoje esančių aparatų siūlo -20 D iki +20 D, o tai yra pakankamai platus diapazonas klinikinei praktikai.</w:t>
            </w:r>
          </w:p>
        </w:tc>
        <w:tc>
          <w:tcPr>
            <w:tcW w:w="4573" w:type="dxa"/>
          </w:tcPr>
          <w:p w14:paraId="51D231BF" w14:textId="77777777" w:rsidR="005F174C" w:rsidRPr="005F174C" w:rsidRDefault="005F174C" w:rsidP="005F174C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5F174C">
              <w:rPr>
                <w:rFonts w:ascii="Times New Roman" w:eastAsia="Calibri" w:hAnsi="Times New Roman" w:cs="Times New Roman"/>
                <w:bCs/>
                <w:lang w:eastAsia="lt-LT"/>
              </w:rPr>
              <w:t>Siūlomas reikalavimas paliekamas nepakeistas. Tokia reikšmė yra būtina, nes:</w:t>
            </w:r>
          </w:p>
          <w:p w14:paraId="13B5A57B" w14:textId="1735A2F4" w:rsidR="005F174C" w:rsidRPr="005F174C" w:rsidRDefault="005F174C" w:rsidP="005F174C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5F174C">
              <w:rPr>
                <w:rFonts w:ascii="Times New Roman" w:eastAsia="Calibri" w:hAnsi="Times New Roman" w:cs="Times New Roman"/>
                <w:bCs/>
                <w:lang w:eastAsia="lt-LT"/>
              </w:rPr>
              <w:t>Platus pritaikymas. Diapazonas nuo −25 D iki +25 D leidžia tirti ir stipriai trumparegius, ir stipriai toliaregius pacientus be papildomų lęšių ar priedų.</w:t>
            </w:r>
          </w:p>
          <w:p w14:paraId="3A9A164F" w14:textId="7BFEB3FB" w:rsidR="005F174C" w:rsidRPr="005F174C" w:rsidRDefault="005F174C" w:rsidP="005F174C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5F174C">
              <w:rPr>
                <w:rFonts w:ascii="Times New Roman" w:eastAsia="Calibri" w:hAnsi="Times New Roman" w:cs="Times New Roman"/>
                <w:bCs/>
                <w:lang w:eastAsia="lt-LT"/>
              </w:rPr>
              <w:t>Ekonomiškumas ir patogumas. Platesnis reguliavimo diapazonas sumažina papildomų tyrimų poreikį ir užtikrina efektyvesnę darbo eigą.</w:t>
            </w:r>
          </w:p>
          <w:p w14:paraId="44569822" w14:textId="7108460E" w:rsidR="005F174C" w:rsidRPr="005F174C" w:rsidRDefault="005F174C" w:rsidP="005F174C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5F174C">
              <w:rPr>
                <w:rFonts w:ascii="Times New Roman" w:eastAsia="Calibri" w:hAnsi="Times New Roman" w:cs="Times New Roman"/>
                <w:bCs/>
                <w:lang w:eastAsia="lt-LT"/>
              </w:rPr>
              <w:t>Techninis atitikimas. Įranga, atitinkanti šį reikalavimą, užtikrina universalesnį naudojimą ir išplečia galimų pacientų grupę.</w:t>
            </w:r>
          </w:p>
          <w:p w14:paraId="7CF8AA5D" w14:textId="49173C79" w:rsidR="00590562" w:rsidRPr="00E52104" w:rsidRDefault="005F174C" w:rsidP="005F174C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5F174C">
              <w:rPr>
                <w:rFonts w:ascii="Times New Roman" w:eastAsia="Calibri" w:hAnsi="Times New Roman" w:cs="Times New Roman"/>
                <w:bCs/>
                <w:lang w:eastAsia="lt-LT"/>
              </w:rPr>
              <w:t>Todėl šis reikalavimas yra pagrįstas ir išlieka nekeičiantis.</w:t>
            </w:r>
          </w:p>
        </w:tc>
      </w:tr>
      <w:tr w:rsidR="00590562" w:rsidRPr="00F90521" w14:paraId="374D7362" w14:textId="77777777" w:rsidTr="00734721">
        <w:trPr>
          <w:trHeight w:val="457"/>
        </w:trPr>
        <w:tc>
          <w:tcPr>
            <w:tcW w:w="704" w:type="dxa"/>
          </w:tcPr>
          <w:p w14:paraId="68A8F31D" w14:textId="69DF805D" w:rsidR="00590562" w:rsidRDefault="00F9173C" w:rsidP="000B7062">
            <w:r>
              <w:t>7.</w:t>
            </w:r>
          </w:p>
        </w:tc>
        <w:tc>
          <w:tcPr>
            <w:tcW w:w="4678" w:type="dxa"/>
          </w:tcPr>
          <w:p w14:paraId="343CED20" w14:textId="70B7C0FF" w:rsidR="00E06A96" w:rsidRDefault="00E06A96" w:rsidP="00E06A96">
            <w:pPr>
              <w:jc w:val="both"/>
            </w:pPr>
            <w:r>
              <w:t>Minimalus akies vyzdžio dydis OKT skenavimui ≤ 2 mm</w:t>
            </w:r>
            <w:r w:rsidR="00E31ABE">
              <w:t>.</w:t>
            </w:r>
          </w:p>
          <w:p w14:paraId="2061C489" w14:textId="5473F989" w:rsidR="00E06A96" w:rsidRDefault="00E06A96" w:rsidP="00E06A96">
            <w:pPr>
              <w:jc w:val="both"/>
            </w:pPr>
            <w:r>
              <w:t>Siūlome keisti į: ≤ 2.5 mm</w:t>
            </w:r>
            <w:r w:rsidR="00E31ABE">
              <w:t>.</w:t>
            </w:r>
          </w:p>
          <w:p w14:paraId="3483885C" w14:textId="61BD826D" w:rsidR="00590562" w:rsidRPr="001048C3" w:rsidRDefault="00E06A96" w:rsidP="00E06A96">
            <w:pPr>
              <w:jc w:val="both"/>
            </w:pPr>
            <w:r>
              <w:t>2 mm vyzdžio reikalavimas yra ypač griežtas ir būdingas konkrečiam gamintojui. ≤ 2.5 mm yra tarptautinis standartas, kuris pilnai užtikrina galimybę tirti ir pacientus su siauresniu vyzdžiu.</w:t>
            </w:r>
          </w:p>
        </w:tc>
        <w:tc>
          <w:tcPr>
            <w:tcW w:w="4573" w:type="dxa"/>
          </w:tcPr>
          <w:p w14:paraId="556445F9" w14:textId="4D35F4F5" w:rsidR="00590562" w:rsidRDefault="003E6CF9" w:rsidP="004C5A81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lang w:eastAsia="lt-LT"/>
              </w:rPr>
              <w:t>R</w:t>
            </w:r>
            <w:r w:rsidRPr="003E6CF9">
              <w:rPr>
                <w:rFonts w:ascii="Times New Roman" w:eastAsia="Calibri" w:hAnsi="Times New Roman" w:cs="Times New Roman"/>
                <w:bCs/>
                <w:lang w:eastAsia="lt-LT"/>
              </w:rPr>
              <w:t>eikalavimas </w:t>
            </w:r>
            <w:r w:rsidR="00772A11"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 w:rsidRPr="003E6CF9">
              <w:rPr>
                <w:rFonts w:ascii="Times New Roman" w:eastAsia="Calibri" w:hAnsi="Times New Roman" w:cs="Times New Roman"/>
                <w:bCs/>
                <w:lang w:eastAsia="lt-LT"/>
              </w:rPr>
              <w:t> išlieka nepakeistas.</w:t>
            </w:r>
          </w:p>
          <w:p w14:paraId="2570E415" w14:textId="0B046AA8" w:rsidR="003E6CF9" w:rsidRPr="003E6CF9" w:rsidRDefault="003E6CF9" w:rsidP="003E6CF9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3E6CF9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Pacientų patogumas. Didesnė </w:t>
            </w:r>
            <w:proofErr w:type="spellStart"/>
            <w:r w:rsidRPr="003E6CF9">
              <w:rPr>
                <w:rFonts w:ascii="Times New Roman" w:eastAsia="Calibri" w:hAnsi="Times New Roman" w:cs="Times New Roman"/>
                <w:bCs/>
                <w:lang w:eastAsia="lt-LT"/>
              </w:rPr>
              <w:t>jautra</w:t>
            </w:r>
            <w:proofErr w:type="spellEnd"/>
            <w:r w:rsidRPr="003E6CF9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leidžia tirti ir pacientus su siauresniais vyzdžiais.</w:t>
            </w:r>
          </w:p>
          <w:p w14:paraId="35130FAF" w14:textId="1803CE12" w:rsidR="003E6CF9" w:rsidRPr="00E52104" w:rsidRDefault="003E6CF9" w:rsidP="003E6CF9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3E6CF9">
              <w:rPr>
                <w:rFonts w:ascii="Times New Roman" w:eastAsia="Calibri" w:hAnsi="Times New Roman" w:cs="Times New Roman"/>
                <w:bCs/>
                <w:lang w:eastAsia="lt-LT"/>
              </w:rPr>
              <w:t>Diagnostinė vertė. Galima kokybiškai ištirti daugiau pacientų, net ir tuos, kuriems dėl fiziologinių ypatumų vyzdžiai prasiplečia mažiau.</w:t>
            </w:r>
          </w:p>
        </w:tc>
      </w:tr>
      <w:tr w:rsidR="00590562" w:rsidRPr="00F90521" w14:paraId="1707EEDB" w14:textId="77777777" w:rsidTr="00734721">
        <w:trPr>
          <w:trHeight w:val="457"/>
        </w:trPr>
        <w:tc>
          <w:tcPr>
            <w:tcW w:w="704" w:type="dxa"/>
          </w:tcPr>
          <w:p w14:paraId="739130E6" w14:textId="111E7761" w:rsidR="00590562" w:rsidRDefault="00F9173C" w:rsidP="000B7062">
            <w:r>
              <w:t>8.</w:t>
            </w:r>
          </w:p>
        </w:tc>
        <w:tc>
          <w:tcPr>
            <w:tcW w:w="4678" w:type="dxa"/>
          </w:tcPr>
          <w:p w14:paraId="240DDACC" w14:textId="099DCCCC" w:rsidR="00590562" w:rsidRPr="001048C3" w:rsidRDefault="00E06A96" w:rsidP="004C5A81">
            <w:pPr>
              <w:jc w:val="both"/>
            </w:pPr>
            <w:r w:rsidRPr="00E06A96">
              <w:t>Minimalus vyzdžio dydis akies dugno fotografijoms ≤ 3.3mm</w:t>
            </w:r>
            <w:r w:rsidRPr="00E06A96">
              <w:br/>
              <w:t>Siūlome naikinti.</w:t>
            </w:r>
            <w:r w:rsidRPr="00E06A96">
              <w:br/>
              <w:t xml:space="preserve">Šis reikalavimas yra perteklinis, nes pagal 10. punktą gali būti siūlomas prietaisas su linijinio skenuojančio </w:t>
            </w:r>
            <w:proofErr w:type="spellStart"/>
            <w:r w:rsidRPr="00E06A96">
              <w:t>oftalmoskopo</w:t>
            </w:r>
            <w:proofErr w:type="spellEnd"/>
            <w:r w:rsidRPr="00E06A96">
              <w:t xml:space="preserve"> metodu, o šis </w:t>
            </w:r>
            <w:r w:rsidRPr="00E06A96">
              <w:lastRenderedPageBreak/>
              <w:t>metodas nenaudoja įprastinių akies dugno fotografijų.</w:t>
            </w:r>
          </w:p>
        </w:tc>
        <w:tc>
          <w:tcPr>
            <w:tcW w:w="4573" w:type="dxa"/>
          </w:tcPr>
          <w:p w14:paraId="73E05989" w14:textId="77777777" w:rsidR="00590562" w:rsidRDefault="00CF6525" w:rsidP="004C5A81">
            <w:pPr>
              <w:tabs>
                <w:tab w:val="left" w:pos="6237"/>
              </w:tabs>
              <w:jc w:val="both"/>
            </w:pPr>
            <w:r>
              <w:lastRenderedPageBreak/>
              <w:t>R</w:t>
            </w:r>
            <w:r w:rsidRPr="00CF6525">
              <w:t>eikalavimas išlieka nepakeistas.</w:t>
            </w:r>
          </w:p>
          <w:p w14:paraId="33083F49" w14:textId="73CF6DDF" w:rsidR="00CF6525" w:rsidRPr="00CF6525" w:rsidRDefault="00CF6525" w:rsidP="00CF652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CF6525">
              <w:rPr>
                <w:rFonts w:ascii="Times New Roman" w:eastAsia="Calibri" w:hAnsi="Times New Roman" w:cs="Times New Roman"/>
                <w:bCs/>
                <w:lang w:eastAsia="lt-LT"/>
              </w:rPr>
              <w:t>Techninės specifikacijos nuostata. Pagal 1 punktą įrenginys privalo turėti integruotą spalvotą dugno kamerą (FUNDUS). Vien linijinis skenavimas šio reikalavimo neatitinka.</w:t>
            </w:r>
          </w:p>
          <w:p w14:paraId="5E70A929" w14:textId="650B59F8" w:rsidR="00CF6525" w:rsidRPr="00CF6525" w:rsidRDefault="00CF6525" w:rsidP="00CF652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CF6525">
              <w:rPr>
                <w:rFonts w:ascii="Times New Roman" w:eastAsia="Calibri" w:hAnsi="Times New Roman" w:cs="Times New Roman"/>
                <w:bCs/>
                <w:lang w:eastAsia="lt-LT"/>
              </w:rPr>
              <w:lastRenderedPageBreak/>
              <w:t>Pacientų patogumas. ≤3,3 mm ribinis dydis leidžia atlikti aukštos kokybės dugno fotografiją be vyzdžių plėtimo, tyrimas vyksta greičiau ir patogiau.</w:t>
            </w:r>
          </w:p>
          <w:p w14:paraId="428F85AC" w14:textId="080F479E" w:rsidR="00CF6525" w:rsidRPr="00E52104" w:rsidRDefault="00CF6525" w:rsidP="00CF652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CF6525">
              <w:rPr>
                <w:rFonts w:ascii="Times New Roman" w:eastAsia="Calibri" w:hAnsi="Times New Roman" w:cs="Times New Roman"/>
                <w:bCs/>
                <w:lang w:eastAsia="lt-LT"/>
              </w:rPr>
              <w:t>Efektyvumas. Integruota dugno kamera leidžia atlikti kelis tyrimus vienu įrenginiu, taupant vietą ir kaštus.</w:t>
            </w: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2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B7062"/>
    <w:rsid w:val="000E4D3D"/>
    <w:rsid w:val="000F5DE6"/>
    <w:rsid w:val="00160589"/>
    <w:rsid w:val="00186D49"/>
    <w:rsid w:val="00187397"/>
    <w:rsid w:val="00191B03"/>
    <w:rsid w:val="001A738A"/>
    <w:rsid w:val="001C0A17"/>
    <w:rsid w:val="00205518"/>
    <w:rsid w:val="00240EA2"/>
    <w:rsid w:val="00245DCA"/>
    <w:rsid w:val="00264DF0"/>
    <w:rsid w:val="00285607"/>
    <w:rsid w:val="00294D03"/>
    <w:rsid w:val="002F712A"/>
    <w:rsid w:val="0030758C"/>
    <w:rsid w:val="00327132"/>
    <w:rsid w:val="003730EA"/>
    <w:rsid w:val="003A086C"/>
    <w:rsid w:val="003C482A"/>
    <w:rsid w:val="003E6C08"/>
    <w:rsid w:val="003E6CF9"/>
    <w:rsid w:val="00492BBF"/>
    <w:rsid w:val="004B2CAF"/>
    <w:rsid w:val="004C3BB6"/>
    <w:rsid w:val="004C5991"/>
    <w:rsid w:val="004C5A81"/>
    <w:rsid w:val="004E3C7C"/>
    <w:rsid w:val="004E4BCC"/>
    <w:rsid w:val="00512ABB"/>
    <w:rsid w:val="00522B7E"/>
    <w:rsid w:val="00590562"/>
    <w:rsid w:val="00595F3D"/>
    <w:rsid w:val="005B1E8C"/>
    <w:rsid w:val="005B411B"/>
    <w:rsid w:val="005E5341"/>
    <w:rsid w:val="005F174C"/>
    <w:rsid w:val="00637EC2"/>
    <w:rsid w:val="00651D89"/>
    <w:rsid w:val="006910DD"/>
    <w:rsid w:val="006E098D"/>
    <w:rsid w:val="00717FCA"/>
    <w:rsid w:val="00724239"/>
    <w:rsid w:val="00734721"/>
    <w:rsid w:val="00734EB8"/>
    <w:rsid w:val="00772A11"/>
    <w:rsid w:val="007870E3"/>
    <w:rsid w:val="007D08E8"/>
    <w:rsid w:val="007D3D16"/>
    <w:rsid w:val="007D4EC3"/>
    <w:rsid w:val="00821754"/>
    <w:rsid w:val="008356D5"/>
    <w:rsid w:val="00845F4D"/>
    <w:rsid w:val="008A4F7D"/>
    <w:rsid w:val="008D02E0"/>
    <w:rsid w:val="008D5AD1"/>
    <w:rsid w:val="008F160E"/>
    <w:rsid w:val="00923540"/>
    <w:rsid w:val="00947A88"/>
    <w:rsid w:val="00973D50"/>
    <w:rsid w:val="00991E77"/>
    <w:rsid w:val="009C2D2C"/>
    <w:rsid w:val="009C65BD"/>
    <w:rsid w:val="00A44F4A"/>
    <w:rsid w:val="00A646E4"/>
    <w:rsid w:val="00A67F8B"/>
    <w:rsid w:val="00AA35F8"/>
    <w:rsid w:val="00B045A7"/>
    <w:rsid w:val="00B052E8"/>
    <w:rsid w:val="00B122B4"/>
    <w:rsid w:val="00B1711B"/>
    <w:rsid w:val="00B22C8C"/>
    <w:rsid w:val="00B257D8"/>
    <w:rsid w:val="00B47EB1"/>
    <w:rsid w:val="00B83CD1"/>
    <w:rsid w:val="00BB31A5"/>
    <w:rsid w:val="00BB5C81"/>
    <w:rsid w:val="00C223E0"/>
    <w:rsid w:val="00C24F57"/>
    <w:rsid w:val="00C31F22"/>
    <w:rsid w:val="00C36E99"/>
    <w:rsid w:val="00C4362B"/>
    <w:rsid w:val="00CA00D5"/>
    <w:rsid w:val="00CB4143"/>
    <w:rsid w:val="00CE288B"/>
    <w:rsid w:val="00CF6525"/>
    <w:rsid w:val="00D243A9"/>
    <w:rsid w:val="00D36056"/>
    <w:rsid w:val="00DF1994"/>
    <w:rsid w:val="00DF790D"/>
    <w:rsid w:val="00E06A96"/>
    <w:rsid w:val="00E1305F"/>
    <w:rsid w:val="00E31ABE"/>
    <w:rsid w:val="00E37654"/>
    <w:rsid w:val="00E5744F"/>
    <w:rsid w:val="00E701D7"/>
    <w:rsid w:val="00E92FAB"/>
    <w:rsid w:val="00EC4DC1"/>
    <w:rsid w:val="00EF2538"/>
    <w:rsid w:val="00F305FF"/>
    <w:rsid w:val="00F5529E"/>
    <w:rsid w:val="00F7249C"/>
    <w:rsid w:val="00F84225"/>
    <w:rsid w:val="00F90521"/>
    <w:rsid w:val="00F9173C"/>
    <w:rsid w:val="00F92828"/>
    <w:rsid w:val="00F9568F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4464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Danguolė Kaselienė</cp:lastModifiedBy>
  <cp:revision>17</cp:revision>
  <cp:lastPrinted>2025-08-26T05:26:00Z</cp:lastPrinted>
  <dcterms:created xsi:type="dcterms:W3CDTF">2025-08-25T13:29:00Z</dcterms:created>
  <dcterms:modified xsi:type="dcterms:W3CDTF">2025-08-26T09:56:00Z</dcterms:modified>
  <dc:language>lt-LT</dc:language>
</cp:coreProperties>
</file>