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440E144F"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5425C8">
              <w:rPr>
                <w:sz w:val="24"/>
                <w:szCs w:val="24"/>
                <w:lang w:val="lt-LT"/>
              </w:rPr>
              <w:t>8</w:t>
            </w:r>
            <w:r w:rsidR="00C0318B" w:rsidRPr="00D5756D">
              <w:rPr>
                <w:sz w:val="24"/>
                <w:szCs w:val="24"/>
                <w:lang w:val="lt-LT"/>
              </w:rPr>
              <w:t>-</w:t>
            </w:r>
            <w:r w:rsidR="00695FB8">
              <w:rPr>
                <w:sz w:val="24"/>
                <w:szCs w:val="24"/>
                <w:lang w:val="lt-LT"/>
              </w:rPr>
              <w:t>2</w:t>
            </w:r>
            <w:r w:rsidR="005425C8">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047FDCB3"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1F05CA" w:rsidRPr="001F05CA">
        <w:rPr>
          <w:b/>
          <w:bCs/>
          <w:sz w:val="24"/>
          <w:szCs w:val="24"/>
          <w:lang w:val="lt-LT"/>
        </w:rPr>
        <w:t xml:space="preserve">LENGVOJO </w:t>
      </w:r>
      <w:r w:rsidR="000C0A65">
        <w:rPr>
          <w:b/>
          <w:bCs/>
          <w:sz w:val="24"/>
          <w:szCs w:val="24"/>
          <w:lang w:val="lt-LT"/>
        </w:rPr>
        <w:t>ELEKTROMOBILIO</w:t>
      </w:r>
      <w:r w:rsidR="001F05CA" w:rsidRPr="001F05CA">
        <w:rPr>
          <w:b/>
          <w:bCs/>
          <w:sz w:val="24"/>
          <w:szCs w:val="24"/>
          <w:lang w:val="lt-LT"/>
        </w:rPr>
        <w:t xml:space="preserve"> (M1 KLASĖS</w:t>
      </w:r>
      <w:r w:rsidR="008C652C">
        <w:rPr>
          <w:b/>
          <w:bCs/>
          <w:sz w:val="24"/>
          <w:szCs w:val="24"/>
          <w:lang w:val="lt-LT"/>
        </w:rPr>
        <w:t>)</w:t>
      </w:r>
      <w:r w:rsidR="001F05CA" w:rsidRPr="001F05CA">
        <w:rPr>
          <w:b/>
          <w:bCs/>
          <w:sz w:val="24"/>
          <w:szCs w:val="24"/>
          <w:lang w:val="lt-LT"/>
        </w:rPr>
        <w:t xml:space="preserve"> PIRKIMAS</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040A4137" w14:textId="03DC0ADD" w:rsidR="001F05CA" w:rsidRPr="007A5E2B" w:rsidRDefault="00695FB8" w:rsidP="001F05CA">
            <w:pPr>
              <w:tabs>
                <w:tab w:val="left" w:pos="0"/>
              </w:tabs>
              <w:jc w:val="both"/>
              <w:rPr>
                <w:rFonts w:eastAsia="Calibri"/>
                <w:bCs/>
                <w:color w:val="000000"/>
                <w:sz w:val="24"/>
                <w:szCs w:val="24"/>
                <w:lang w:val="lt-LT" w:eastAsia="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5507A6">
              <w:rPr>
                <w:rFonts w:eastAsia="Calibri"/>
                <w:color w:val="000000"/>
                <w:sz w:val="24"/>
                <w:szCs w:val="24"/>
                <w:lang w:val="lt-LT" w:eastAsia="lt-LT"/>
              </w:rPr>
              <w:t>įsigyt</w:t>
            </w:r>
            <w:r>
              <w:rPr>
                <w:rFonts w:eastAsia="Calibri"/>
                <w:color w:val="000000"/>
                <w:sz w:val="24"/>
                <w:szCs w:val="24"/>
                <w:lang w:val="lt-LT" w:eastAsia="lt-LT"/>
              </w:rPr>
              <w:t>ų</w:t>
            </w:r>
            <w:r w:rsidR="00AC15B9">
              <w:rPr>
                <w:rFonts w:eastAsia="Calibri"/>
                <w:color w:val="000000"/>
                <w:sz w:val="24"/>
                <w:szCs w:val="24"/>
                <w:lang w:val="lt-LT" w:eastAsia="lt-LT"/>
              </w:rPr>
              <w:t xml:space="preserve"> </w:t>
            </w:r>
            <w:r w:rsidR="001F05CA" w:rsidRPr="001F05CA">
              <w:rPr>
                <w:rFonts w:eastAsia="Calibri"/>
                <w:bCs/>
                <w:color w:val="000000"/>
                <w:sz w:val="24"/>
                <w:szCs w:val="24"/>
                <w:lang w:val="lt-LT" w:eastAsia="lt-LT"/>
              </w:rPr>
              <w:t>lengv</w:t>
            </w:r>
            <w:r w:rsidR="001F05CA">
              <w:rPr>
                <w:rFonts w:eastAsia="Calibri"/>
                <w:bCs/>
                <w:color w:val="000000"/>
                <w:sz w:val="24"/>
                <w:szCs w:val="24"/>
                <w:lang w:val="lt-LT" w:eastAsia="lt-LT"/>
              </w:rPr>
              <w:t>ąjį</w:t>
            </w:r>
            <w:r w:rsidR="001F05CA" w:rsidRPr="001F05CA">
              <w:rPr>
                <w:rFonts w:eastAsia="Calibri"/>
                <w:bCs/>
                <w:color w:val="000000"/>
                <w:sz w:val="24"/>
                <w:szCs w:val="24"/>
                <w:lang w:val="lt-LT" w:eastAsia="lt-LT"/>
              </w:rPr>
              <w:t xml:space="preserve"> </w:t>
            </w:r>
            <w:r w:rsidR="000C0A65">
              <w:rPr>
                <w:rFonts w:eastAsia="Calibri"/>
                <w:bCs/>
                <w:color w:val="000000"/>
                <w:sz w:val="24"/>
                <w:szCs w:val="24"/>
                <w:lang w:val="lt-LT" w:eastAsia="lt-LT"/>
              </w:rPr>
              <w:t xml:space="preserve">elektromobilį </w:t>
            </w:r>
            <w:r w:rsidR="001F05CA" w:rsidRPr="001F05CA">
              <w:rPr>
                <w:rFonts w:eastAsia="Calibri"/>
                <w:bCs/>
                <w:color w:val="000000"/>
                <w:sz w:val="24"/>
                <w:szCs w:val="24"/>
                <w:lang w:val="lt-LT" w:eastAsia="lt-LT"/>
              </w:rPr>
              <w:t>automobil</w:t>
            </w:r>
            <w:r w:rsidR="001F05CA">
              <w:rPr>
                <w:rFonts w:eastAsia="Calibri"/>
                <w:bCs/>
                <w:color w:val="000000"/>
                <w:sz w:val="24"/>
                <w:szCs w:val="24"/>
                <w:lang w:val="lt-LT" w:eastAsia="lt-LT"/>
              </w:rPr>
              <w:t xml:space="preserve">į </w:t>
            </w:r>
            <w:r w:rsidR="001F05CA" w:rsidRPr="001F05CA">
              <w:rPr>
                <w:rFonts w:eastAsia="Calibri"/>
                <w:bCs/>
                <w:color w:val="000000"/>
                <w:sz w:val="24"/>
                <w:szCs w:val="24"/>
                <w:lang w:val="lt-LT" w:eastAsia="lt-LT"/>
              </w:rPr>
              <w:t>(</w:t>
            </w:r>
            <w:r w:rsidR="001F05CA">
              <w:rPr>
                <w:rFonts w:eastAsia="Calibri"/>
                <w:bCs/>
                <w:color w:val="000000"/>
                <w:sz w:val="24"/>
                <w:szCs w:val="24"/>
                <w:lang w:val="lt-LT" w:eastAsia="lt-LT"/>
              </w:rPr>
              <w:t>M</w:t>
            </w:r>
            <w:r w:rsidR="001F05CA" w:rsidRPr="001F05CA">
              <w:rPr>
                <w:rFonts w:eastAsia="Calibri"/>
                <w:bCs/>
                <w:color w:val="000000"/>
                <w:sz w:val="24"/>
                <w:szCs w:val="24"/>
                <w:lang w:val="lt-LT" w:eastAsia="lt-LT"/>
              </w:rPr>
              <w:t>1 klasės</w:t>
            </w:r>
            <w:r w:rsidR="00AF42A3">
              <w:rPr>
                <w:rFonts w:eastAsia="Calibri"/>
                <w:bCs/>
                <w:color w:val="000000"/>
                <w:sz w:val="24"/>
                <w:szCs w:val="24"/>
                <w:lang w:val="lt-LT" w:eastAsia="lt-LT"/>
              </w:rPr>
              <w:t>).</w:t>
            </w:r>
            <w:r>
              <w:rPr>
                <w:rFonts w:eastAsia="Calibri"/>
                <w:bCs/>
                <w:color w:val="000000"/>
                <w:sz w:val="24"/>
                <w:szCs w:val="24"/>
                <w:lang w:val="lt-LT" w:eastAsia="lt-LT"/>
              </w:rPr>
              <w:t xml:space="preserve"> </w:t>
            </w:r>
          </w:p>
          <w:p w14:paraId="13D97914" w14:textId="18749820" w:rsidR="00330529" w:rsidRPr="00330529" w:rsidRDefault="00330529" w:rsidP="00330529">
            <w:pPr>
              <w:tabs>
                <w:tab w:val="left" w:pos="0"/>
              </w:tabs>
              <w:jc w:val="both"/>
              <w:rPr>
                <w:sz w:val="24"/>
                <w:szCs w:val="24"/>
                <w:lang w:val="lt-LT" w:eastAsia="lt-LT"/>
              </w:rPr>
            </w:pPr>
          </w:p>
        </w:tc>
      </w:tr>
      <w:tr w:rsidR="00694742" w:rsidRPr="0039316F"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40AC0D58" w14:textId="77777777" w:rsidR="00335386" w:rsidRDefault="00AF42A3" w:rsidP="00330529">
            <w:pPr>
              <w:suppressAutoHyphens/>
              <w:spacing w:after="200" w:line="276" w:lineRule="auto"/>
              <w:jc w:val="both"/>
              <w:rPr>
                <w:kern w:val="2"/>
                <w:sz w:val="24"/>
                <w:szCs w:val="24"/>
                <w:lang w:val="lt-LT"/>
              </w:rPr>
            </w:pPr>
            <w:r w:rsidRPr="000C0A65">
              <w:rPr>
                <w:rFonts w:eastAsia="Calibri" w:cs="Calibri"/>
                <w:b/>
                <w:bCs/>
                <w:kern w:val="1"/>
                <w:sz w:val="24"/>
                <w:szCs w:val="22"/>
                <w:lang w:val="lt-LT" w:eastAsia="ar-SA"/>
              </w:rPr>
              <w:t>4</w:t>
            </w:r>
            <w:r w:rsidR="00330529" w:rsidRPr="000C0A65">
              <w:rPr>
                <w:rFonts w:eastAsia="Calibri" w:cs="Calibri"/>
                <w:b/>
                <w:bCs/>
                <w:kern w:val="1"/>
                <w:sz w:val="24"/>
                <w:szCs w:val="22"/>
                <w:lang w:val="lt-LT" w:eastAsia="ar-SA"/>
              </w:rPr>
              <w:t xml:space="preserve"> mėnesi</w:t>
            </w:r>
            <w:r w:rsidR="00C47BBA" w:rsidRPr="000C0A65">
              <w:rPr>
                <w:rFonts w:eastAsia="Calibri" w:cs="Calibri"/>
                <w:b/>
                <w:bCs/>
                <w:kern w:val="1"/>
                <w:sz w:val="24"/>
                <w:szCs w:val="22"/>
                <w:lang w:val="lt-LT" w:eastAsia="ar-SA"/>
              </w:rPr>
              <w:t>ai</w:t>
            </w:r>
            <w:r w:rsidR="00330529" w:rsidRPr="000C0A65">
              <w:rPr>
                <w:rFonts w:eastAsia="Calibri" w:cs="Calibri"/>
                <w:kern w:val="1"/>
                <w:sz w:val="24"/>
                <w:szCs w:val="22"/>
                <w:lang w:val="lt-LT" w:eastAsia="ar-SA"/>
              </w:rPr>
              <w:t xml:space="preserve"> </w:t>
            </w:r>
            <w:r w:rsidR="00330529" w:rsidRPr="00C47BBA">
              <w:rPr>
                <w:rFonts w:eastAsia="Calibri" w:cs="Calibri"/>
                <w:color w:val="000000" w:themeColor="text1"/>
                <w:kern w:val="1"/>
                <w:sz w:val="24"/>
                <w:szCs w:val="22"/>
                <w:lang w:val="lt-LT" w:eastAsia="ar-SA"/>
              </w:rPr>
              <w:t>nuo pirkimo sutarties sudarymo dienos</w:t>
            </w:r>
            <w:r w:rsidR="00C47BBA">
              <w:rPr>
                <w:rFonts w:eastAsia="Calibri" w:cs="Calibri"/>
                <w:color w:val="000000" w:themeColor="text1"/>
                <w:kern w:val="1"/>
                <w:sz w:val="24"/>
                <w:szCs w:val="22"/>
                <w:lang w:val="lt-LT" w:eastAsia="ar-SA"/>
              </w:rPr>
              <w:t>.</w:t>
            </w:r>
            <w:r w:rsidR="00335386" w:rsidRPr="00335386">
              <w:rPr>
                <w:kern w:val="2"/>
                <w:sz w:val="24"/>
                <w:szCs w:val="24"/>
                <w:lang w:val="lt-LT"/>
              </w:rPr>
              <w:t xml:space="preserve"> </w:t>
            </w:r>
          </w:p>
          <w:p w14:paraId="197FAEA5" w14:textId="566A6346" w:rsidR="00694742" w:rsidRPr="007A75EC" w:rsidRDefault="00335386" w:rsidP="00330529">
            <w:pPr>
              <w:suppressAutoHyphens/>
              <w:spacing w:after="200" w:line="276" w:lineRule="auto"/>
              <w:jc w:val="both"/>
              <w:rPr>
                <w:rFonts w:eastAsia="Calibri" w:cs="Calibri"/>
                <w:color w:val="000000" w:themeColor="text1"/>
                <w:kern w:val="1"/>
                <w:sz w:val="24"/>
                <w:szCs w:val="22"/>
                <w:highlight w:val="yellow"/>
                <w:lang w:val="lt-LT" w:eastAsia="ar-SA"/>
              </w:rPr>
            </w:pPr>
            <w:r w:rsidRPr="00335386">
              <w:rPr>
                <w:rFonts w:eastAsia="Calibri" w:cs="Calibri"/>
                <w:color w:val="000000" w:themeColor="text1"/>
                <w:kern w:val="1"/>
                <w:sz w:val="24"/>
                <w:szCs w:val="22"/>
                <w:lang w:val="lt-LT" w:eastAsia="ar-SA"/>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335386">
              <w:rPr>
                <w:rFonts w:eastAsia="Calibri" w:cs="Calibri"/>
                <w:b/>
                <w:bCs/>
                <w:color w:val="000000" w:themeColor="text1"/>
                <w:kern w:val="1"/>
                <w:sz w:val="24"/>
                <w:szCs w:val="22"/>
                <w:lang w:val="lt-LT" w:eastAsia="ar-SA"/>
              </w:rPr>
              <w:t>10 kalendorinių dienų</w:t>
            </w:r>
            <w:r w:rsidRPr="00335386">
              <w:rPr>
                <w:rFonts w:eastAsia="Calibri" w:cs="Calibri"/>
                <w:color w:val="000000" w:themeColor="text1"/>
                <w:kern w:val="1"/>
                <w:sz w:val="24"/>
                <w:szCs w:val="22"/>
                <w:lang w:val="lt-LT" w:eastAsia="ar-SA"/>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335386">
              <w:rPr>
                <w:rFonts w:eastAsia="Calibri" w:cs="Calibri"/>
                <w:b/>
                <w:bCs/>
                <w:color w:val="000000" w:themeColor="text1"/>
                <w:kern w:val="1"/>
                <w:sz w:val="24"/>
                <w:szCs w:val="22"/>
                <w:lang w:val="lt-LT" w:eastAsia="ar-SA"/>
              </w:rPr>
              <w:t>1 (vieno) mėnesio</w:t>
            </w:r>
            <w:r w:rsidRPr="00335386">
              <w:rPr>
                <w:rFonts w:eastAsia="Calibri" w:cs="Calibri"/>
                <w:color w:val="000000" w:themeColor="text1"/>
                <w:kern w:val="1"/>
                <w:sz w:val="24"/>
                <w:szCs w:val="22"/>
                <w:lang w:val="lt-LT" w:eastAsia="ar-SA"/>
              </w:rPr>
              <w:t xml:space="preserve"> laikotarpiui.</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5015BFC0" w:rsidR="00097505" w:rsidRPr="007A75EC" w:rsidRDefault="00AF42A3" w:rsidP="00960F23">
            <w:pPr>
              <w:jc w:val="both"/>
              <w:rPr>
                <w:sz w:val="24"/>
                <w:szCs w:val="24"/>
                <w:highlight w:val="yellow"/>
                <w:lang w:val="lt-LT" w:eastAsia="lt-LT"/>
              </w:rPr>
            </w:pPr>
            <w:r w:rsidRPr="000C0A65">
              <w:rPr>
                <w:b/>
                <w:bCs/>
                <w:sz w:val="24"/>
                <w:szCs w:val="24"/>
                <w:lang w:val="lt-LT" w:eastAsia="lt-LT"/>
              </w:rPr>
              <w:t>3</w:t>
            </w:r>
            <w:r w:rsidR="00335386" w:rsidRPr="000C0A65">
              <w:rPr>
                <w:b/>
                <w:bCs/>
                <w:sz w:val="24"/>
                <w:szCs w:val="24"/>
                <w:lang w:val="lt-LT" w:eastAsia="lt-LT"/>
              </w:rPr>
              <w:t>3057,85</w:t>
            </w:r>
            <w:r w:rsidR="00AC15B9" w:rsidRPr="000C0A65">
              <w:rPr>
                <w:b/>
                <w:bCs/>
                <w:sz w:val="24"/>
                <w:szCs w:val="24"/>
                <w:lang w:val="lt-LT" w:eastAsia="lt-LT"/>
              </w:rPr>
              <w:t xml:space="preserve"> Eur</w:t>
            </w:r>
            <w:r w:rsidR="0083606D" w:rsidRPr="000C0A65">
              <w:rPr>
                <w:b/>
                <w:bCs/>
                <w:sz w:val="24"/>
                <w:szCs w:val="24"/>
                <w:lang w:val="lt-LT" w:eastAsia="lt-LT"/>
              </w:rPr>
              <w:t xml:space="preserve"> </w:t>
            </w:r>
            <w:r w:rsidR="001D1827" w:rsidRPr="000C0A65">
              <w:rPr>
                <w:b/>
                <w:bCs/>
                <w:sz w:val="24"/>
                <w:szCs w:val="24"/>
                <w:lang w:val="lt-LT" w:eastAsia="lt-LT"/>
              </w:rPr>
              <w:t>be</w:t>
            </w:r>
            <w:r w:rsidR="0083606D" w:rsidRPr="000C0A65">
              <w:rPr>
                <w:b/>
                <w:bCs/>
                <w:sz w:val="24"/>
                <w:szCs w:val="24"/>
                <w:lang w:val="lt-LT" w:eastAsia="lt-LT"/>
              </w:rPr>
              <w:t xml:space="preserve"> PVM</w:t>
            </w:r>
            <w:r w:rsidR="0083606D" w:rsidRPr="00262884">
              <w:rPr>
                <w:sz w:val="24"/>
                <w:szCs w:val="24"/>
                <w:lang w:val="lt-LT" w:eastAsia="lt-LT"/>
              </w:rPr>
              <w:t>.</w:t>
            </w:r>
            <w:r w:rsidR="00AC15B9">
              <w:rPr>
                <w:sz w:val="24"/>
                <w:szCs w:val="24"/>
                <w:lang w:val="lt-LT" w:eastAsia="lt-LT"/>
              </w:rPr>
              <w:t xml:space="preserve"> </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63E1494A"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1F05CA" w:rsidRPr="001F05CA">
              <w:rPr>
                <w:bCs/>
                <w:sz w:val="24"/>
                <w:szCs w:val="24"/>
                <w:lang w:val="lt-LT"/>
              </w:rPr>
              <w:t>Lengvojo automobilio (</w:t>
            </w:r>
            <w:r w:rsidR="007D0231">
              <w:rPr>
                <w:bCs/>
                <w:sz w:val="24"/>
                <w:szCs w:val="24"/>
                <w:lang w:val="lt-LT"/>
              </w:rPr>
              <w:t>M</w:t>
            </w:r>
            <w:r w:rsidR="001F05CA" w:rsidRPr="001F05CA">
              <w:rPr>
                <w:bCs/>
                <w:sz w:val="24"/>
                <w:szCs w:val="24"/>
                <w:lang w:val="lt-LT"/>
              </w:rPr>
              <w:t>1 klasės</w:t>
            </w:r>
            <w:r w:rsidR="00AF42A3">
              <w:rPr>
                <w:bCs/>
                <w:sz w:val="24"/>
                <w:szCs w:val="24"/>
                <w:lang w:val="lt-LT"/>
              </w:rPr>
              <w:t>)</w:t>
            </w:r>
            <w:r w:rsidR="001F05CA" w:rsidRPr="001F05CA">
              <w:rPr>
                <w:bCs/>
                <w:sz w:val="24"/>
                <w:szCs w:val="24"/>
                <w:lang w:val="lt-LT"/>
              </w:rPr>
              <w:t>pirkimas</w:t>
            </w:r>
            <w:r w:rsidR="001F05CA">
              <w:rPr>
                <w:bCs/>
                <w:sz w:val="24"/>
                <w:szCs w:val="24"/>
                <w:lang w:val="lt-LT"/>
              </w:rPr>
              <w:t>“</w:t>
            </w:r>
            <w:r w:rsidR="005507A6">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 xml:space="preserve">pastabų ir pasiūlymų </w:t>
            </w:r>
            <w:r w:rsidRPr="00D5756D">
              <w:rPr>
                <w:b/>
                <w:sz w:val="24"/>
                <w:szCs w:val="24"/>
                <w:lang w:val="lt-LT"/>
              </w:rPr>
              <w:lastRenderedPageBreak/>
              <w:t>pateikimo terminas:</w:t>
            </w:r>
          </w:p>
        </w:tc>
        <w:tc>
          <w:tcPr>
            <w:tcW w:w="7911" w:type="dxa"/>
          </w:tcPr>
          <w:p w14:paraId="3FAE71FB" w14:textId="4DC663A0"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lastRenderedPageBreak/>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E307EA">
              <w:rPr>
                <w:b/>
                <w:bCs/>
                <w:sz w:val="24"/>
                <w:szCs w:val="24"/>
                <w:lang w:val="lt-LT"/>
              </w:rPr>
              <w:t>5</w:t>
            </w:r>
            <w:r w:rsidR="009E0D20" w:rsidRPr="00262884">
              <w:rPr>
                <w:b/>
                <w:bCs/>
                <w:sz w:val="24"/>
                <w:szCs w:val="24"/>
                <w:lang w:val="lt-LT"/>
              </w:rPr>
              <w:t xml:space="preserve"> m. </w:t>
            </w:r>
            <w:r w:rsidR="00335386">
              <w:rPr>
                <w:b/>
                <w:bCs/>
                <w:sz w:val="24"/>
                <w:szCs w:val="24"/>
                <w:lang w:val="lt-LT"/>
              </w:rPr>
              <w:t>rugsėjo 4</w:t>
            </w:r>
            <w:r w:rsidR="00262185" w:rsidRPr="00262884">
              <w:rPr>
                <w:b/>
                <w:bCs/>
                <w:sz w:val="24"/>
                <w:szCs w:val="24"/>
                <w:lang w:val="lt-LT"/>
              </w:rPr>
              <w:t xml:space="preserve"> </w:t>
            </w:r>
            <w:r w:rsidR="009E0D20" w:rsidRPr="00262884">
              <w:rPr>
                <w:b/>
                <w:bCs/>
                <w:sz w:val="24"/>
                <w:szCs w:val="24"/>
                <w:lang w:val="lt-LT"/>
              </w:rPr>
              <w:t xml:space="preserve">d. </w:t>
            </w:r>
            <w:r w:rsidR="00A77A6D" w:rsidRPr="00262884">
              <w:rPr>
                <w:b/>
                <w:bCs/>
                <w:sz w:val="24"/>
                <w:szCs w:val="24"/>
                <w:lang w:val="lt-LT"/>
              </w:rPr>
              <w:t>1</w:t>
            </w:r>
            <w:r w:rsidR="00AF52F7">
              <w:rPr>
                <w:b/>
                <w:bCs/>
                <w:sz w:val="24"/>
                <w:szCs w:val="24"/>
                <w:lang w:val="lt-LT"/>
              </w:rPr>
              <w:t>1</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lastRenderedPageBreak/>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lastRenderedPageBreak/>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el. p. </w:t>
            </w:r>
            <w:r w:rsidR="00E307EA">
              <w:rPr>
                <w:sz w:val="24"/>
                <w:szCs w:val="24"/>
                <w:lang w:val="lt-LT"/>
              </w:rPr>
              <w:t>jolanta.ignotiene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2FA4F45C" w14:textId="573FF271" w:rsidR="008A59B8" w:rsidRPr="006673EF" w:rsidRDefault="008A59B8" w:rsidP="002E4C70">
            <w:pPr>
              <w:numPr>
                <w:ilvl w:val="0"/>
                <w:numId w:val="33"/>
              </w:numPr>
              <w:jc w:val="both"/>
              <w:rPr>
                <w:sz w:val="24"/>
                <w:szCs w:val="24"/>
                <w:lang w:val="lt-LT"/>
              </w:rPr>
            </w:pPr>
            <w:r w:rsidRPr="008A59B8">
              <w:rPr>
                <w:sz w:val="24"/>
                <w:szCs w:val="24"/>
                <w:lang w:val="lt-LT"/>
              </w:rPr>
              <w:t>Tiek</w:t>
            </w:r>
            <w:r w:rsidR="000C0A65">
              <w:rPr>
                <w:sz w:val="24"/>
                <w:szCs w:val="24"/>
                <w:lang w:val="lt-LT"/>
              </w:rPr>
              <w:t>ė</w:t>
            </w:r>
            <w:r w:rsidRPr="008A59B8">
              <w:rPr>
                <w:sz w:val="24"/>
                <w:szCs w:val="24"/>
                <w:lang w:val="lt-LT"/>
              </w:rPr>
              <w:t>ju pa</w:t>
            </w:r>
            <w:r w:rsidR="000C0A65">
              <w:rPr>
                <w:sz w:val="24"/>
                <w:szCs w:val="24"/>
                <w:lang w:val="lt-LT"/>
              </w:rPr>
              <w:t>š</w:t>
            </w:r>
            <w:r w:rsidRPr="008A59B8">
              <w:rPr>
                <w:sz w:val="24"/>
                <w:szCs w:val="24"/>
                <w:lang w:val="lt-LT"/>
              </w:rPr>
              <w:t>alinimo pagrindai_0828</w:t>
            </w:r>
            <w:r>
              <w:rPr>
                <w:sz w:val="24"/>
                <w:szCs w:val="24"/>
                <w:lang w:val="lt-LT"/>
              </w:rPr>
              <w:t xml:space="preserve"> (Priedas Nr. 3)</w:t>
            </w:r>
          </w:p>
          <w:p w14:paraId="382A65D8" w14:textId="6AD643DE"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8A59B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C2D6" w14:textId="77777777" w:rsidR="00730873" w:rsidRDefault="00730873">
      <w:r>
        <w:separator/>
      </w:r>
    </w:p>
  </w:endnote>
  <w:endnote w:type="continuationSeparator" w:id="0">
    <w:p w14:paraId="098DA806" w14:textId="77777777" w:rsidR="00730873" w:rsidRDefault="0073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7C21" w14:textId="77777777" w:rsidR="00730873" w:rsidRDefault="00730873">
      <w:r>
        <w:separator/>
      </w:r>
    </w:p>
  </w:footnote>
  <w:footnote w:type="continuationSeparator" w:id="0">
    <w:p w14:paraId="2E6EE04D" w14:textId="77777777" w:rsidR="00730873" w:rsidRDefault="0073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879F6"/>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0A65"/>
    <w:rsid w:val="000C1ED1"/>
    <w:rsid w:val="000C2D22"/>
    <w:rsid w:val="000C5A31"/>
    <w:rsid w:val="000C665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239"/>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386"/>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ED"/>
    <w:rsid w:val="003D2A6A"/>
    <w:rsid w:val="003D506E"/>
    <w:rsid w:val="003E0C84"/>
    <w:rsid w:val="003E193D"/>
    <w:rsid w:val="003E231F"/>
    <w:rsid w:val="003E40BC"/>
    <w:rsid w:val="003E5F7A"/>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5C8"/>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0894"/>
    <w:rsid w:val="006A311E"/>
    <w:rsid w:val="006A3DB5"/>
    <w:rsid w:val="006A79A6"/>
    <w:rsid w:val="006B2310"/>
    <w:rsid w:val="006B273D"/>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873"/>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59B8"/>
    <w:rsid w:val="008A6C6A"/>
    <w:rsid w:val="008A7C71"/>
    <w:rsid w:val="008B36C5"/>
    <w:rsid w:val="008B3AF4"/>
    <w:rsid w:val="008B3E23"/>
    <w:rsid w:val="008B495E"/>
    <w:rsid w:val="008B575A"/>
    <w:rsid w:val="008B6A69"/>
    <w:rsid w:val="008B6CB7"/>
    <w:rsid w:val="008C33F2"/>
    <w:rsid w:val="008C652C"/>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25D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7289"/>
    <w:rsid w:val="00AF083E"/>
    <w:rsid w:val="00AF1A9C"/>
    <w:rsid w:val="00AF406B"/>
    <w:rsid w:val="00AF42A3"/>
    <w:rsid w:val="00AF52F7"/>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4FA0"/>
    <w:rsid w:val="00F07BDE"/>
    <w:rsid w:val="00F07EB1"/>
    <w:rsid w:val="00F10697"/>
    <w:rsid w:val="00F1190F"/>
    <w:rsid w:val="00F1414F"/>
    <w:rsid w:val="00F15D37"/>
    <w:rsid w:val="00F20ADA"/>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3073</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13</cp:revision>
  <cp:lastPrinted>2025-04-22T12:55:00Z</cp:lastPrinted>
  <dcterms:created xsi:type="dcterms:W3CDTF">2025-04-22T12:51:00Z</dcterms:created>
  <dcterms:modified xsi:type="dcterms:W3CDTF">2025-08-28T05:40:00Z</dcterms:modified>
</cp:coreProperties>
</file>