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0ED29A24" w:rsidR="00D11A29" w:rsidRPr="00EF1EF3" w:rsidRDefault="00EF1EF3">
            <w:pPr>
              <w:jc w:val="both"/>
              <w:rPr>
                <w:i/>
                <w:iCs/>
                <w:kern w:val="2"/>
                <w:szCs w:val="24"/>
              </w:rPr>
            </w:pPr>
            <w:r w:rsidRPr="00EF1EF3">
              <w:rPr>
                <w:i/>
                <w:iCs/>
                <w:kern w:val="2"/>
                <w:szCs w:val="24"/>
              </w:rPr>
              <w:t>Dviračių stoginės pirkimo – 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57C8C94" w:rsidR="00D11A29" w:rsidRDefault="00820150" w:rsidP="00D24702">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EF1EF3" w:rsidRPr="00D24702">
              <w:rPr>
                <w:i/>
                <w:iCs/>
                <w:kern w:val="2"/>
                <w:szCs w:val="24"/>
              </w:rPr>
              <w:t>– dviračių stoginę</w:t>
            </w:r>
            <w:r w:rsidRPr="00D24702">
              <w:rPr>
                <w:kern w:val="2"/>
                <w:szCs w:val="24"/>
              </w:rPr>
              <w:t xml:space="preserve"> </w:t>
            </w:r>
            <w:r>
              <w:rPr>
                <w:color w:val="000000"/>
                <w:kern w:val="2"/>
                <w:szCs w:val="24"/>
              </w:rPr>
              <w:t>(toliau – Prekės)</w:t>
            </w:r>
            <w:r w:rsidR="00814E9A">
              <w:rPr>
                <w:color w:val="000000"/>
                <w:kern w:val="2"/>
                <w:szCs w:val="24"/>
              </w:rPr>
              <w:t xml:space="preserve"> </w:t>
            </w:r>
            <w:r w:rsidR="00814E9A" w:rsidRPr="00814E9A">
              <w:rPr>
                <w:color w:val="000000"/>
                <w:kern w:val="2"/>
                <w:szCs w:val="24"/>
              </w:rPr>
              <w:t xml:space="preserve">įskaitant </w:t>
            </w:r>
            <w:r w:rsidR="00D24702">
              <w:rPr>
                <w:color w:val="000000"/>
                <w:kern w:val="2"/>
                <w:szCs w:val="24"/>
              </w:rPr>
              <w:t xml:space="preserve">Prekės </w:t>
            </w:r>
            <w:r w:rsidR="00814E9A" w:rsidRPr="00814E9A">
              <w:rPr>
                <w:color w:val="000000"/>
                <w:kern w:val="2"/>
                <w:szCs w:val="24"/>
              </w:rPr>
              <w:t>pristatymą ir </w:t>
            </w:r>
            <w:r w:rsidR="00814E9A" w:rsidRPr="00D24702">
              <w:rPr>
                <w:color w:val="000000"/>
                <w:kern w:val="2"/>
                <w:szCs w:val="24"/>
              </w:rPr>
              <w:t>sumontavimą</w:t>
            </w:r>
            <w:r w:rsidRPr="00D24702">
              <w:rPr>
                <w:color w:val="000000"/>
                <w:kern w:val="2"/>
                <w:szCs w:val="24"/>
              </w:rPr>
              <w:t>.</w:t>
            </w:r>
          </w:p>
          <w:p w14:paraId="7D10E561" w14:textId="77777777" w:rsidR="00D24702" w:rsidRDefault="00D24702" w:rsidP="00D24702">
            <w:pPr>
              <w:jc w:val="both"/>
              <w:rPr>
                <w:color w:val="000000"/>
                <w:kern w:val="2"/>
                <w:szCs w:val="24"/>
              </w:rPr>
            </w:pPr>
          </w:p>
          <w:p w14:paraId="1629696D" w14:textId="77777777" w:rsidR="00D11A29" w:rsidRDefault="00820150" w:rsidP="00D24702">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62E12E55"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A129F" w14:textId="1DF94963" w:rsidR="00D11A29" w:rsidRDefault="008201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3E1CCDF" w14:textId="2A60E5B1" w:rsidR="00D11A29" w:rsidRPr="007C676D" w:rsidRDefault="00820150" w:rsidP="007C676D">
            <w:pPr>
              <w:jc w:val="both"/>
              <w:rPr>
                <w:kern w:val="2"/>
                <w:szCs w:val="24"/>
              </w:rPr>
            </w:pPr>
            <w:r w:rsidRPr="007C676D">
              <w:rPr>
                <w:kern w:val="2"/>
                <w:szCs w:val="24"/>
              </w:rPr>
              <w:t xml:space="preserve">Tiekėjas Prekes (visą Prekių kiekį) įsipareigoja pristatyti </w:t>
            </w:r>
            <w:r w:rsidRPr="007C676D">
              <w:rPr>
                <w:b/>
                <w:bCs/>
                <w:kern w:val="2"/>
                <w:szCs w:val="24"/>
              </w:rPr>
              <w:t>ne vėliau kaip per</w:t>
            </w:r>
            <w:r w:rsidRPr="007C676D">
              <w:rPr>
                <w:kern w:val="2"/>
                <w:szCs w:val="24"/>
              </w:rPr>
              <w:t xml:space="preserve"> </w:t>
            </w:r>
            <w:r w:rsidR="00442A37" w:rsidRPr="007C676D">
              <w:rPr>
                <w:kern w:val="2"/>
                <w:szCs w:val="24"/>
              </w:rPr>
              <w:t xml:space="preserve">6 </w:t>
            </w:r>
            <w:r w:rsidR="00442A37" w:rsidRPr="007C676D">
              <w:rPr>
                <w:i/>
                <w:iCs/>
                <w:kern w:val="2"/>
                <w:szCs w:val="24"/>
              </w:rPr>
              <w:t>(šešis)</w:t>
            </w:r>
            <w:r w:rsidR="00442A37" w:rsidRPr="007C676D">
              <w:rPr>
                <w:kern w:val="2"/>
                <w:szCs w:val="24"/>
              </w:rPr>
              <w:t xml:space="preserve"> mėnesius</w:t>
            </w:r>
            <w:r w:rsidRPr="007C676D">
              <w:rPr>
                <w:kern w:val="2"/>
                <w:szCs w:val="24"/>
              </w:rPr>
              <w:t xml:space="preserve"> nuo Sutarties įsigaliojimo dienos šiuo adresu:</w:t>
            </w:r>
            <w:r w:rsidR="007C676D" w:rsidRPr="007C676D">
              <w:rPr>
                <w:kern w:val="2"/>
                <w:szCs w:val="24"/>
              </w:rPr>
              <w:t xml:space="preserve"> A. Mickevičiaus g. 9, Kaunas</w:t>
            </w:r>
            <w:r w:rsidR="007C676D">
              <w:rPr>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67201E8"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34FE45BC"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F4C4E6E"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A9BC7CC" w14:textId="77777777" w:rsidR="0092404A" w:rsidRPr="00F34007" w:rsidRDefault="00820150" w:rsidP="00F34007">
            <w:pPr>
              <w:jc w:val="both"/>
              <w:rPr>
                <w:kern w:val="2"/>
                <w:szCs w:val="24"/>
              </w:rPr>
            </w:pPr>
            <w:r w:rsidRPr="00F34007">
              <w:rPr>
                <w:kern w:val="2"/>
                <w:szCs w:val="24"/>
              </w:rPr>
              <w:t xml:space="preserve">Kartu su Prekėmis pateikiami šie dokumentai: </w:t>
            </w:r>
          </w:p>
          <w:p w14:paraId="0727A327" w14:textId="77777777" w:rsidR="0092404A" w:rsidRPr="00F34007" w:rsidRDefault="00820150" w:rsidP="00F34007">
            <w:pPr>
              <w:jc w:val="both"/>
              <w:rPr>
                <w:kern w:val="2"/>
                <w:szCs w:val="24"/>
              </w:rPr>
            </w:pPr>
            <w:r w:rsidRPr="00F34007">
              <w:rPr>
                <w:kern w:val="2"/>
                <w:szCs w:val="24"/>
              </w:rPr>
              <w:t xml:space="preserve">Prekių perdavimo-priėmimo aktas. </w:t>
            </w:r>
          </w:p>
          <w:p w14:paraId="31AEF1F5" w14:textId="77777777" w:rsidR="0092404A" w:rsidRPr="00F34007" w:rsidRDefault="0092404A" w:rsidP="00F34007">
            <w:pPr>
              <w:jc w:val="both"/>
              <w:rPr>
                <w:kern w:val="2"/>
                <w:szCs w:val="24"/>
              </w:rPr>
            </w:pPr>
          </w:p>
          <w:p w14:paraId="1257EFCC" w14:textId="16AACE09" w:rsidR="00D11A29" w:rsidRDefault="00820150" w:rsidP="00F34007">
            <w:pPr>
              <w:jc w:val="both"/>
              <w:rPr>
                <w:kern w:val="2"/>
                <w:szCs w:val="24"/>
              </w:rPr>
            </w:pPr>
            <w:r w:rsidRPr="00F34007">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0A538C49"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F3400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F3400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F3400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F3400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BA1B24E" w14:textId="77777777" w:rsidR="00F34007" w:rsidRDefault="00F34007" w:rsidP="00F34007">
            <w:pPr>
              <w:jc w:val="both"/>
              <w:rPr>
                <w:kern w:val="2"/>
                <w:szCs w:val="24"/>
              </w:rPr>
            </w:pPr>
          </w:p>
          <w:p w14:paraId="56FDF717" w14:textId="77777777" w:rsidR="00D11A29" w:rsidRDefault="00820150" w:rsidP="00F34007">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77777777" w:rsidR="00D11A29" w:rsidRPr="00260366" w:rsidRDefault="00820150" w:rsidP="00260366">
            <w:pPr>
              <w:jc w:val="both"/>
              <w:rPr>
                <w:kern w:val="2"/>
                <w:szCs w:val="24"/>
              </w:rPr>
            </w:pPr>
            <w:r w:rsidRPr="00260366">
              <w:rPr>
                <w:kern w:val="2"/>
                <w:szCs w:val="24"/>
              </w:rPr>
              <w:t>Sutarties kaina / įkainiai bus perskaičiuojami:</w:t>
            </w:r>
          </w:p>
          <w:p w14:paraId="3EF5C172" w14:textId="77777777" w:rsidR="00D11A29" w:rsidRPr="00260366" w:rsidRDefault="00820150" w:rsidP="00260366">
            <w:pPr>
              <w:jc w:val="both"/>
              <w:rPr>
                <w:kern w:val="2"/>
                <w:szCs w:val="24"/>
              </w:rPr>
            </w:pPr>
            <w:r w:rsidRPr="00260366">
              <w:rPr>
                <w:kern w:val="2"/>
                <w:szCs w:val="24"/>
              </w:rPr>
              <w:t>5.3.1. dėl PVM tarifo pasikeitimo;</w:t>
            </w:r>
          </w:p>
          <w:p w14:paraId="750B11F2" w14:textId="77777777" w:rsidR="00D11A29" w:rsidRPr="00260366" w:rsidRDefault="00820150" w:rsidP="00260366">
            <w:pPr>
              <w:jc w:val="both"/>
              <w:rPr>
                <w:kern w:val="2"/>
                <w:szCs w:val="24"/>
              </w:rPr>
            </w:pPr>
            <w:r w:rsidRPr="00260366">
              <w:rPr>
                <w:kern w:val="2"/>
                <w:szCs w:val="24"/>
              </w:rPr>
              <w:t>5.3.2. dėl kitų mokesčių, lemiančių Prekių kainos pokytį, pasikeitimo (nurodyti mokesčius, dėl kurių bus atliekamas perskaičiavimas);</w:t>
            </w:r>
          </w:p>
          <w:p w14:paraId="44BC6175" w14:textId="77777777" w:rsidR="00D11A29" w:rsidRPr="00260366" w:rsidRDefault="00820150" w:rsidP="00260366">
            <w:pPr>
              <w:jc w:val="both"/>
              <w:rPr>
                <w:kern w:val="2"/>
                <w:szCs w:val="24"/>
              </w:rPr>
            </w:pPr>
            <w:r w:rsidRPr="00260366">
              <w:rPr>
                <w:kern w:val="2"/>
                <w:szCs w:val="24"/>
              </w:rPr>
              <w:t>5.3.3. dėl kainų lygio pokyčio;</w:t>
            </w:r>
          </w:p>
          <w:p w14:paraId="09F398C1" w14:textId="77777777" w:rsidR="00D11A29" w:rsidRDefault="00820150" w:rsidP="00260366">
            <w:pPr>
              <w:jc w:val="both"/>
              <w:rPr>
                <w:color w:val="FF0000"/>
                <w:kern w:val="2"/>
              </w:rPr>
            </w:pPr>
            <w:r w:rsidRPr="00260366">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26036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ED4F00F" w14:textId="77777777" w:rsidR="00260366" w:rsidRDefault="00260366" w:rsidP="00260366">
            <w:pPr>
              <w:jc w:val="both"/>
              <w:rPr>
                <w:kern w:val="2"/>
              </w:rPr>
            </w:pPr>
          </w:p>
          <w:p w14:paraId="4FE918CF" w14:textId="238D4D23" w:rsidR="00D11A29" w:rsidRDefault="00820150" w:rsidP="0026036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1412B5D"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75FCF267"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67F66D0" w14:textId="77777777" w:rsidR="00F97B4B" w:rsidRPr="0075134B" w:rsidRDefault="00F97B4B" w:rsidP="00F97B4B">
            <w:pPr>
              <w:jc w:val="both"/>
              <w:rPr>
                <w:kern w:val="2"/>
                <w:szCs w:val="24"/>
              </w:rPr>
            </w:pPr>
            <w:r w:rsidRPr="0075134B">
              <w:rPr>
                <w:kern w:val="2"/>
                <w:szCs w:val="24"/>
              </w:rPr>
              <w:t xml:space="preserve">5.3.3.1 Bet kuri Sutarties šalis Sutarties galiojimo metu turi teisę inicijuoti Sutarties įkainių peržiūrą (keitimą) ne anksčiau kaip po </w:t>
            </w:r>
            <w:r w:rsidRPr="0075134B">
              <w:rPr>
                <w:b/>
                <w:bCs/>
                <w:kern w:val="2"/>
                <w:szCs w:val="24"/>
              </w:rPr>
              <w:t xml:space="preserve">6 </w:t>
            </w:r>
            <w:r w:rsidRPr="0075134B">
              <w:rPr>
                <w:b/>
                <w:bCs/>
                <w:i/>
                <w:iCs/>
                <w:kern w:val="2"/>
                <w:szCs w:val="24"/>
              </w:rPr>
              <w:t xml:space="preserve">(šešių) </w:t>
            </w:r>
            <w:r w:rsidRPr="0075134B">
              <w:rPr>
                <w:b/>
                <w:bCs/>
                <w:kern w:val="2"/>
                <w:szCs w:val="24"/>
              </w:rPr>
              <w:t>mėnesių</w:t>
            </w:r>
            <w:r w:rsidRPr="0075134B">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75134B">
              <w:rPr>
                <w:i/>
                <w:iCs/>
                <w:kern w:val="2"/>
                <w:szCs w:val="24"/>
              </w:rPr>
              <w:t>(aštuonis)</w:t>
            </w:r>
            <w:r w:rsidRPr="0075134B">
              <w:rPr>
                <w:kern w:val="2"/>
                <w:szCs w:val="24"/>
              </w:rPr>
              <w:t xml:space="preserve"> procentus Sutarties kainos peržiūra atliekama ne rečiau kaip kas </w:t>
            </w:r>
            <w:r w:rsidRPr="0075134B">
              <w:rPr>
                <w:b/>
                <w:bCs/>
                <w:kern w:val="2"/>
                <w:szCs w:val="24"/>
              </w:rPr>
              <w:t xml:space="preserve">6 </w:t>
            </w:r>
            <w:r w:rsidRPr="0075134B">
              <w:rPr>
                <w:b/>
                <w:bCs/>
                <w:i/>
                <w:iCs/>
                <w:kern w:val="2"/>
                <w:szCs w:val="24"/>
              </w:rPr>
              <w:t>(šeši)</w:t>
            </w:r>
            <w:r w:rsidRPr="0075134B">
              <w:rPr>
                <w:i/>
                <w:iCs/>
                <w:kern w:val="2"/>
                <w:szCs w:val="24"/>
              </w:rPr>
              <w:t xml:space="preserve"> </w:t>
            </w:r>
            <w:r w:rsidRPr="0075134B">
              <w:rPr>
                <w:kern w:val="2"/>
                <w:szCs w:val="24"/>
              </w:rPr>
              <w:t>mėnesiai.</w:t>
            </w:r>
          </w:p>
          <w:p w14:paraId="409814FA" w14:textId="77777777" w:rsidR="00F97B4B" w:rsidRPr="0075134B" w:rsidRDefault="00F97B4B" w:rsidP="00F97B4B">
            <w:pPr>
              <w:jc w:val="both"/>
              <w:rPr>
                <w:kern w:val="2"/>
                <w:szCs w:val="24"/>
                <w:shd w:val="clear" w:color="auto" w:fill="FFFFFF"/>
              </w:rPr>
            </w:pPr>
            <w:r w:rsidRPr="0075134B">
              <w:rPr>
                <w:kern w:val="2"/>
                <w:szCs w:val="24"/>
              </w:rPr>
              <w:t xml:space="preserve">5.3.3.2. Sutarties </w:t>
            </w:r>
            <w:r w:rsidRPr="0075134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5698560" w14:textId="77777777" w:rsidR="00F97B4B" w:rsidRPr="0075134B" w:rsidRDefault="00F97B4B" w:rsidP="00F97B4B">
            <w:pPr>
              <w:jc w:val="both"/>
              <w:rPr>
                <w:kern w:val="2"/>
                <w:szCs w:val="24"/>
                <w:shd w:val="clear" w:color="auto" w:fill="FFFFFF"/>
              </w:rPr>
            </w:pPr>
            <w:r w:rsidRPr="0075134B">
              <w:rPr>
                <w:kern w:val="2"/>
                <w:szCs w:val="24"/>
              </w:rPr>
              <w:t xml:space="preserve">5.3.3.3. </w:t>
            </w:r>
            <w:r w:rsidRPr="0075134B">
              <w:rPr>
                <w:kern w:val="2"/>
                <w:szCs w:val="24"/>
                <w:shd w:val="clear" w:color="auto" w:fill="FFFFFF"/>
              </w:rPr>
              <w:t>Jeigu Prekių tiekimas vėluoja dėl Tiekėjo kaltės, uždelstų pristatyti Prekių įkainiai nėra perskaičiuojami dėl kainų lygio kilimo (negali būti didinami).</w:t>
            </w:r>
          </w:p>
          <w:p w14:paraId="5C2E8373" w14:textId="77777777" w:rsidR="00F97B4B" w:rsidRPr="0075134B" w:rsidRDefault="00F97B4B" w:rsidP="00F97B4B">
            <w:pPr>
              <w:jc w:val="both"/>
              <w:rPr>
                <w:kern w:val="2"/>
                <w:szCs w:val="24"/>
                <w:shd w:val="clear" w:color="auto" w:fill="FFFFFF"/>
              </w:rPr>
            </w:pPr>
            <w:r w:rsidRPr="0075134B">
              <w:rPr>
                <w:kern w:val="2"/>
                <w:szCs w:val="24"/>
              </w:rPr>
              <w:t xml:space="preserve">5.3.3.4. Atlikdamos Sutarties įkainių peržiūrą </w:t>
            </w:r>
            <w:r w:rsidRPr="0075134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F75A8DE" w14:textId="77777777" w:rsidR="00F97B4B" w:rsidRPr="0075134B" w:rsidRDefault="00F97B4B" w:rsidP="00F97B4B">
            <w:pPr>
              <w:jc w:val="both"/>
              <w:rPr>
                <w:kern w:val="2"/>
                <w:szCs w:val="24"/>
                <w:shd w:val="clear" w:color="auto" w:fill="FFFFFF"/>
              </w:rPr>
            </w:pPr>
            <w:r w:rsidRPr="0075134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DC4189" w14:textId="77777777" w:rsidR="00F97B4B" w:rsidRPr="0075134B" w:rsidRDefault="00F97B4B" w:rsidP="00F97B4B">
            <w:pPr>
              <w:jc w:val="both"/>
              <w:rPr>
                <w:kern w:val="2"/>
                <w:szCs w:val="24"/>
                <w:shd w:val="clear" w:color="auto" w:fill="FFFFFF"/>
              </w:rPr>
            </w:pPr>
            <w:r w:rsidRPr="0075134B">
              <w:rPr>
                <w:kern w:val="2"/>
                <w:szCs w:val="24"/>
                <w:shd w:val="clear" w:color="auto" w:fill="FFFFFF"/>
              </w:rPr>
              <w:lastRenderedPageBreak/>
              <w:t>5.3.3.6. Nauja Sutarties įkainiai apskaičiuojami pagal žemiau pateiktą formulę:</w:t>
            </w:r>
          </w:p>
          <w:p w14:paraId="1FCB0C66" w14:textId="77777777" w:rsidR="00F97B4B" w:rsidRPr="0075134B" w:rsidRDefault="000D39AA" w:rsidP="00F97B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97B4B" w:rsidRPr="0075134B">
              <w:rPr>
                <w:kern w:val="2"/>
                <w:szCs w:val="24"/>
              </w:rPr>
              <w:t>, kur a –įkainis (Eur be PVM)) (jei peržiūra jau buvo atlikta, tai po paskutinio perskaičiavimo) </w:t>
            </w:r>
          </w:p>
          <w:p w14:paraId="4BA7608C" w14:textId="77777777" w:rsidR="00F97B4B" w:rsidRPr="0075134B" w:rsidRDefault="00F97B4B" w:rsidP="00F97B4B">
            <w:pPr>
              <w:jc w:val="both"/>
              <w:textAlignment w:val="baseline"/>
              <w:rPr>
                <w:kern w:val="2"/>
                <w:szCs w:val="24"/>
              </w:rPr>
            </w:pPr>
            <w:r w:rsidRPr="0075134B">
              <w:rPr>
                <w:kern w:val="2"/>
                <w:szCs w:val="24"/>
              </w:rPr>
              <w:t>a</w:t>
            </w:r>
            <w:r w:rsidRPr="0075134B">
              <w:rPr>
                <w:kern w:val="2"/>
                <w:szCs w:val="24"/>
                <w:vertAlign w:val="subscript"/>
              </w:rPr>
              <w:t>1</w:t>
            </w:r>
            <w:r w:rsidRPr="0075134B">
              <w:rPr>
                <w:kern w:val="2"/>
                <w:szCs w:val="24"/>
              </w:rPr>
              <w:t xml:space="preserve"> – perskaičiuota (pakeista) įkainis (Eur be PVM) </w:t>
            </w:r>
          </w:p>
          <w:p w14:paraId="6F2FBD3D" w14:textId="77777777" w:rsidR="00F97B4B" w:rsidRPr="0075134B" w:rsidRDefault="00F97B4B" w:rsidP="00F97B4B">
            <w:pPr>
              <w:jc w:val="both"/>
              <w:textAlignment w:val="baseline"/>
              <w:rPr>
                <w:kern w:val="2"/>
                <w:szCs w:val="24"/>
              </w:rPr>
            </w:pPr>
            <w:r w:rsidRPr="0075134B">
              <w:rPr>
                <w:kern w:val="2"/>
                <w:szCs w:val="24"/>
              </w:rPr>
              <w:t>k – pagal vartotojų kainų indeksą („Vartojimo prekių ir paslaugų“) apskaičiuotas Vartojimo prekių ir paslaugų kainų pokytis (padidėjimas arba sumažėjimas) (%). „k“ reikšmė skaičiuojama pagal formulę:</w:t>
            </w:r>
          </w:p>
          <w:p w14:paraId="157BB9F5" w14:textId="77777777" w:rsidR="00F97B4B" w:rsidRPr="0075134B" w:rsidRDefault="00F97B4B" w:rsidP="00F97B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75134B">
              <w:rPr>
                <w:kern w:val="2"/>
                <w:szCs w:val="24"/>
              </w:rPr>
              <w:t>, (proc.) kur</w:t>
            </w:r>
          </w:p>
          <w:p w14:paraId="4699BBF4" w14:textId="77777777" w:rsidR="00F97B4B" w:rsidRPr="0075134B" w:rsidRDefault="00F97B4B" w:rsidP="00F97B4B">
            <w:pPr>
              <w:jc w:val="both"/>
              <w:textAlignment w:val="baseline"/>
              <w:rPr>
                <w:kern w:val="2"/>
                <w:szCs w:val="24"/>
              </w:rPr>
            </w:pPr>
            <w:proofErr w:type="spellStart"/>
            <w:r w:rsidRPr="0075134B">
              <w:rPr>
                <w:kern w:val="2"/>
                <w:szCs w:val="24"/>
              </w:rPr>
              <w:t>Ind</w:t>
            </w:r>
            <w:r w:rsidRPr="0075134B">
              <w:rPr>
                <w:kern w:val="2"/>
                <w:szCs w:val="24"/>
                <w:vertAlign w:val="subscript"/>
              </w:rPr>
              <w:t>naujausias</w:t>
            </w:r>
            <w:proofErr w:type="spellEnd"/>
            <w:r w:rsidRPr="0075134B">
              <w:rPr>
                <w:kern w:val="2"/>
                <w:szCs w:val="24"/>
              </w:rPr>
              <w:t xml:space="preserve"> – kreipimosi dėl įkainių peržiūros išsiuntimo kitai šaliai dieną paskelbtas naujausias vartojimo prekių ir paslaugų indeksas.</w:t>
            </w:r>
          </w:p>
          <w:p w14:paraId="12CC5237" w14:textId="77777777" w:rsidR="00F97B4B" w:rsidRPr="0075134B" w:rsidRDefault="00F97B4B" w:rsidP="00F97B4B">
            <w:pPr>
              <w:jc w:val="both"/>
              <w:rPr>
                <w:kern w:val="2"/>
                <w:szCs w:val="24"/>
              </w:rPr>
            </w:pPr>
            <w:proofErr w:type="spellStart"/>
            <w:r w:rsidRPr="0075134B">
              <w:rPr>
                <w:kern w:val="2"/>
                <w:szCs w:val="24"/>
              </w:rPr>
              <w:t>Ind</w:t>
            </w:r>
            <w:r w:rsidRPr="0075134B">
              <w:rPr>
                <w:kern w:val="2"/>
                <w:szCs w:val="24"/>
                <w:vertAlign w:val="subscript"/>
              </w:rPr>
              <w:t>pradžia</w:t>
            </w:r>
            <w:proofErr w:type="spellEnd"/>
            <w:r w:rsidRPr="0075134B">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7AC1E6" w14:textId="77777777" w:rsidR="00F97B4B" w:rsidRPr="0075134B" w:rsidRDefault="00F97B4B" w:rsidP="00F97B4B">
            <w:pPr>
              <w:jc w:val="both"/>
              <w:rPr>
                <w:kern w:val="2"/>
                <w:szCs w:val="24"/>
                <w:shd w:val="clear" w:color="auto" w:fill="FFFFFF"/>
              </w:rPr>
            </w:pPr>
            <w:r w:rsidRPr="0075134B">
              <w:rPr>
                <w:kern w:val="2"/>
                <w:szCs w:val="24"/>
              </w:rPr>
              <w:t xml:space="preserve">5.3.3.7. </w:t>
            </w:r>
            <w:r w:rsidRPr="0075134B">
              <w:rPr>
                <w:kern w:val="2"/>
                <w:szCs w:val="24"/>
                <w:shd w:val="clear" w:color="auto" w:fill="FFFFFF"/>
              </w:rPr>
              <w:t xml:space="preserve">Skaičiavimams indeksų reikšmės imamos </w:t>
            </w:r>
            <w:r w:rsidRPr="0075134B">
              <w:rPr>
                <w:b/>
                <w:bCs/>
                <w:kern w:val="2"/>
                <w:szCs w:val="24"/>
                <w:shd w:val="clear" w:color="auto" w:fill="FFFFFF"/>
              </w:rPr>
              <w:t>keturių</w:t>
            </w:r>
            <w:r w:rsidRPr="0075134B">
              <w:rPr>
                <w:kern w:val="2"/>
                <w:szCs w:val="24"/>
                <w:shd w:val="clear" w:color="auto" w:fill="FFFFFF"/>
              </w:rPr>
              <w:t xml:space="preserve"> skaitmenų po kablelio tikslumu. Apskaičiuotas pokytis (k) tolimesniems skaičiavimams naudojamas suapvalinus iki </w:t>
            </w:r>
            <w:r w:rsidRPr="0075134B">
              <w:rPr>
                <w:b/>
                <w:bCs/>
                <w:kern w:val="2"/>
                <w:szCs w:val="24"/>
                <w:shd w:val="clear" w:color="auto" w:fill="FFFFFF"/>
              </w:rPr>
              <w:t>vieno</w:t>
            </w:r>
            <w:r w:rsidRPr="0075134B">
              <w:rPr>
                <w:kern w:val="2"/>
                <w:szCs w:val="24"/>
                <w:shd w:val="clear" w:color="auto" w:fill="FFFFFF"/>
              </w:rPr>
              <w:t xml:space="preserve"> skaitmens po kablelio, o apskaičiuotas įkainis „a</w:t>
            </w:r>
            <w:r w:rsidRPr="0075134B">
              <w:rPr>
                <w:kern w:val="2"/>
                <w:szCs w:val="24"/>
                <w:shd w:val="clear" w:color="auto" w:fill="FFFFFF"/>
                <w:vertAlign w:val="subscript"/>
              </w:rPr>
              <w:t>1</w:t>
            </w:r>
            <w:r w:rsidRPr="0075134B">
              <w:rPr>
                <w:kern w:val="2"/>
                <w:szCs w:val="24"/>
                <w:shd w:val="clear" w:color="auto" w:fill="FFFFFF"/>
              </w:rPr>
              <w:t xml:space="preserve">“ suapvalinamas iki </w:t>
            </w:r>
            <w:r w:rsidRPr="0075134B">
              <w:rPr>
                <w:b/>
                <w:bCs/>
                <w:kern w:val="2"/>
                <w:szCs w:val="24"/>
                <w:shd w:val="clear" w:color="auto" w:fill="FFFFFF"/>
              </w:rPr>
              <w:t xml:space="preserve">dviejų </w:t>
            </w:r>
            <w:r w:rsidRPr="0075134B">
              <w:rPr>
                <w:kern w:val="2"/>
                <w:szCs w:val="24"/>
                <w:shd w:val="clear" w:color="auto" w:fill="FFFFFF"/>
              </w:rPr>
              <w:t>skaitmenų po kablelio.</w:t>
            </w:r>
          </w:p>
          <w:p w14:paraId="576D7E0D" w14:textId="77777777" w:rsidR="00F97B4B" w:rsidRPr="0075134B" w:rsidRDefault="00F97B4B" w:rsidP="00F97B4B">
            <w:pPr>
              <w:jc w:val="both"/>
              <w:rPr>
                <w:kern w:val="2"/>
                <w:szCs w:val="24"/>
                <w:shd w:val="clear" w:color="auto" w:fill="FFFFFF"/>
              </w:rPr>
            </w:pPr>
            <w:r w:rsidRPr="0075134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134B">
              <w:rPr>
                <w:kern w:val="2"/>
                <w:szCs w:val="24"/>
                <w:bdr w:val="none" w:sz="0" w:space="0" w:color="auto" w:frame="1"/>
              </w:rPr>
              <w:t>kitus oficialius šaltinių duomenis</w:t>
            </w:r>
            <w:r w:rsidRPr="0075134B">
              <w:rPr>
                <w:kern w:val="2"/>
                <w:szCs w:val="24"/>
                <w:shd w:val="clear" w:color="auto" w:fill="FFFFFF"/>
              </w:rPr>
              <w:t>, kita svarbi informacija. Prašyme Šalis neturi teisės nurodyti kito Indekso ar prašyti perskaičiavimo pagal kitą Indeksą nei nurodytas šioje procedūroje.</w:t>
            </w:r>
          </w:p>
          <w:p w14:paraId="1E89AF56" w14:textId="77777777" w:rsidR="00F97B4B" w:rsidRPr="0075134B" w:rsidRDefault="00F97B4B" w:rsidP="00F97B4B">
            <w:pPr>
              <w:jc w:val="both"/>
              <w:rPr>
                <w:kern w:val="2"/>
                <w:szCs w:val="24"/>
                <w:shd w:val="clear" w:color="auto" w:fill="FFFFFF"/>
              </w:rPr>
            </w:pPr>
            <w:r w:rsidRPr="0075134B">
              <w:rPr>
                <w:kern w:val="2"/>
                <w:szCs w:val="24"/>
                <w:shd w:val="clear" w:color="auto" w:fill="FFFFFF"/>
              </w:rPr>
              <w:t>5</w:t>
            </w:r>
            <w:r w:rsidRPr="0075134B">
              <w:rPr>
                <w:kern w:val="2"/>
                <w:szCs w:val="24"/>
              </w:rPr>
              <w:t xml:space="preserve">.3.3.9. </w:t>
            </w:r>
            <w:r w:rsidRPr="0075134B">
              <w:rPr>
                <w:kern w:val="2"/>
                <w:szCs w:val="24"/>
                <w:shd w:val="clear" w:color="auto" w:fill="FFFFFF"/>
              </w:rPr>
              <w:t xml:space="preserve">Susitarimas turi būti sudarytas per 10 </w:t>
            </w:r>
            <w:r w:rsidRPr="0075134B">
              <w:rPr>
                <w:i/>
                <w:iCs/>
                <w:kern w:val="2"/>
                <w:szCs w:val="24"/>
                <w:shd w:val="clear" w:color="auto" w:fill="FFFFFF"/>
              </w:rPr>
              <w:t xml:space="preserve">(dešimt) </w:t>
            </w:r>
            <w:r w:rsidRPr="0075134B">
              <w:rPr>
                <w:kern w:val="2"/>
                <w:szCs w:val="24"/>
                <w:shd w:val="clear" w:color="auto" w:fill="FFFFFF"/>
              </w:rPr>
              <w:t>kalendorinių dienų nuo Šalies pateikto tinkamo prašymo perskaičiuoti S</w:t>
            </w:r>
            <w:r w:rsidRPr="0075134B">
              <w:rPr>
                <w:kern w:val="2"/>
                <w:szCs w:val="24"/>
              </w:rPr>
              <w:t xml:space="preserve">utarties </w:t>
            </w:r>
            <w:r w:rsidRPr="0075134B">
              <w:rPr>
                <w:kern w:val="2"/>
                <w:szCs w:val="24"/>
                <w:shd w:val="clear" w:color="auto" w:fill="FFFFFF"/>
              </w:rPr>
              <w:t>įkainius gavimo dienos.</w:t>
            </w:r>
          </w:p>
          <w:p w14:paraId="27C7FF9C" w14:textId="23183E53" w:rsidR="00D11A29" w:rsidRDefault="00F97B4B" w:rsidP="00F97B4B">
            <w:pPr>
              <w:rPr>
                <w:color w:val="4472C4"/>
                <w:kern w:val="2"/>
                <w:szCs w:val="24"/>
              </w:rPr>
            </w:pPr>
            <w:r w:rsidRPr="0075134B">
              <w:rPr>
                <w:kern w:val="2"/>
                <w:szCs w:val="24"/>
                <w:shd w:val="clear" w:color="auto" w:fill="FFFFFF"/>
              </w:rPr>
              <w:t xml:space="preserve">5.3.3.10. </w:t>
            </w:r>
            <w:r w:rsidRPr="0075134B">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370C3013"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11BB502B"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DA73ED6" w14:textId="77777777" w:rsidR="001A151A" w:rsidRPr="00590407" w:rsidRDefault="001A151A" w:rsidP="00590407">
            <w:pPr>
              <w:jc w:val="both"/>
              <w:rPr>
                <w:kern w:val="2"/>
                <w:szCs w:val="24"/>
              </w:rPr>
            </w:pPr>
            <w:r w:rsidRPr="00590407">
              <w:rPr>
                <w:kern w:val="2"/>
                <w:szCs w:val="24"/>
              </w:rPr>
              <w:t xml:space="preserve">Pirkėjas atsiskaito su Tiekėju ne vėliau kaip per 30 </w:t>
            </w:r>
            <w:r w:rsidRPr="00590407">
              <w:rPr>
                <w:i/>
                <w:iCs/>
                <w:kern w:val="2"/>
                <w:szCs w:val="24"/>
              </w:rPr>
              <w:t>(trisdešimt)</w:t>
            </w:r>
            <w:r w:rsidRPr="00590407">
              <w:rPr>
                <w:kern w:val="2"/>
                <w:szCs w:val="24"/>
              </w:rPr>
              <w:t xml:space="preserve"> kalendorinių dienų nuo Sąskaitos gavimo dienos.</w:t>
            </w:r>
          </w:p>
          <w:p w14:paraId="3422618C" w14:textId="77777777" w:rsidR="001A151A" w:rsidRPr="00590407" w:rsidRDefault="001A151A" w:rsidP="00590407">
            <w:pPr>
              <w:jc w:val="both"/>
              <w:rPr>
                <w:kern w:val="2"/>
                <w:szCs w:val="24"/>
                <w:shd w:val="clear" w:color="auto" w:fill="FFFFFF"/>
              </w:rPr>
            </w:pPr>
          </w:p>
          <w:p w14:paraId="311737F2" w14:textId="77777777" w:rsidR="00D11A29" w:rsidRPr="00590407" w:rsidRDefault="00D11A29" w:rsidP="00590407">
            <w:pPr>
              <w:jc w:val="both"/>
              <w:rPr>
                <w:kern w:val="2"/>
                <w:szCs w:val="24"/>
              </w:rPr>
            </w:pPr>
          </w:p>
          <w:p w14:paraId="62CA1CA6" w14:textId="1A898EBF" w:rsidR="00D11A29" w:rsidRPr="00590407" w:rsidRDefault="00820150" w:rsidP="00590407">
            <w:pPr>
              <w:jc w:val="both"/>
              <w:rPr>
                <w:kern w:val="2"/>
                <w:szCs w:val="24"/>
                <w:shd w:val="clear" w:color="auto" w:fill="FFFFFF"/>
              </w:rPr>
            </w:pPr>
            <w:r w:rsidRPr="00590407">
              <w:rPr>
                <w:kern w:val="2"/>
                <w:szCs w:val="24"/>
                <w:shd w:val="clear" w:color="auto" w:fill="FFFFFF"/>
              </w:rPr>
              <w:t xml:space="preserve">Apmokėjimo sąlygos: </w:t>
            </w:r>
          </w:p>
          <w:p w14:paraId="31749B55" w14:textId="2149B523" w:rsidR="00D11A29" w:rsidRPr="001A151A" w:rsidRDefault="00820150" w:rsidP="00590407">
            <w:pPr>
              <w:jc w:val="both"/>
              <w:rPr>
                <w:color w:val="FF0000"/>
                <w:kern w:val="2"/>
                <w:szCs w:val="24"/>
                <w:shd w:val="clear" w:color="auto" w:fill="FFFFFF"/>
              </w:rPr>
            </w:pPr>
            <w:r w:rsidRPr="00590407">
              <w:rPr>
                <w:kern w:val="2"/>
                <w:szCs w:val="24"/>
                <w:shd w:val="clear" w:color="auto" w:fill="FFFFFF"/>
              </w:rPr>
              <w:t>1) įvykdžius visus sutartinius įsipareigojimus, sumokama visa Sutarties kaina</w:t>
            </w:r>
            <w:r w:rsidR="001A151A" w:rsidRPr="00590407">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5CFB735D"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B117D29"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8AA225" w14:textId="2A820295" w:rsidR="00590407" w:rsidRDefault="00820150">
            <w:pPr>
              <w:rPr>
                <w:kern w:val="2"/>
                <w:szCs w:val="24"/>
              </w:rPr>
            </w:pPr>
            <w:r>
              <w:rPr>
                <w:kern w:val="2"/>
                <w:szCs w:val="24"/>
              </w:rPr>
              <w:t xml:space="preserve">Prekėms </w:t>
            </w:r>
            <w:r w:rsidRPr="006F2447">
              <w:rPr>
                <w:kern w:val="2"/>
                <w:szCs w:val="24"/>
              </w:rPr>
              <w:t xml:space="preserve">nustatomas teisės aktuose nustatytas garantinis terminas, kuris yra </w:t>
            </w:r>
            <w:r w:rsidR="006F2447" w:rsidRPr="006F2447">
              <w:rPr>
                <w:kern w:val="2"/>
                <w:szCs w:val="24"/>
                <w:highlight w:val="yellow"/>
              </w:rPr>
              <w:t xml:space="preserve">24 </w:t>
            </w:r>
            <w:r w:rsidR="006F2447" w:rsidRPr="006F2447">
              <w:rPr>
                <w:i/>
                <w:iCs/>
                <w:kern w:val="2"/>
                <w:szCs w:val="24"/>
                <w:highlight w:val="yellow"/>
              </w:rPr>
              <w:t>(dvidešimt keturi)</w:t>
            </w:r>
            <w:r w:rsidR="006F2447" w:rsidRPr="006F2447">
              <w:rPr>
                <w:kern w:val="2"/>
                <w:szCs w:val="24"/>
                <w:highlight w:val="yellow"/>
              </w:rPr>
              <w:t xml:space="preserve"> mėnesiai</w:t>
            </w:r>
            <w:r w:rsidRPr="006F2447">
              <w:rPr>
                <w:kern w:val="2"/>
                <w:szCs w:val="24"/>
              </w:rPr>
              <w:t xml:space="preserve">. </w:t>
            </w:r>
          </w:p>
          <w:p w14:paraId="47160571" w14:textId="77777777" w:rsidR="00590407" w:rsidRDefault="00590407">
            <w:pPr>
              <w:rPr>
                <w:kern w:val="2"/>
                <w:szCs w:val="24"/>
              </w:rPr>
            </w:pPr>
          </w:p>
          <w:p w14:paraId="15C36307" w14:textId="027B1660" w:rsidR="00D11A29" w:rsidRDefault="00820150">
            <w:pPr>
              <w:rPr>
                <w:kern w:val="2"/>
                <w:szCs w:val="24"/>
              </w:rPr>
            </w:pPr>
            <w:r>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502DE2D3" w:rsidR="00D11A29" w:rsidRDefault="00820150">
            <w:r>
              <w:t xml:space="preserve">Garantinio termino laikotarpiu nustačius Prekių trūkumų, Tiekėjas turi </w:t>
            </w:r>
            <w:r>
              <w:rPr>
                <w:b/>
                <w:bCs/>
              </w:rPr>
              <w:t>ne vėliau kaip</w:t>
            </w:r>
            <w:r>
              <w:t xml:space="preserve"> </w:t>
            </w:r>
            <w:r w:rsidRPr="006F1E0A">
              <w:t xml:space="preserve">per </w:t>
            </w:r>
            <w:r w:rsidR="006F1E0A" w:rsidRPr="006F1E0A">
              <w:t xml:space="preserve">10 </w:t>
            </w:r>
            <w:r w:rsidR="006F1E0A" w:rsidRPr="006F1E0A">
              <w:rPr>
                <w:i/>
                <w:iCs/>
              </w:rPr>
              <w:t>(dešimt)</w:t>
            </w:r>
            <w:r w:rsidR="006F1E0A" w:rsidRPr="006F1E0A">
              <w:t xml:space="preserve"> dienų</w:t>
            </w:r>
            <w:r w:rsidRPr="006F1E0A">
              <w:t xml:space="preserve"> nuo </w:t>
            </w:r>
            <w:r>
              <w:t>rašytinės pretenzijos gavimo dienos pašalinti Prekių trūkumus.</w:t>
            </w:r>
          </w:p>
          <w:p w14:paraId="1A0771F1" w14:textId="77777777" w:rsidR="006F1E0A" w:rsidRDefault="006F1E0A">
            <w:pPr>
              <w:rPr>
                <w:color w:val="FF0000"/>
                <w:kern w:val="2"/>
                <w:szCs w:val="24"/>
              </w:rPr>
            </w:pPr>
          </w:p>
          <w:p w14:paraId="435B016A" w14:textId="255DC97C" w:rsidR="00D11A29" w:rsidRDefault="00820150">
            <w:pPr>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7F6C9BC4" w:rsidR="00590407" w:rsidRDefault="00820150" w:rsidP="00590407">
            <w:pPr>
              <w:rPr>
                <w:kern w:val="2"/>
                <w:szCs w:val="24"/>
              </w:rPr>
            </w:pPr>
            <w:r>
              <w:rPr>
                <w:kern w:val="2"/>
                <w:szCs w:val="24"/>
              </w:rPr>
              <w:t xml:space="preserve">Netaikoma </w:t>
            </w:r>
          </w:p>
          <w:p w14:paraId="2621314C" w14:textId="375C7F33"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A32158">
            <w:pPr>
              <w:jc w:val="both"/>
              <w:rPr>
                <w:kern w:val="2"/>
                <w:szCs w:val="24"/>
              </w:rPr>
            </w:pPr>
            <w:r>
              <w:rPr>
                <w:kern w:val="2"/>
                <w:szCs w:val="24"/>
              </w:rPr>
              <w:t>Sutarties vykdymui subtiekėjai ir (ar) specialistai nepasitelkiami.</w:t>
            </w:r>
          </w:p>
          <w:p w14:paraId="235A907E" w14:textId="77777777" w:rsidR="00D11A29" w:rsidRDefault="00D11A29" w:rsidP="00A32158">
            <w:pPr>
              <w:jc w:val="both"/>
              <w:rPr>
                <w:kern w:val="2"/>
                <w:szCs w:val="24"/>
              </w:rPr>
            </w:pPr>
          </w:p>
          <w:p w14:paraId="6465EEFD" w14:textId="77777777" w:rsidR="00D11A29" w:rsidRDefault="00820150" w:rsidP="00A32158">
            <w:pPr>
              <w:jc w:val="both"/>
              <w:rPr>
                <w:color w:val="FF0000"/>
                <w:kern w:val="2"/>
                <w:szCs w:val="24"/>
              </w:rPr>
            </w:pPr>
            <w:r>
              <w:rPr>
                <w:color w:val="FF0000"/>
                <w:kern w:val="2"/>
                <w:szCs w:val="24"/>
              </w:rPr>
              <w:t>arba</w:t>
            </w:r>
          </w:p>
          <w:p w14:paraId="358E491C" w14:textId="77777777" w:rsidR="00D11A29" w:rsidRDefault="00D11A29" w:rsidP="00A32158">
            <w:pPr>
              <w:jc w:val="both"/>
              <w:rPr>
                <w:kern w:val="2"/>
                <w:szCs w:val="24"/>
              </w:rPr>
            </w:pPr>
          </w:p>
          <w:p w14:paraId="2E9791E9" w14:textId="77777777" w:rsidR="00D11A29" w:rsidRDefault="00820150" w:rsidP="00A3215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rsidP="00A32158">
            <w:pPr>
              <w:jc w:val="both"/>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62573AB6" w:rsidR="00D11A29" w:rsidRDefault="00820150" w:rsidP="00A32158">
            <w:pPr>
              <w:jc w:val="both"/>
              <w:rPr>
                <w:kern w:val="2"/>
                <w:szCs w:val="24"/>
              </w:rPr>
            </w:pPr>
            <w:r>
              <w:rPr>
                <w:kern w:val="2"/>
                <w:szCs w:val="24"/>
              </w:rPr>
              <w:t>Prievolių pagal Sutartį įvykdymas užtikrinamas:</w:t>
            </w:r>
          </w:p>
          <w:p w14:paraId="49895837" w14:textId="02D95A49" w:rsidR="00D11A29" w:rsidRDefault="00820150" w:rsidP="00A32158">
            <w:pPr>
              <w:jc w:val="both"/>
              <w:rPr>
                <w:kern w:val="2"/>
                <w:szCs w:val="24"/>
              </w:rPr>
            </w:pPr>
            <w:r>
              <w:rPr>
                <w:kern w:val="2"/>
                <w:szCs w:val="24"/>
              </w:rPr>
              <w:t>Netesybomis (delspinigiais, bauda)</w:t>
            </w:r>
            <w:r w:rsidR="00A32158">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rsidP="00A32158">
            <w:pPr>
              <w:jc w:val="both"/>
              <w:rPr>
                <w:kern w:val="2"/>
                <w:szCs w:val="24"/>
              </w:rPr>
            </w:pPr>
            <w:r>
              <w:rPr>
                <w:kern w:val="2"/>
                <w:szCs w:val="24"/>
              </w:rPr>
              <w:t>Netaikoma</w:t>
            </w:r>
          </w:p>
          <w:p w14:paraId="23CA0334" w14:textId="77777777" w:rsidR="00D11A29" w:rsidRDefault="00D11A29" w:rsidP="00A32158">
            <w:pPr>
              <w:jc w:val="both"/>
              <w:rPr>
                <w:kern w:val="2"/>
                <w:szCs w:val="24"/>
              </w:rPr>
            </w:pPr>
          </w:p>
          <w:p w14:paraId="030C4F22" w14:textId="36787E0F" w:rsidR="00D11A29" w:rsidRDefault="00D11A29" w:rsidP="00A32158">
            <w:pPr>
              <w:jc w:val="both"/>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rsidP="00A32158">
            <w:pPr>
              <w:jc w:val="both"/>
              <w:rPr>
                <w:kern w:val="2"/>
                <w:szCs w:val="24"/>
              </w:rPr>
            </w:pPr>
            <w:r>
              <w:rPr>
                <w:kern w:val="2"/>
                <w:szCs w:val="24"/>
              </w:rPr>
              <w:t>Netaikoma</w:t>
            </w:r>
          </w:p>
          <w:p w14:paraId="333B36CB" w14:textId="4260C049" w:rsidR="00D11A29" w:rsidRDefault="00D11A29" w:rsidP="00A32158">
            <w:pPr>
              <w:jc w:val="both"/>
              <w:rPr>
                <w:kern w:val="2"/>
                <w:szCs w:val="24"/>
              </w:rPr>
            </w:pPr>
          </w:p>
        </w:tc>
      </w:tr>
      <w:tr w:rsidR="00D11A29" w14:paraId="588BD2FF" w14:textId="77777777">
        <w:trPr>
          <w:trHeight w:val="300"/>
        </w:trPr>
        <w:tc>
          <w:tcPr>
            <w:tcW w:w="9535" w:type="dxa"/>
            <w:gridSpan w:val="5"/>
          </w:tcPr>
          <w:p w14:paraId="1D080A9C" w14:textId="77777777" w:rsidR="00D11A29" w:rsidRDefault="00820150" w:rsidP="00A32158">
            <w:pPr>
              <w:jc w:val="both"/>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A32158">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Pr>
                <w:color w:val="000000"/>
                <w:kern w:val="2"/>
                <w:szCs w:val="24"/>
              </w:rPr>
              <w:lastRenderedPageBreak/>
              <w:t xml:space="preserve">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A32158">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A32158">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A32158">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A32158">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A32158">
            <w:pPr>
              <w:jc w:val="both"/>
              <w:rPr>
                <w:kern w:val="2"/>
                <w:szCs w:val="24"/>
              </w:rPr>
            </w:pPr>
          </w:p>
          <w:p w14:paraId="67D3E604" w14:textId="77777777" w:rsidR="0081153F" w:rsidRPr="001B38ED" w:rsidRDefault="0081153F" w:rsidP="00A32158">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rsidP="00A32158">
            <w:pPr>
              <w:jc w:val="both"/>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rsidP="00A32158">
            <w:pPr>
              <w:jc w:val="both"/>
              <w:rPr>
                <w:color w:val="000000"/>
                <w:kern w:val="2"/>
                <w:szCs w:val="24"/>
              </w:rPr>
            </w:pPr>
            <w:r>
              <w:rPr>
                <w:color w:val="000000"/>
                <w:kern w:val="2"/>
                <w:szCs w:val="24"/>
              </w:rPr>
              <w:t>Netaikoma</w:t>
            </w:r>
          </w:p>
          <w:p w14:paraId="01BAB10F" w14:textId="77777777" w:rsidR="00D11A29" w:rsidRDefault="00D11A29" w:rsidP="00A32158">
            <w:pPr>
              <w:jc w:val="both"/>
              <w:rPr>
                <w:kern w:val="2"/>
                <w:szCs w:val="24"/>
              </w:rPr>
            </w:pPr>
          </w:p>
          <w:p w14:paraId="6BBCD9E2" w14:textId="77777777" w:rsidR="00D11A29" w:rsidRDefault="00D11A29" w:rsidP="00A32158">
            <w:pPr>
              <w:jc w:val="both"/>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Pr="00077CFC" w:rsidRDefault="00E81ECE" w:rsidP="00A32158">
            <w:pPr>
              <w:jc w:val="both"/>
              <w:rPr>
                <w:color w:val="4472C4"/>
                <w:kern w:val="2"/>
                <w:szCs w:val="24"/>
              </w:rPr>
            </w:pPr>
            <w:r w:rsidRPr="00077CFC">
              <w:rPr>
                <w:kern w:val="2"/>
                <w:szCs w:val="24"/>
              </w:rPr>
              <w:t xml:space="preserve">Dėl Specialiųjų sąlygų 13.1. punkto nesilaikymo taikoma 200,00 Eur </w:t>
            </w:r>
            <w:r w:rsidRPr="00077CFC">
              <w:rPr>
                <w:i/>
                <w:iCs/>
                <w:kern w:val="2"/>
                <w:szCs w:val="24"/>
              </w:rPr>
              <w:t xml:space="preserve">(du šimtai eurų 00 ct) </w:t>
            </w:r>
            <w:r w:rsidRPr="00077CFC">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077CFC" w:rsidRDefault="00E81ECE" w:rsidP="00A32158">
            <w:pPr>
              <w:jc w:val="both"/>
              <w:rPr>
                <w:color w:val="4472C4"/>
                <w:kern w:val="2"/>
                <w:szCs w:val="24"/>
              </w:rPr>
            </w:pPr>
            <w:r w:rsidRPr="00077CFC">
              <w:rPr>
                <w:bCs/>
                <w:kern w:val="2"/>
                <w:szCs w:val="24"/>
              </w:rPr>
              <w:t xml:space="preserve">Dėl konfidencialumo reikalavimų nesilaikymo taikoma 500,00 Eur </w:t>
            </w:r>
            <w:r w:rsidRPr="00077CFC">
              <w:rPr>
                <w:bCs/>
                <w:i/>
                <w:iCs/>
                <w:kern w:val="2"/>
                <w:szCs w:val="24"/>
              </w:rPr>
              <w:t>(penki šimtai eurų 00 ct)</w:t>
            </w:r>
            <w:r w:rsidRPr="00077CFC">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4BB5AE56" w:rsidR="0082161D" w:rsidRDefault="00820150" w:rsidP="0082161D">
            <w:pPr>
              <w:rPr>
                <w:color w:val="4472C4"/>
                <w:kern w:val="2"/>
                <w:szCs w:val="24"/>
              </w:rPr>
            </w:pPr>
            <w:r>
              <w:rPr>
                <w:kern w:val="2"/>
                <w:szCs w:val="24"/>
              </w:rPr>
              <w:t xml:space="preserve">Netaikoma </w:t>
            </w:r>
          </w:p>
          <w:p w14:paraId="7646BF6E" w14:textId="25849F2B"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t>Dėl Pirkėjo simbolių, pavadinimo ir ženklo reklamoje ar rinkodaroje naudojimo reikalavimų nesilaikymo bei draudimo naudotis Pirkėjo 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pPr>
              <w:rPr>
                <w:kern w:val="2"/>
                <w:szCs w:val="24"/>
              </w:rPr>
            </w:pPr>
            <w:r>
              <w:rPr>
                <w:kern w:val="2"/>
                <w:szCs w:val="24"/>
              </w:rPr>
              <w:t>Ši Sutartis laikoma sudaryta ir įsigalioja nuo Sutarties pasirašymo dienos (antrosios Šalies pasirašymo dieną).</w:t>
            </w:r>
          </w:p>
          <w:p w14:paraId="2886439B" w14:textId="31ED6F81" w:rsidR="00D11A29" w:rsidRDefault="00820150" w:rsidP="007C6C3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563B3">
              <w:rPr>
                <w:color w:val="000000"/>
                <w:kern w:val="2"/>
                <w:szCs w:val="24"/>
              </w:rPr>
              <w:t>7</w:t>
            </w:r>
            <w:r w:rsidR="007C6C3B">
              <w:rPr>
                <w:color w:val="000000"/>
                <w:kern w:val="2"/>
                <w:szCs w:val="24"/>
              </w:rPr>
              <w:t xml:space="preserve"> </w:t>
            </w:r>
            <w:r w:rsidR="007C6C3B" w:rsidRPr="007C6C3B">
              <w:rPr>
                <w:i/>
                <w:iCs/>
                <w:color w:val="000000"/>
                <w:kern w:val="2"/>
                <w:szCs w:val="24"/>
              </w:rPr>
              <w:t>(</w:t>
            </w:r>
            <w:r w:rsidR="00C563B3">
              <w:rPr>
                <w:i/>
                <w:iCs/>
                <w:color w:val="000000"/>
                <w:kern w:val="2"/>
                <w:szCs w:val="24"/>
              </w:rPr>
              <w:t>septyni</w:t>
            </w:r>
            <w:r w:rsidR="007C6C3B" w:rsidRPr="007C6C3B">
              <w:rPr>
                <w:i/>
                <w:iCs/>
                <w:color w:val="000000"/>
                <w:kern w:val="2"/>
                <w:szCs w:val="24"/>
              </w:rPr>
              <w:t>)</w:t>
            </w:r>
            <w:r w:rsidR="007C6C3B">
              <w:rPr>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C64249A"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pPr>
              <w:rPr>
                <w:kern w:val="2"/>
                <w:szCs w:val="24"/>
              </w:rPr>
            </w:pPr>
            <w:r>
              <w:rPr>
                <w:kern w:val="2"/>
                <w:szCs w:val="24"/>
              </w:rPr>
              <w:t>Sutartis gali būti nutraukiama rašytiniu Šalių susitarimu arba vienašališkai, Bendrosiose sąlygose nustatyta tvarka.</w:t>
            </w:r>
          </w:p>
          <w:p w14:paraId="14DBD30C" w14:textId="0D05CA0E" w:rsidR="00D11A29" w:rsidRDefault="00D11A29">
            <w:pPr>
              <w:rPr>
                <w:color w:val="4472C4"/>
                <w:kern w:val="2"/>
                <w:szCs w:val="24"/>
              </w:rPr>
            </w:pP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72BCD6F4" w14:textId="77777777" w:rsidR="008E4479" w:rsidRPr="00D7150B" w:rsidRDefault="008E4479" w:rsidP="008E4479">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D7150B">
              <w:rPr>
                <w:kern w:val="2"/>
                <w:szCs w:val="24"/>
              </w:rPr>
              <w:lastRenderedPageBreak/>
              <w:t xml:space="preserve">santykį ir Tiekėjas per 20 </w:t>
            </w:r>
            <w:r w:rsidRPr="00D7150B">
              <w:rPr>
                <w:i/>
                <w:iCs/>
                <w:kern w:val="2"/>
                <w:szCs w:val="24"/>
              </w:rPr>
              <w:t>(dvidešimt)</w:t>
            </w:r>
            <w:r w:rsidRPr="00D7150B">
              <w:rPr>
                <w:kern w:val="2"/>
                <w:szCs w:val="24"/>
              </w:rPr>
              <w:t xml:space="preserve"> kalendorinių dienų neištaiso pažeidimų;</w:t>
            </w:r>
          </w:p>
          <w:p w14:paraId="518F4759" w14:textId="77777777" w:rsidR="008E4479" w:rsidRPr="00D7150B" w:rsidRDefault="008E4479" w:rsidP="008E4479">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24386F46"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24119B70"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5284CFD8"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4C2683D9"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4C11F63B"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F467F" w:rsidRPr="00AF467F">
              <w:rPr>
                <w:b/>
                <w:bCs/>
                <w:kern w:val="2"/>
                <w:szCs w:val="24"/>
                <w:shd w:val="clear" w:color="auto" w:fill="FFFFFF"/>
              </w:rPr>
              <w:t>4.4.4.4.</w:t>
            </w:r>
            <w:r>
              <w:rPr>
                <w:color w:val="000000"/>
                <w:kern w:val="2"/>
                <w:szCs w:val="24"/>
                <w:shd w:val="clear" w:color="auto" w:fill="FFFFFF"/>
              </w:rPr>
              <w:t xml:space="preserve"> papunkčiu.</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lastRenderedPageBreak/>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lastRenderedPageBreak/>
              <w:t>14.4.</w:t>
            </w:r>
          </w:p>
        </w:tc>
        <w:tc>
          <w:tcPr>
            <w:tcW w:w="6846" w:type="dxa"/>
            <w:gridSpan w:val="4"/>
          </w:tcPr>
          <w:p w14:paraId="06872B3D" w14:textId="77777777"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p w14:paraId="0A9276F0" w14:textId="77777777" w:rsidR="00D11A29" w:rsidRPr="00AF467F" w:rsidRDefault="00D11A29" w:rsidP="00AF467F">
            <w:pPr>
              <w:jc w:val="both"/>
              <w:rPr>
                <w:kern w:val="2"/>
                <w:szCs w:val="24"/>
              </w:rPr>
            </w:pP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6D55DB" w:rsidRDefault="00820150">
            <w:pPr>
              <w:jc w:val="center"/>
              <w:rPr>
                <w:kern w:val="2"/>
                <w:szCs w:val="24"/>
              </w:rPr>
            </w:pPr>
            <w:r w:rsidRPr="006D55DB">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6D55DB" w:rsidRDefault="00820150">
            <w:pPr>
              <w:jc w:val="center"/>
              <w:rPr>
                <w:b/>
                <w:bCs/>
                <w:kern w:val="2"/>
                <w:szCs w:val="24"/>
              </w:rPr>
            </w:pPr>
            <w:r w:rsidRPr="006D55DB">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6D55DB" w:rsidRDefault="00D11A29">
            <w:pPr>
              <w:jc w:val="center"/>
              <w:rPr>
                <w:b/>
                <w:bCs/>
                <w:kern w:val="2"/>
                <w:szCs w:val="24"/>
              </w:rPr>
            </w:pPr>
          </w:p>
          <w:p w14:paraId="656F2212" w14:textId="77777777" w:rsidR="00D11A29" w:rsidRPr="006D55DB" w:rsidRDefault="00820150">
            <w:pPr>
              <w:jc w:val="center"/>
              <w:rPr>
                <w:b/>
                <w:bCs/>
                <w:kern w:val="2"/>
                <w:szCs w:val="24"/>
              </w:rPr>
            </w:pPr>
            <w:r w:rsidRPr="006D55DB">
              <w:rPr>
                <w:b/>
                <w:bCs/>
                <w:kern w:val="2"/>
                <w:szCs w:val="24"/>
              </w:rPr>
              <w:t>(parašas)</w:t>
            </w:r>
          </w:p>
          <w:p w14:paraId="737AED45" w14:textId="77777777" w:rsidR="00D11A29" w:rsidRPr="006D55DB" w:rsidRDefault="00D11A29">
            <w:pPr>
              <w:jc w:val="center"/>
              <w:rPr>
                <w:b/>
                <w:bCs/>
                <w:kern w:val="2"/>
                <w:szCs w:val="24"/>
              </w:rPr>
            </w:pPr>
          </w:p>
          <w:p w14:paraId="4DED5D03" w14:textId="77777777" w:rsidR="00D11A29" w:rsidRPr="006D55DB"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6D55DB" w:rsidRDefault="00D11A29">
            <w:pPr>
              <w:jc w:val="center"/>
              <w:rPr>
                <w:b/>
                <w:bCs/>
                <w:kern w:val="2"/>
                <w:szCs w:val="24"/>
              </w:rPr>
            </w:pPr>
          </w:p>
          <w:p w14:paraId="38F515E4" w14:textId="77777777" w:rsidR="00D11A29" w:rsidRPr="006D55DB" w:rsidRDefault="00820150">
            <w:pPr>
              <w:jc w:val="center"/>
              <w:rPr>
                <w:b/>
                <w:bCs/>
                <w:kern w:val="2"/>
                <w:szCs w:val="24"/>
              </w:rPr>
            </w:pPr>
            <w:r w:rsidRPr="006D55DB">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39E1" w14:textId="77777777" w:rsidR="00C55258" w:rsidRDefault="00C55258">
      <w:r>
        <w:separator/>
      </w:r>
    </w:p>
  </w:endnote>
  <w:endnote w:type="continuationSeparator" w:id="0">
    <w:p w14:paraId="0902E2C9" w14:textId="77777777" w:rsidR="00C55258" w:rsidRDefault="00C5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E9A1" w14:textId="77777777" w:rsidR="00C55258" w:rsidRDefault="00C55258">
      <w:r>
        <w:separator/>
      </w:r>
    </w:p>
  </w:footnote>
  <w:footnote w:type="continuationSeparator" w:id="0">
    <w:p w14:paraId="03D03FF1" w14:textId="77777777" w:rsidR="00C55258" w:rsidRDefault="00C5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519E"/>
    <w:rsid w:val="00077CFC"/>
    <w:rsid w:val="000D39AA"/>
    <w:rsid w:val="0010104B"/>
    <w:rsid w:val="001A151A"/>
    <w:rsid w:val="001E298B"/>
    <w:rsid w:val="00260366"/>
    <w:rsid w:val="002C7730"/>
    <w:rsid w:val="002F0B5F"/>
    <w:rsid w:val="00362E7D"/>
    <w:rsid w:val="003C4A06"/>
    <w:rsid w:val="003F1DB6"/>
    <w:rsid w:val="00442A37"/>
    <w:rsid w:val="004F2920"/>
    <w:rsid w:val="00590407"/>
    <w:rsid w:val="005D5E6C"/>
    <w:rsid w:val="005F5897"/>
    <w:rsid w:val="00600D03"/>
    <w:rsid w:val="00601B37"/>
    <w:rsid w:val="006D55DB"/>
    <w:rsid w:val="006F1E0A"/>
    <w:rsid w:val="006F2447"/>
    <w:rsid w:val="007368A2"/>
    <w:rsid w:val="00762D78"/>
    <w:rsid w:val="007C676D"/>
    <w:rsid w:val="007C6C3B"/>
    <w:rsid w:val="007D3347"/>
    <w:rsid w:val="0081153F"/>
    <w:rsid w:val="00814E9A"/>
    <w:rsid w:val="00820150"/>
    <w:rsid w:val="0082161D"/>
    <w:rsid w:val="008C1E1B"/>
    <w:rsid w:val="008D7686"/>
    <w:rsid w:val="008E4479"/>
    <w:rsid w:val="008E4DC9"/>
    <w:rsid w:val="008F16B3"/>
    <w:rsid w:val="0092404A"/>
    <w:rsid w:val="00925D74"/>
    <w:rsid w:val="009B08A8"/>
    <w:rsid w:val="00A32158"/>
    <w:rsid w:val="00A52BFA"/>
    <w:rsid w:val="00AE0105"/>
    <w:rsid w:val="00AE2F29"/>
    <w:rsid w:val="00AF467F"/>
    <w:rsid w:val="00B30763"/>
    <w:rsid w:val="00B54135"/>
    <w:rsid w:val="00BC7D7B"/>
    <w:rsid w:val="00C45AC7"/>
    <w:rsid w:val="00C55258"/>
    <w:rsid w:val="00C563B3"/>
    <w:rsid w:val="00D11A29"/>
    <w:rsid w:val="00D24702"/>
    <w:rsid w:val="00E81ECE"/>
    <w:rsid w:val="00EC195C"/>
    <w:rsid w:val="00EC292F"/>
    <w:rsid w:val="00EF1EF3"/>
    <w:rsid w:val="00F34007"/>
    <w:rsid w:val="00F96C59"/>
    <w:rsid w:val="00F97B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32</Pages>
  <Words>64940</Words>
  <Characters>37016</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2</cp:revision>
  <dcterms:created xsi:type="dcterms:W3CDTF">2025-08-28T07:15:00Z</dcterms:created>
  <dcterms:modified xsi:type="dcterms:W3CDTF">2025-08-28T07:15:00Z</dcterms:modified>
</cp:coreProperties>
</file>