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10D84537"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2A3D39">
        <w:rPr>
          <w:rFonts w:ascii="Times New Roman" w:eastAsia="Times New Roman" w:hAnsi="Times New Roman" w:cs="Times New Roman"/>
          <w:lang w:eastAsia="en-US"/>
        </w:rPr>
        <w:t>20</w:t>
      </w:r>
      <w:r w:rsidRPr="00E90C4B">
        <w:rPr>
          <w:rFonts w:ascii="Times New Roman" w:eastAsia="Times New Roman" w:hAnsi="Times New Roman" w:cs="Times New Roman"/>
          <w:lang w:eastAsia="en-US"/>
        </w:rPr>
        <w:t xml:space="preserve"> 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4DCB6AC2" w14:textId="086D1692" w:rsidR="002A3D39" w:rsidRPr="00096F2C" w:rsidRDefault="002A3D39" w:rsidP="002A3D39">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0A0CE8" w:rsidRPr="000A0CE8">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p w14:paraId="6B626DAF" w14:textId="45414E30" w:rsidR="0099502F" w:rsidRDefault="00F111E7" w:rsidP="005063BC">
      <w:pPr>
        <w:spacing w:after="120" w:line="240" w:lineRule="auto"/>
        <w:jc w:val="center"/>
        <w:rPr>
          <w:rFonts w:ascii="Times New Roman" w:hAnsi="Times New Roman" w:cs="Times New Roman"/>
          <w:b/>
          <w:bCs/>
        </w:rPr>
      </w:pPr>
      <w:r>
        <w:rPr>
          <w:rFonts w:ascii="Times New Roman" w:hAnsi="Times New Roman" w:cs="Times New Roman"/>
          <w:b/>
          <w:bCs/>
        </w:rPr>
        <w:t xml:space="preserve">20 </w:t>
      </w:r>
      <w:r w:rsidR="00C61BFB" w:rsidRPr="00C61BFB">
        <w:rPr>
          <w:rFonts w:ascii="Times New Roman" w:hAnsi="Times New Roman" w:cs="Times New Roman"/>
          <w:b/>
          <w:bCs/>
        </w:rPr>
        <w:t xml:space="preserve">PIRKIMO OBJEKTO DALIS – </w:t>
      </w:r>
      <w:r w:rsidR="00A82956" w:rsidRPr="00A82956">
        <w:rPr>
          <w:rFonts w:ascii="Times New Roman" w:hAnsi="Times New Roman" w:cs="Times New Roman"/>
          <w:b/>
          <w:bCs/>
        </w:rPr>
        <w:t>„</w:t>
      </w:r>
      <w:r w:rsidR="000670A0" w:rsidRPr="000670A0">
        <w:rPr>
          <w:rFonts w:ascii="Times New Roman" w:hAnsi="Times New Roman"/>
          <w:b/>
          <w:bCs/>
        </w:rPr>
        <w:t>ATSIURBIMO KATETERIS ENDOTRACHĖJINIAMS VAMZDELIAMS (UŽDARA SISTEMA)</w:t>
      </w:r>
      <w:r w:rsidR="000670A0" w:rsidRPr="000670A0">
        <w:rPr>
          <w:rFonts w:ascii="Times New Roman" w:hAnsi="Times New Roman" w:cs="Times New Roman"/>
          <w:b/>
          <w:bCs/>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B9FDACC" w14:textId="77777777" w:rsidR="002A3D39" w:rsidRDefault="002A3D39" w:rsidP="002A3D39">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422"/>
        <w:gridCol w:w="1176"/>
        <w:gridCol w:w="1473"/>
        <w:gridCol w:w="2102"/>
        <w:gridCol w:w="1915"/>
      </w:tblGrid>
      <w:tr w:rsidR="00416EB7" w:rsidRPr="00E90C4B" w14:paraId="6C329C61" w14:textId="77777777" w:rsidTr="002A3D39">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422"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1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3"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102"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1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2A3D39">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422"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1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3"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102"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1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2A3D39">
        <w:tc>
          <w:tcPr>
            <w:tcW w:w="540"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422" w:type="dxa"/>
          </w:tcPr>
          <w:p w14:paraId="3AC83690" w14:textId="004BFDF8" w:rsidR="00416EB7" w:rsidRPr="00BD5D1D" w:rsidRDefault="002A3D39" w:rsidP="0099502F">
            <w:pPr>
              <w:spacing w:after="0" w:line="240" w:lineRule="auto"/>
              <w:jc w:val="both"/>
              <w:rPr>
                <w:rFonts w:eastAsia="Times New Roman"/>
                <w:sz w:val="22"/>
                <w:szCs w:val="22"/>
                <w:lang w:eastAsia="en-US"/>
              </w:rPr>
            </w:pPr>
            <w:r w:rsidRPr="002A3D39">
              <w:rPr>
                <w:sz w:val="22"/>
                <w:szCs w:val="22"/>
              </w:rPr>
              <w:t>Atsiurbimo kateteris endotrachėjiniams vamzdeliams (uždara sistema)</w:t>
            </w:r>
          </w:p>
        </w:tc>
        <w:tc>
          <w:tcPr>
            <w:tcW w:w="1176" w:type="dxa"/>
          </w:tcPr>
          <w:p w14:paraId="2DE20C27" w14:textId="6EDAA470" w:rsidR="00416EB7" w:rsidRPr="00E90C4B" w:rsidRDefault="005026FB" w:rsidP="0099502F">
            <w:pPr>
              <w:spacing w:after="0" w:line="240" w:lineRule="auto"/>
              <w:jc w:val="both"/>
              <w:rPr>
                <w:rFonts w:eastAsia="Times New Roman"/>
                <w:sz w:val="22"/>
                <w:szCs w:val="22"/>
                <w:lang w:eastAsia="en-US"/>
              </w:rPr>
            </w:pPr>
            <w:r>
              <w:rPr>
                <w:sz w:val="24"/>
                <w:szCs w:val="24"/>
              </w:rPr>
              <w:t>vnt.</w:t>
            </w:r>
          </w:p>
        </w:tc>
        <w:tc>
          <w:tcPr>
            <w:tcW w:w="1473" w:type="dxa"/>
          </w:tcPr>
          <w:p w14:paraId="53F905D7" w14:textId="1109DF62" w:rsidR="00416EB7" w:rsidRPr="00E90C4B" w:rsidRDefault="005026FB" w:rsidP="0099502F">
            <w:pPr>
              <w:spacing w:after="0" w:line="240" w:lineRule="auto"/>
              <w:jc w:val="both"/>
              <w:rPr>
                <w:rFonts w:eastAsia="Times New Roman"/>
                <w:sz w:val="22"/>
                <w:szCs w:val="22"/>
                <w:lang w:val="en-US" w:eastAsia="en-US"/>
              </w:rPr>
            </w:pPr>
            <w:r w:rsidRPr="00980630">
              <w:rPr>
                <w:sz w:val="24"/>
                <w:szCs w:val="24"/>
                <w:lang w:val="en-US"/>
              </w:rPr>
              <w:t>290</w:t>
            </w:r>
          </w:p>
        </w:tc>
        <w:tc>
          <w:tcPr>
            <w:tcW w:w="2102"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1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788C7FC5" w:rsidR="00F6573E" w:rsidRPr="00E90C4B" w:rsidRDefault="005026FB"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02FE8F89" w:rsidR="00F6573E" w:rsidRPr="00E90C4B" w:rsidRDefault="007E0888"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Pr>
                <w:rFonts w:eastAsia="Times New Roman"/>
                <w:sz w:val="22"/>
                <w:szCs w:val="22"/>
                <w:lang w:eastAsia="en-US"/>
              </w:rPr>
              <w:t xml:space="preserve"> (pasiūlymų palyginimui)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735EA83F" w14:textId="77777777" w:rsidR="007E0888" w:rsidRPr="00E90C4B" w:rsidRDefault="007E0888" w:rsidP="007E088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116977F8" w14:textId="77777777" w:rsidR="007E0888" w:rsidRDefault="007E0888" w:rsidP="007E0888">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5E31C6DA" w14:textId="162C1AF8" w:rsidR="00881C62" w:rsidRDefault="007E0888" w:rsidP="007E0888">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66"/>
        <w:gridCol w:w="3569"/>
        <w:gridCol w:w="5493"/>
      </w:tblGrid>
      <w:tr w:rsidR="008D7120" w:rsidRPr="00884D5B" w14:paraId="43B37961" w14:textId="77777777" w:rsidTr="005063BC">
        <w:tc>
          <w:tcPr>
            <w:tcW w:w="566" w:type="dxa"/>
          </w:tcPr>
          <w:p w14:paraId="404F7E8D" w14:textId="77777777" w:rsidR="008D7120" w:rsidRPr="00884D5B" w:rsidRDefault="008D7120" w:rsidP="00FC014D">
            <w:pPr>
              <w:spacing w:after="0" w:line="240" w:lineRule="auto"/>
              <w:jc w:val="both"/>
              <w:rPr>
                <w:rFonts w:eastAsia="Times New Roman"/>
                <w:b/>
                <w:bCs/>
                <w:sz w:val="22"/>
                <w:szCs w:val="22"/>
                <w:lang w:eastAsia="en-US"/>
              </w:rPr>
            </w:pPr>
            <w:r w:rsidRPr="00884D5B">
              <w:rPr>
                <w:rFonts w:eastAsia="Times New Roman"/>
                <w:b/>
                <w:bCs/>
                <w:sz w:val="22"/>
                <w:szCs w:val="22"/>
                <w:lang w:eastAsia="en-US"/>
              </w:rPr>
              <w:t xml:space="preserve">Eil. Nr. </w:t>
            </w:r>
          </w:p>
        </w:tc>
        <w:tc>
          <w:tcPr>
            <w:tcW w:w="3569" w:type="dxa"/>
          </w:tcPr>
          <w:p w14:paraId="44B6CCC0" w14:textId="77777777" w:rsidR="008D7120" w:rsidRPr="00884D5B" w:rsidRDefault="008D7120" w:rsidP="00FC014D">
            <w:pPr>
              <w:spacing w:after="0" w:line="240" w:lineRule="auto"/>
              <w:jc w:val="both"/>
              <w:rPr>
                <w:rFonts w:eastAsia="Times New Roman"/>
                <w:b/>
                <w:bCs/>
                <w:sz w:val="22"/>
                <w:szCs w:val="22"/>
                <w:lang w:eastAsia="en-US"/>
              </w:rPr>
            </w:pPr>
            <w:r w:rsidRPr="00884D5B">
              <w:rPr>
                <w:rFonts w:eastAsia="Times New Roman"/>
                <w:b/>
                <w:bCs/>
                <w:sz w:val="22"/>
                <w:szCs w:val="22"/>
                <w:lang w:eastAsia="en-US"/>
              </w:rPr>
              <w:t>Reikalavimai</w:t>
            </w:r>
          </w:p>
        </w:tc>
        <w:tc>
          <w:tcPr>
            <w:tcW w:w="5493" w:type="dxa"/>
          </w:tcPr>
          <w:p w14:paraId="15B624EE" w14:textId="77777777" w:rsidR="00AB2DF7" w:rsidRPr="005063BC" w:rsidRDefault="00AB2DF7" w:rsidP="005063BC">
            <w:pPr>
              <w:spacing w:after="0" w:line="240" w:lineRule="auto"/>
              <w:rPr>
                <w:rFonts w:eastAsia="Times New Roman"/>
                <w:b/>
                <w:sz w:val="22"/>
                <w:szCs w:val="22"/>
                <w:lang w:eastAsia="lt-LT"/>
              </w:rPr>
            </w:pPr>
            <w:r w:rsidRPr="005063BC">
              <w:rPr>
                <w:rFonts w:eastAsia="Times New Roman"/>
                <w:b/>
                <w:sz w:val="22"/>
                <w:szCs w:val="22"/>
                <w:lang w:eastAsia="lt-LT"/>
              </w:rPr>
              <w:t>Tiekėjo siūlomų prekių rodiklių reikšmės</w:t>
            </w:r>
          </w:p>
          <w:p w14:paraId="33D9C050" w14:textId="7D2A5AF6" w:rsidR="008D7120" w:rsidRPr="00884D5B" w:rsidRDefault="00AB2DF7" w:rsidP="00AB2DF7">
            <w:pPr>
              <w:spacing w:after="0" w:line="240" w:lineRule="auto"/>
              <w:jc w:val="both"/>
              <w:rPr>
                <w:rFonts w:eastAsia="Times New Roman"/>
                <w:b/>
                <w:bCs/>
                <w:sz w:val="22"/>
                <w:szCs w:val="22"/>
                <w:lang w:eastAsia="en-US"/>
              </w:rPr>
            </w:pPr>
            <w:r w:rsidRPr="005063BC">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5063BC">
              <w:rPr>
                <w:rFonts w:eastAsia="Calibri"/>
                <w:b/>
                <w:bCs/>
                <w:i/>
                <w:iCs/>
                <w:sz w:val="22"/>
                <w:szCs w:val="22"/>
                <w:lang w:eastAsia="lt-LT"/>
              </w:rPr>
              <w:t xml:space="preserve">kartu su pasiūlymu </w:t>
            </w:r>
            <w:r w:rsidRPr="005063BC">
              <w:rPr>
                <w:sz w:val="22"/>
                <w:szCs w:val="22"/>
              </w:rPr>
              <w:t xml:space="preserve">pateikia oficialius gamintojo dokumentus  (oficialius </w:t>
            </w:r>
            <w:r w:rsidRPr="005063BC">
              <w:rPr>
                <w:i/>
                <w:iCs/>
                <w:sz w:val="22"/>
                <w:szCs w:val="22"/>
              </w:rPr>
              <w:t xml:space="preserve">prekių katalogus, brošiūras, </w:t>
            </w:r>
            <w:r w:rsidRPr="005063BC">
              <w:rPr>
                <w:sz w:val="22"/>
                <w:szCs w:val="22"/>
              </w:rPr>
              <w:t>testų ataskaitas,</w:t>
            </w:r>
            <w:r w:rsidR="008F7D71" w:rsidRPr="005063BC">
              <w:rPr>
                <w:sz w:val="22"/>
                <w:szCs w:val="22"/>
              </w:rPr>
              <w:t xml:space="preserve"> </w:t>
            </w:r>
            <w:r w:rsidRPr="005063BC">
              <w:rPr>
                <w:sz w:val="22"/>
                <w:szCs w:val="22"/>
              </w:rPr>
              <w:t>naudojimo instrukcijas arba lygiaverčius dokumentus.</w:t>
            </w:r>
          </w:p>
        </w:tc>
      </w:tr>
      <w:tr w:rsidR="008D7120" w:rsidRPr="00884D5B" w14:paraId="1785363A" w14:textId="77777777" w:rsidTr="00FC014D">
        <w:tc>
          <w:tcPr>
            <w:tcW w:w="566" w:type="dxa"/>
          </w:tcPr>
          <w:p w14:paraId="5744608B" w14:textId="77777777" w:rsidR="008D7120" w:rsidRPr="00884D5B" w:rsidRDefault="008D7120" w:rsidP="00FC014D">
            <w:pPr>
              <w:spacing w:after="0" w:line="240" w:lineRule="auto"/>
              <w:jc w:val="both"/>
              <w:rPr>
                <w:rFonts w:eastAsia="Times New Roman"/>
                <w:sz w:val="22"/>
                <w:szCs w:val="22"/>
                <w:lang w:eastAsia="en-US"/>
              </w:rPr>
            </w:pPr>
            <w:r w:rsidRPr="00884D5B">
              <w:rPr>
                <w:rFonts w:eastAsia="Times New Roman"/>
                <w:sz w:val="22"/>
                <w:szCs w:val="22"/>
                <w:lang w:eastAsia="en-US"/>
              </w:rPr>
              <w:t>1</w:t>
            </w:r>
          </w:p>
        </w:tc>
        <w:tc>
          <w:tcPr>
            <w:tcW w:w="9062" w:type="dxa"/>
            <w:gridSpan w:val="2"/>
          </w:tcPr>
          <w:p w14:paraId="75389A52" w14:textId="6056FA74" w:rsidR="008D7120" w:rsidRPr="00884D5B" w:rsidRDefault="008D7120" w:rsidP="00FC014D">
            <w:pPr>
              <w:spacing w:after="0" w:line="240" w:lineRule="auto"/>
              <w:jc w:val="both"/>
              <w:rPr>
                <w:rFonts w:eastAsia="Times New Roman"/>
                <w:b/>
                <w:bCs/>
                <w:sz w:val="22"/>
                <w:szCs w:val="22"/>
                <w:lang w:eastAsia="en-US"/>
              </w:rPr>
            </w:pPr>
            <w:r w:rsidRPr="00884D5B">
              <w:rPr>
                <w:b/>
                <w:bCs/>
                <w:sz w:val="22"/>
                <w:szCs w:val="22"/>
              </w:rPr>
              <w:t>Atsiurbimo kateteris endotrachėjiniams vamzdeliams (uždara sistema)</w:t>
            </w:r>
          </w:p>
        </w:tc>
      </w:tr>
      <w:tr w:rsidR="008D7120" w:rsidRPr="00884D5B" w14:paraId="463B13CD" w14:textId="77777777" w:rsidTr="005063BC">
        <w:tc>
          <w:tcPr>
            <w:tcW w:w="566" w:type="dxa"/>
          </w:tcPr>
          <w:p w14:paraId="6C7DFB0D" w14:textId="77777777" w:rsidR="008D7120" w:rsidRPr="00884D5B" w:rsidRDefault="008D7120" w:rsidP="00FC014D">
            <w:pPr>
              <w:spacing w:after="0" w:line="240" w:lineRule="auto"/>
              <w:jc w:val="both"/>
              <w:rPr>
                <w:rFonts w:eastAsia="Times New Roman"/>
                <w:sz w:val="22"/>
                <w:szCs w:val="22"/>
                <w:lang w:eastAsia="en-US"/>
              </w:rPr>
            </w:pPr>
            <w:r w:rsidRPr="00884D5B">
              <w:rPr>
                <w:rFonts w:eastAsia="Times New Roman"/>
                <w:sz w:val="22"/>
                <w:szCs w:val="22"/>
                <w:lang w:eastAsia="en-US"/>
              </w:rPr>
              <w:t>1.1</w:t>
            </w:r>
          </w:p>
        </w:tc>
        <w:tc>
          <w:tcPr>
            <w:tcW w:w="3569" w:type="dxa"/>
          </w:tcPr>
          <w:p w14:paraId="38151377" w14:textId="1522F045" w:rsidR="008D7120" w:rsidRPr="00884D5B" w:rsidRDefault="008D7120" w:rsidP="00FC014D">
            <w:pPr>
              <w:spacing w:after="0" w:line="240" w:lineRule="auto"/>
              <w:jc w:val="both"/>
              <w:rPr>
                <w:rFonts w:eastAsia="Times New Roman"/>
                <w:b/>
                <w:bCs/>
                <w:sz w:val="22"/>
                <w:szCs w:val="22"/>
                <w:lang w:eastAsia="en-US"/>
              </w:rPr>
            </w:pPr>
            <w:r w:rsidRPr="005063BC">
              <w:rPr>
                <w:sz w:val="22"/>
                <w:szCs w:val="22"/>
                <w:lang w:val="pt-PT"/>
              </w:rPr>
              <w:t>sterilus</w:t>
            </w:r>
          </w:p>
        </w:tc>
        <w:tc>
          <w:tcPr>
            <w:tcW w:w="5493" w:type="dxa"/>
            <w:vAlign w:val="center"/>
          </w:tcPr>
          <w:p w14:paraId="1B988BE2" w14:textId="77777777" w:rsidR="008D7120" w:rsidRPr="005063BC" w:rsidRDefault="008D7120" w:rsidP="00FC014D">
            <w:pPr>
              <w:spacing w:after="0" w:line="240" w:lineRule="auto"/>
              <w:jc w:val="center"/>
              <w:rPr>
                <w:rFonts w:eastAsia="Times New Roman"/>
                <w:b/>
                <w:bCs/>
                <w:sz w:val="22"/>
                <w:szCs w:val="22"/>
                <w:lang w:eastAsia="en-US"/>
              </w:rPr>
            </w:pPr>
            <w:r w:rsidRPr="00884D5B">
              <w:rPr>
                <w:rFonts w:eastAsia="Times New Roman"/>
                <w:color w:val="FF0000"/>
                <w:sz w:val="22"/>
                <w:szCs w:val="22"/>
                <w:lang w:eastAsia="en-US"/>
              </w:rPr>
              <w:t>[nurodyti]</w:t>
            </w:r>
          </w:p>
        </w:tc>
      </w:tr>
      <w:tr w:rsidR="008D7120" w:rsidRPr="00884D5B" w14:paraId="13BC9065" w14:textId="77777777" w:rsidTr="005063BC">
        <w:tc>
          <w:tcPr>
            <w:tcW w:w="566" w:type="dxa"/>
          </w:tcPr>
          <w:p w14:paraId="637369E0" w14:textId="77777777" w:rsidR="008D7120" w:rsidRPr="00884D5B" w:rsidRDefault="008D7120" w:rsidP="00FC014D">
            <w:pPr>
              <w:spacing w:after="0" w:line="240" w:lineRule="auto"/>
              <w:jc w:val="both"/>
              <w:rPr>
                <w:rFonts w:eastAsia="Times New Roman"/>
                <w:sz w:val="22"/>
                <w:szCs w:val="22"/>
                <w:lang w:eastAsia="en-US"/>
              </w:rPr>
            </w:pPr>
            <w:r w:rsidRPr="00884D5B">
              <w:rPr>
                <w:rFonts w:eastAsia="Times New Roman"/>
                <w:sz w:val="22"/>
                <w:szCs w:val="22"/>
                <w:lang w:eastAsia="en-US"/>
              </w:rPr>
              <w:t>1.2</w:t>
            </w:r>
          </w:p>
        </w:tc>
        <w:tc>
          <w:tcPr>
            <w:tcW w:w="3569" w:type="dxa"/>
          </w:tcPr>
          <w:p w14:paraId="5DB19E60" w14:textId="2EC406B4" w:rsidR="008D7120" w:rsidRPr="00884D5B" w:rsidRDefault="008D7120" w:rsidP="00FC014D">
            <w:pPr>
              <w:spacing w:after="0" w:line="240" w:lineRule="auto"/>
              <w:jc w:val="both"/>
              <w:rPr>
                <w:rFonts w:eastAsia="Times New Roman"/>
                <w:sz w:val="22"/>
                <w:szCs w:val="22"/>
                <w:lang w:eastAsia="en-US"/>
              </w:rPr>
            </w:pPr>
            <w:r w:rsidRPr="005063BC">
              <w:rPr>
                <w:sz w:val="22"/>
                <w:szCs w:val="22"/>
                <w:lang w:val="pt-PT"/>
              </w:rPr>
              <w:t>vienkartinis</w:t>
            </w:r>
          </w:p>
        </w:tc>
        <w:tc>
          <w:tcPr>
            <w:tcW w:w="5493" w:type="dxa"/>
            <w:vAlign w:val="center"/>
          </w:tcPr>
          <w:p w14:paraId="0215A737" w14:textId="77777777" w:rsidR="008D7120" w:rsidRPr="00884D5B" w:rsidRDefault="008D7120" w:rsidP="00FC014D">
            <w:pPr>
              <w:spacing w:after="0" w:line="240" w:lineRule="auto"/>
              <w:jc w:val="center"/>
              <w:rPr>
                <w:rFonts w:eastAsia="Times New Roman"/>
                <w:sz w:val="22"/>
                <w:szCs w:val="22"/>
                <w:lang w:eastAsia="en-US"/>
              </w:rPr>
            </w:pPr>
            <w:r w:rsidRPr="00884D5B">
              <w:rPr>
                <w:rFonts w:eastAsia="Times New Roman"/>
                <w:color w:val="FF0000"/>
                <w:sz w:val="22"/>
                <w:szCs w:val="22"/>
                <w:lang w:eastAsia="en-US"/>
              </w:rPr>
              <w:t>[nurodyti]</w:t>
            </w:r>
          </w:p>
        </w:tc>
      </w:tr>
      <w:tr w:rsidR="008D7120" w:rsidRPr="00884D5B" w14:paraId="74ACA73D" w14:textId="77777777" w:rsidTr="005063BC">
        <w:tc>
          <w:tcPr>
            <w:tcW w:w="566" w:type="dxa"/>
          </w:tcPr>
          <w:p w14:paraId="43FC3B00" w14:textId="77777777" w:rsidR="008D7120" w:rsidRPr="00884D5B" w:rsidRDefault="008D7120" w:rsidP="00FC014D">
            <w:pPr>
              <w:spacing w:after="0" w:line="240" w:lineRule="auto"/>
              <w:jc w:val="both"/>
              <w:rPr>
                <w:rFonts w:eastAsia="Times New Roman"/>
                <w:sz w:val="22"/>
                <w:szCs w:val="22"/>
                <w:lang w:eastAsia="en-US"/>
              </w:rPr>
            </w:pPr>
            <w:r w:rsidRPr="00884D5B">
              <w:rPr>
                <w:rFonts w:eastAsia="Times New Roman"/>
                <w:sz w:val="22"/>
                <w:szCs w:val="22"/>
                <w:lang w:eastAsia="en-US"/>
              </w:rPr>
              <w:t>1.3</w:t>
            </w:r>
          </w:p>
        </w:tc>
        <w:tc>
          <w:tcPr>
            <w:tcW w:w="3569" w:type="dxa"/>
          </w:tcPr>
          <w:p w14:paraId="3E704458" w14:textId="43FA38B5" w:rsidR="008D7120" w:rsidRPr="00884D5B" w:rsidRDefault="008D7120" w:rsidP="00FC014D">
            <w:pPr>
              <w:spacing w:after="0" w:line="240" w:lineRule="auto"/>
              <w:jc w:val="both"/>
              <w:rPr>
                <w:rFonts w:eastAsia="Times New Roman"/>
                <w:sz w:val="22"/>
                <w:szCs w:val="22"/>
                <w:lang w:eastAsia="en-US"/>
              </w:rPr>
            </w:pPr>
            <w:r w:rsidRPr="005063BC">
              <w:rPr>
                <w:sz w:val="22"/>
                <w:szCs w:val="22"/>
                <w:lang w:val="pt-PT"/>
              </w:rPr>
              <w:t>CH 12 ir CH 16 dydžio</w:t>
            </w:r>
          </w:p>
        </w:tc>
        <w:tc>
          <w:tcPr>
            <w:tcW w:w="5493" w:type="dxa"/>
            <w:vAlign w:val="center"/>
          </w:tcPr>
          <w:p w14:paraId="73FAB989" w14:textId="77777777" w:rsidR="008D7120" w:rsidRPr="00884D5B" w:rsidRDefault="008D7120" w:rsidP="00FC014D">
            <w:pPr>
              <w:spacing w:after="0" w:line="240" w:lineRule="auto"/>
              <w:jc w:val="center"/>
              <w:rPr>
                <w:rFonts w:eastAsia="Times New Roman"/>
                <w:sz w:val="22"/>
                <w:szCs w:val="22"/>
                <w:lang w:eastAsia="en-US"/>
              </w:rPr>
            </w:pPr>
            <w:r w:rsidRPr="00884D5B">
              <w:rPr>
                <w:rFonts w:eastAsia="Times New Roman"/>
                <w:color w:val="FF0000"/>
                <w:sz w:val="22"/>
                <w:szCs w:val="22"/>
                <w:lang w:eastAsia="en-US"/>
              </w:rPr>
              <w:t>[nurodyti]</w:t>
            </w:r>
          </w:p>
        </w:tc>
      </w:tr>
      <w:tr w:rsidR="008D7120" w:rsidRPr="00884D5B" w14:paraId="44618611" w14:textId="77777777" w:rsidTr="005063BC">
        <w:tc>
          <w:tcPr>
            <w:tcW w:w="566" w:type="dxa"/>
          </w:tcPr>
          <w:p w14:paraId="1E98D3B6" w14:textId="77777777" w:rsidR="008D7120" w:rsidRPr="00884D5B" w:rsidRDefault="008D7120" w:rsidP="00FC014D">
            <w:pPr>
              <w:spacing w:after="0" w:line="240" w:lineRule="auto"/>
              <w:jc w:val="both"/>
              <w:rPr>
                <w:rFonts w:eastAsia="Times New Roman"/>
                <w:sz w:val="22"/>
                <w:szCs w:val="22"/>
                <w:lang w:eastAsia="en-US"/>
              </w:rPr>
            </w:pPr>
            <w:r w:rsidRPr="00884D5B">
              <w:rPr>
                <w:rFonts w:eastAsia="Times New Roman"/>
                <w:sz w:val="22"/>
                <w:szCs w:val="22"/>
                <w:lang w:eastAsia="en-US"/>
              </w:rPr>
              <w:t>1.4</w:t>
            </w:r>
          </w:p>
        </w:tc>
        <w:tc>
          <w:tcPr>
            <w:tcW w:w="3569" w:type="dxa"/>
          </w:tcPr>
          <w:p w14:paraId="67FEAD07" w14:textId="774B10AE" w:rsidR="008D7120" w:rsidRPr="00884D5B" w:rsidRDefault="007F591E" w:rsidP="00FC014D">
            <w:pPr>
              <w:spacing w:after="0" w:line="240" w:lineRule="auto"/>
              <w:jc w:val="both"/>
              <w:rPr>
                <w:rFonts w:eastAsia="Times New Roman"/>
                <w:sz w:val="22"/>
                <w:szCs w:val="22"/>
                <w:lang w:eastAsia="en-US"/>
              </w:rPr>
            </w:pPr>
            <w:r w:rsidRPr="005063BC">
              <w:rPr>
                <w:sz w:val="22"/>
                <w:szCs w:val="22"/>
                <w:lang w:val="pt-PT"/>
              </w:rPr>
              <w:t>atsiurbimo kateteris su piršto kontrolės anga (steriliame maišelyje)</w:t>
            </w:r>
          </w:p>
        </w:tc>
        <w:tc>
          <w:tcPr>
            <w:tcW w:w="5493" w:type="dxa"/>
            <w:vAlign w:val="center"/>
          </w:tcPr>
          <w:p w14:paraId="3040E36C" w14:textId="77777777" w:rsidR="008D7120" w:rsidRPr="00884D5B" w:rsidRDefault="008D7120" w:rsidP="00FC014D">
            <w:pPr>
              <w:spacing w:after="0" w:line="240" w:lineRule="auto"/>
              <w:jc w:val="center"/>
              <w:rPr>
                <w:rFonts w:eastAsia="Times New Roman"/>
                <w:sz w:val="22"/>
                <w:szCs w:val="22"/>
                <w:lang w:eastAsia="en-US"/>
              </w:rPr>
            </w:pPr>
            <w:r w:rsidRPr="00884D5B">
              <w:rPr>
                <w:rFonts w:eastAsia="Times New Roman"/>
                <w:color w:val="FF0000"/>
                <w:sz w:val="22"/>
                <w:szCs w:val="22"/>
                <w:lang w:eastAsia="en-US"/>
              </w:rPr>
              <w:t>[nurodyti]</w:t>
            </w:r>
          </w:p>
        </w:tc>
      </w:tr>
      <w:tr w:rsidR="008D7120" w:rsidRPr="00884D5B" w14:paraId="149BB09A" w14:textId="77777777" w:rsidTr="005063BC">
        <w:tc>
          <w:tcPr>
            <w:tcW w:w="566" w:type="dxa"/>
          </w:tcPr>
          <w:p w14:paraId="6C61203A" w14:textId="77777777" w:rsidR="008D7120" w:rsidRPr="00884D5B" w:rsidRDefault="008D7120" w:rsidP="00FC014D">
            <w:pPr>
              <w:spacing w:after="0" w:line="240" w:lineRule="auto"/>
              <w:jc w:val="both"/>
              <w:rPr>
                <w:rFonts w:eastAsia="Times New Roman"/>
                <w:sz w:val="22"/>
                <w:szCs w:val="22"/>
                <w:lang w:eastAsia="en-US"/>
              </w:rPr>
            </w:pPr>
            <w:r w:rsidRPr="00884D5B">
              <w:rPr>
                <w:rFonts w:eastAsia="Times New Roman"/>
                <w:sz w:val="22"/>
                <w:szCs w:val="22"/>
                <w:lang w:eastAsia="en-US"/>
              </w:rPr>
              <w:t>1.5</w:t>
            </w:r>
          </w:p>
        </w:tc>
        <w:tc>
          <w:tcPr>
            <w:tcW w:w="3569" w:type="dxa"/>
          </w:tcPr>
          <w:p w14:paraId="651E3A0B" w14:textId="60AA91CA" w:rsidR="008D7120" w:rsidRPr="00884D5B" w:rsidRDefault="007F591E" w:rsidP="007F591E">
            <w:pPr>
              <w:spacing w:after="0" w:line="240" w:lineRule="auto"/>
              <w:jc w:val="both"/>
              <w:rPr>
                <w:rFonts w:eastAsia="Times New Roman"/>
                <w:sz w:val="22"/>
                <w:szCs w:val="22"/>
                <w:lang w:eastAsia="en-US"/>
              </w:rPr>
            </w:pPr>
            <w:r w:rsidRPr="005063BC">
              <w:rPr>
                <w:sz w:val="22"/>
                <w:szCs w:val="22"/>
                <w:lang w:val="pt-PT"/>
              </w:rPr>
              <w:t>plastikinis ar lygiavertis keturių krypčių konektorius</w:t>
            </w:r>
          </w:p>
        </w:tc>
        <w:tc>
          <w:tcPr>
            <w:tcW w:w="5493" w:type="dxa"/>
            <w:vAlign w:val="center"/>
          </w:tcPr>
          <w:p w14:paraId="53A5A444" w14:textId="77777777" w:rsidR="008D7120" w:rsidRPr="00884D5B" w:rsidRDefault="008D7120" w:rsidP="00FC014D">
            <w:pPr>
              <w:spacing w:after="0" w:line="240" w:lineRule="auto"/>
              <w:jc w:val="center"/>
              <w:rPr>
                <w:rFonts w:eastAsia="Times New Roman"/>
                <w:sz w:val="22"/>
                <w:szCs w:val="22"/>
                <w:lang w:eastAsia="en-US"/>
              </w:rPr>
            </w:pPr>
            <w:r w:rsidRPr="00884D5B">
              <w:rPr>
                <w:rFonts w:eastAsia="Times New Roman"/>
                <w:color w:val="FF0000"/>
                <w:sz w:val="22"/>
                <w:szCs w:val="22"/>
                <w:lang w:eastAsia="en-US"/>
              </w:rPr>
              <w:t>[nurodyti]</w:t>
            </w:r>
          </w:p>
        </w:tc>
      </w:tr>
      <w:tr w:rsidR="008D7120" w:rsidRPr="00884D5B" w14:paraId="6C756B1B" w14:textId="77777777" w:rsidTr="005063BC">
        <w:tc>
          <w:tcPr>
            <w:tcW w:w="566" w:type="dxa"/>
          </w:tcPr>
          <w:p w14:paraId="33D2CD00" w14:textId="77777777" w:rsidR="008D7120" w:rsidRPr="00884D5B" w:rsidRDefault="008D7120" w:rsidP="00FC014D">
            <w:pPr>
              <w:spacing w:after="0" w:line="240" w:lineRule="auto"/>
              <w:jc w:val="both"/>
              <w:rPr>
                <w:rFonts w:eastAsia="Times New Roman"/>
                <w:sz w:val="22"/>
                <w:szCs w:val="22"/>
                <w:lang w:eastAsia="en-US"/>
              </w:rPr>
            </w:pPr>
            <w:r w:rsidRPr="00884D5B">
              <w:rPr>
                <w:rFonts w:eastAsia="Times New Roman"/>
                <w:sz w:val="22"/>
                <w:szCs w:val="22"/>
                <w:lang w:eastAsia="en-US"/>
              </w:rPr>
              <w:t>1.6</w:t>
            </w:r>
          </w:p>
        </w:tc>
        <w:tc>
          <w:tcPr>
            <w:tcW w:w="3569" w:type="dxa"/>
          </w:tcPr>
          <w:p w14:paraId="390F56A9" w14:textId="2E6190F4" w:rsidR="008D7120" w:rsidRPr="00884D5B" w:rsidRDefault="007F591E" w:rsidP="00FC014D">
            <w:pPr>
              <w:spacing w:after="0" w:line="240" w:lineRule="auto"/>
              <w:jc w:val="both"/>
              <w:rPr>
                <w:rFonts w:eastAsia="Times New Roman"/>
                <w:color w:val="000000"/>
                <w:sz w:val="22"/>
                <w:szCs w:val="22"/>
                <w:lang w:eastAsia="lt-LT"/>
              </w:rPr>
            </w:pPr>
            <w:r w:rsidRPr="005063BC">
              <w:rPr>
                <w:sz w:val="22"/>
                <w:szCs w:val="22"/>
                <w:lang w:val="pt-PT"/>
              </w:rPr>
              <w:t>magistralė su konektoriais galuose (injekciniam vandeniui sušvirkšti)</w:t>
            </w:r>
          </w:p>
        </w:tc>
        <w:tc>
          <w:tcPr>
            <w:tcW w:w="5493" w:type="dxa"/>
            <w:vAlign w:val="center"/>
          </w:tcPr>
          <w:p w14:paraId="1C7C6D2F" w14:textId="77777777" w:rsidR="008D7120" w:rsidRPr="00884D5B" w:rsidRDefault="008D7120" w:rsidP="00FC014D">
            <w:pPr>
              <w:spacing w:after="0" w:line="240" w:lineRule="auto"/>
              <w:jc w:val="center"/>
              <w:rPr>
                <w:rFonts w:eastAsia="Times New Roman"/>
                <w:sz w:val="22"/>
                <w:szCs w:val="22"/>
                <w:lang w:eastAsia="en-US"/>
              </w:rPr>
            </w:pPr>
            <w:r w:rsidRPr="00884D5B">
              <w:rPr>
                <w:rFonts w:eastAsia="Times New Roman"/>
                <w:color w:val="FF0000"/>
                <w:sz w:val="22"/>
                <w:szCs w:val="22"/>
                <w:lang w:eastAsia="en-US"/>
              </w:rPr>
              <w:t>[nurodyti]</w:t>
            </w:r>
          </w:p>
        </w:tc>
      </w:tr>
      <w:tr w:rsidR="008D7120" w:rsidRPr="00884D5B" w14:paraId="02BF60E2" w14:textId="77777777" w:rsidTr="005063BC">
        <w:tc>
          <w:tcPr>
            <w:tcW w:w="566" w:type="dxa"/>
          </w:tcPr>
          <w:p w14:paraId="6F9ACC23" w14:textId="77777777" w:rsidR="008D7120" w:rsidRPr="00884D5B" w:rsidRDefault="008D7120" w:rsidP="00FC014D">
            <w:pPr>
              <w:spacing w:after="0" w:line="240" w:lineRule="auto"/>
              <w:jc w:val="both"/>
              <w:rPr>
                <w:rFonts w:eastAsia="Times New Roman"/>
                <w:sz w:val="22"/>
                <w:szCs w:val="22"/>
                <w:lang w:eastAsia="en-US"/>
              </w:rPr>
            </w:pPr>
            <w:r w:rsidRPr="00884D5B">
              <w:rPr>
                <w:rFonts w:eastAsia="Times New Roman"/>
                <w:sz w:val="22"/>
                <w:szCs w:val="22"/>
                <w:lang w:eastAsia="en-US"/>
              </w:rPr>
              <w:t>1.7</w:t>
            </w:r>
          </w:p>
        </w:tc>
        <w:tc>
          <w:tcPr>
            <w:tcW w:w="3569" w:type="dxa"/>
          </w:tcPr>
          <w:p w14:paraId="2096591F" w14:textId="0D01C2DB" w:rsidR="008D7120" w:rsidRPr="00884D5B" w:rsidRDefault="007F591E" w:rsidP="00FC014D">
            <w:pPr>
              <w:spacing w:after="0" w:line="240" w:lineRule="auto"/>
              <w:jc w:val="both"/>
              <w:rPr>
                <w:rFonts w:eastAsia="Times New Roman"/>
                <w:color w:val="000000"/>
                <w:sz w:val="22"/>
                <w:szCs w:val="22"/>
                <w:lang w:eastAsia="lt-LT"/>
              </w:rPr>
            </w:pPr>
            <w:r w:rsidRPr="005063BC">
              <w:rPr>
                <w:sz w:val="22"/>
                <w:szCs w:val="22"/>
                <w:lang w:val="pt-PT"/>
              </w:rPr>
              <w:t>Atsiurbimo kateterio ilgis 300 – 570 mm</w:t>
            </w:r>
          </w:p>
        </w:tc>
        <w:tc>
          <w:tcPr>
            <w:tcW w:w="5493" w:type="dxa"/>
            <w:vAlign w:val="center"/>
          </w:tcPr>
          <w:p w14:paraId="42E5BE39" w14:textId="77777777" w:rsidR="008D7120" w:rsidRPr="00884D5B" w:rsidRDefault="008D7120" w:rsidP="00FC014D">
            <w:pPr>
              <w:spacing w:after="0" w:line="240" w:lineRule="auto"/>
              <w:jc w:val="center"/>
              <w:rPr>
                <w:rFonts w:eastAsia="Times New Roman"/>
                <w:sz w:val="22"/>
                <w:szCs w:val="22"/>
                <w:lang w:eastAsia="en-US"/>
              </w:rPr>
            </w:pPr>
            <w:r w:rsidRPr="00884D5B">
              <w:rPr>
                <w:rFonts w:eastAsia="Times New Roman"/>
                <w:color w:val="FF0000"/>
                <w:sz w:val="22"/>
                <w:szCs w:val="22"/>
                <w:lang w:eastAsia="en-US"/>
              </w:rPr>
              <w:t>[nurodyti]</w:t>
            </w:r>
          </w:p>
        </w:tc>
      </w:tr>
      <w:tr w:rsidR="008D7120" w:rsidRPr="00884D5B" w14:paraId="465E62D6" w14:textId="77777777" w:rsidTr="005063BC">
        <w:tc>
          <w:tcPr>
            <w:tcW w:w="566" w:type="dxa"/>
          </w:tcPr>
          <w:p w14:paraId="02F47F38" w14:textId="77777777" w:rsidR="008D7120" w:rsidRPr="00884D5B" w:rsidRDefault="008D7120" w:rsidP="00FC014D">
            <w:pPr>
              <w:spacing w:after="0" w:line="240" w:lineRule="auto"/>
              <w:jc w:val="both"/>
              <w:rPr>
                <w:rFonts w:eastAsia="Times New Roman"/>
                <w:sz w:val="22"/>
                <w:szCs w:val="22"/>
                <w:lang w:eastAsia="en-US"/>
              </w:rPr>
            </w:pPr>
            <w:r w:rsidRPr="00884D5B">
              <w:rPr>
                <w:rFonts w:eastAsia="Times New Roman"/>
                <w:sz w:val="22"/>
                <w:szCs w:val="22"/>
                <w:lang w:eastAsia="en-US"/>
              </w:rPr>
              <w:lastRenderedPageBreak/>
              <w:t>1.8</w:t>
            </w:r>
          </w:p>
        </w:tc>
        <w:tc>
          <w:tcPr>
            <w:tcW w:w="3569" w:type="dxa"/>
          </w:tcPr>
          <w:p w14:paraId="78C134E6" w14:textId="09583A06" w:rsidR="008D7120" w:rsidRPr="005063BC" w:rsidRDefault="007108F1" w:rsidP="007108F1">
            <w:pPr>
              <w:spacing w:after="0" w:line="240" w:lineRule="auto"/>
              <w:jc w:val="both"/>
              <w:rPr>
                <w:sz w:val="22"/>
                <w:szCs w:val="22"/>
                <w:lang w:val="pt-PT"/>
              </w:rPr>
            </w:pPr>
            <w:r w:rsidRPr="005063BC">
              <w:rPr>
                <w:sz w:val="22"/>
                <w:szCs w:val="22"/>
                <w:lang w:val="pt-PT"/>
              </w:rPr>
              <w:t>Ant pakuotės turi būti, pažymėtas kateterio galiojimo laikas, numatyta pakuotės atidarymo vieta.</w:t>
            </w:r>
          </w:p>
        </w:tc>
        <w:tc>
          <w:tcPr>
            <w:tcW w:w="5493" w:type="dxa"/>
            <w:vAlign w:val="center"/>
          </w:tcPr>
          <w:p w14:paraId="27175D2E" w14:textId="77777777" w:rsidR="008D7120" w:rsidRPr="00884D5B" w:rsidRDefault="008D7120" w:rsidP="00FC014D">
            <w:pPr>
              <w:spacing w:after="0" w:line="240" w:lineRule="auto"/>
              <w:jc w:val="center"/>
              <w:rPr>
                <w:rFonts w:eastAsia="Times New Roman"/>
                <w:sz w:val="22"/>
                <w:szCs w:val="22"/>
                <w:lang w:eastAsia="en-US"/>
              </w:rPr>
            </w:pPr>
            <w:r w:rsidRPr="00884D5B">
              <w:rPr>
                <w:rFonts w:eastAsia="Times New Roman"/>
                <w:color w:val="FF0000"/>
                <w:sz w:val="22"/>
                <w:szCs w:val="22"/>
                <w:lang w:eastAsia="en-US"/>
              </w:rPr>
              <w:t>[nurodyti]</w:t>
            </w:r>
          </w:p>
        </w:tc>
      </w:tr>
      <w:tr w:rsidR="007108F1" w:rsidRPr="00597C6C" w14:paraId="7146A627" w14:textId="77777777" w:rsidTr="005063BC">
        <w:tc>
          <w:tcPr>
            <w:tcW w:w="566" w:type="dxa"/>
          </w:tcPr>
          <w:p w14:paraId="7F80F97E" w14:textId="6854E8C6" w:rsidR="007108F1" w:rsidRPr="00597C6C" w:rsidRDefault="007108F1" w:rsidP="00FC014D">
            <w:pPr>
              <w:spacing w:after="0" w:line="240" w:lineRule="auto"/>
              <w:jc w:val="both"/>
              <w:rPr>
                <w:rFonts w:eastAsia="Times New Roman"/>
                <w:lang w:eastAsia="en-US"/>
              </w:rPr>
            </w:pPr>
            <w:r>
              <w:rPr>
                <w:rFonts w:eastAsia="Times New Roman"/>
                <w:lang w:eastAsia="en-US"/>
              </w:rPr>
              <w:t>1.9</w:t>
            </w:r>
          </w:p>
        </w:tc>
        <w:tc>
          <w:tcPr>
            <w:tcW w:w="3569" w:type="dxa"/>
          </w:tcPr>
          <w:p w14:paraId="11F04DFD" w14:textId="12AF4468" w:rsidR="007108F1" w:rsidRPr="007108F1" w:rsidRDefault="00CF3AA0" w:rsidP="007108F1">
            <w:pPr>
              <w:spacing w:after="0" w:line="240" w:lineRule="auto"/>
              <w:jc w:val="both"/>
              <w:rPr>
                <w:sz w:val="24"/>
                <w:szCs w:val="24"/>
                <w:lang w:val="pt-PT"/>
              </w:rPr>
            </w:pPr>
            <w:r w:rsidRPr="00CF3AA0">
              <w:rPr>
                <w:sz w:val="24"/>
                <w:szCs w:val="24"/>
                <w:lang w:val="pt-PT"/>
              </w:rPr>
              <w:t>Įpakuota po 1 rinkinį</w:t>
            </w:r>
          </w:p>
        </w:tc>
        <w:tc>
          <w:tcPr>
            <w:tcW w:w="5493" w:type="dxa"/>
            <w:vAlign w:val="center"/>
          </w:tcPr>
          <w:p w14:paraId="4AEC9616" w14:textId="3CE586A6" w:rsidR="007108F1" w:rsidRPr="00635666" w:rsidRDefault="003760C7" w:rsidP="00FC014D">
            <w:pPr>
              <w:spacing w:after="0" w:line="240" w:lineRule="auto"/>
              <w:jc w:val="center"/>
              <w:rPr>
                <w:rFonts w:eastAsia="Times New Roman"/>
                <w:color w:val="FF0000"/>
                <w:lang w:eastAsia="en-US"/>
              </w:rPr>
            </w:pPr>
            <w:r w:rsidRPr="00884D5B">
              <w:rPr>
                <w:rFonts w:eastAsia="Times New Roman"/>
                <w:color w:val="FF0000"/>
                <w:sz w:val="22"/>
                <w:szCs w:val="22"/>
                <w:lang w:eastAsia="en-US"/>
              </w:rPr>
              <w:t>[nurodyti]</w:t>
            </w:r>
          </w:p>
        </w:tc>
      </w:tr>
    </w:tbl>
    <w:p w14:paraId="6F69D67D" w14:textId="77777777" w:rsidR="007F591E" w:rsidRDefault="007F591E" w:rsidP="00FC014D">
      <w:pPr>
        <w:spacing w:after="120" w:line="240" w:lineRule="auto"/>
        <w:ind w:firstLine="562"/>
        <w:jc w:val="both"/>
        <w:rPr>
          <w:rFonts w:ascii="Times New Roman" w:eastAsia="Times New Roman" w:hAnsi="Times New Roman" w:cs="Times New Roman"/>
          <w:lang w:eastAsia="en-US"/>
        </w:rPr>
      </w:pPr>
      <w:bookmarkStart w:id="0" w:name="_Hlk204692072"/>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4A567365" w14:textId="77777777" w:rsidR="007F591E" w:rsidRPr="00E90C4B" w:rsidRDefault="007F591E" w:rsidP="007F591E">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bookmarkEnd w:id="0"/>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2B200F2E" w14:textId="77777777" w:rsidR="0084299F" w:rsidRPr="00E90C4B" w:rsidRDefault="0084299F" w:rsidP="0084299F">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w:t>
            </w:r>
            <w:r w:rsidRPr="00E90C4B">
              <w:rPr>
                <w:rFonts w:ascii="Times New Roman" w:eastAsia="Times New Roman" w:hAnsi="Times New Roman" w:cs="Times New Roman"/>
                <w:b/>
                <w:bCs/>
                <w:lang w:eastAsia="en-US"/>
              </w:rPr>
              <w:lastRenderedPageBreak/>
              <w:t>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 xml:space="preserve">Konfidencialios informacijos pagrindimas (paaiškinama, kuo remiantis nurodytas dokumentas ar jo dalis yra </w:t>
            </w:r>
            <w:r w:rsidRPr="00E90C4B">
              <w:rPr>
                <w:rFonts w:ascii="Times New Roman" w:eastAsia="Times New Roman" w:hAnsi="Times New Roman" w:cs="Times New Roman"/>
                <w:b/>
                <w:bCs/>
                <w:lang w:eastAsia="en-US"/>
              </w:rPr>
              <w:lastRenderedPageBreak/>
              <w:t>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4FD7A224" w14:textId="77777777" w:rsidR="00F31395" w:rsidRPr="00E724BD" w:rsidRDefault="00F31395" w:rsidP="00F31395">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1E74305F" w14:textId="77777777" w:rsidR="00F31395" w:rsidRPr="00DC3703" w:rsidRDefault="00F31395" w:rsidP="00F31395">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A707890" w14:textId="77777777" w:rsidR="00F31395" w:rsidRPr="00DC3703" w:rsidRDefault="00F31395" w:rsidP="00F31395">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77CE1429" w14:textId="77777777" w:rsidR="00F31395" w:rsidRPr="00DC3703" w:rsidRDefault="00F31395" w:rsidP="00F31395">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37E85FA8" w14:textId="77777777" w:rsidR="00F31395" w:rsidRPr="00DC3703" w:rsidRDefault="00F31395" w:rsidP="00F31395">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68AA861F" w14:textId="77777777" w:rsidR="00F31395" w:rsidRDefault="00F31395" w:rsidP="00F31395">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70E84826" w14:textId="77777777" w:rsidR="00F31395" w:rsidRDefault="00F31395" w:rsidP="00F31395">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1A24C16F" w14:textId="77777777" w:rsidR="00F31395" w:rsidRDefault="00F31395" w:rsidP="00F31395">
      <w:pPr>
        <w:widowControl w:val="0"/>
        <w:suppressAutoHyphens/>
        <w:autoSpaceDE w:val="0"/>
        <w:spacing w:after="0" w:line="240" w:lineRule="auto"/>
        <w:ind w:firstLine="810"/>
        <w:jc w:val="both"/>
        <w:rPr>
          <w:rFonts w:ascii="Times New Roman" w:hAnsi="Times New Roman" w:cs="Times New Roman"/>
          <w:b/>
          <w:sz w:val="18"/>
          <w:szCs w:val="18"/>
        </w:rPr>
      </w:pPr>
    </w:p>
    <w:p w14:paraId="0F1D7AE5" w14:textId="77777777" w:rsidR="00F31395" w:rsidRPr="00C90460" w:rsidRDefault="00F31395" w:rsidP="00F31395">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7900662D" w14:textId="77777777" w:rsidR="00F31395" w:rsidRPr="00F4305D" w:rsidRDefault="00F31395" w:rsidP="00F31395">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1F5CB506" w14:textId="77777777" w:rsidR="00F31395" w:rsidRPr="00F4305D" w:rsidRDefault="00F31395" w:rsidP="00F31395">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2997794" w14:textId="77777777" w:rsidR="00F31395" w:rsidRPr="00F4305D" w:rsidRDefault="00F31395" w:rsidP="00F31395">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148D3EC9" w14:textId="77777777" w:rsidR="00F31395" w:rsidRPr="00F4305D" w:rsidRDefault="00F31395" w:rsidP="00F31395">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09AE6C94" w14:textId="77777777" w:rsidR="00F31395" w:rsidRPr="00F4305D" w:rsidRDefault="00F31395" w:rsidP="00F31395">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03882F27" w14:textId="77777777" w:rsidR="00F31395" w:rsidRDefault="00F31395" w:rsidP="00F31395">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A85A64A" w14:textId="77777777" w:rsidR="00F31395" w:rsidRPr="00513022" w:rsidRDefault="00F31395" w:rsidP="00F31395">
      <w:pPr>
        <w:suppressAutoHyphens/>
        <w:spacing w:after="120" w:line="240" w:lineRule="auto"/>
        <w:ind w:firstLine="562"/>
        <w:jc w:val="both"/>
        <w:rPr>
          <w:rFonts w:ascii="Times New Roman" w:eastAsiaTheme="majorEastAsia" w:hAnsi="Times New Roman" w:cs="Times New Roman"/>
          <w:lang w:eastAsia="lt-LT"/>
        </w:rPr>
      </w:pPr>
    </w:p>
    <w:p w14:paraId="1449246D" w14:textId="77777777" w:rsidR="00F31395" w:rsidRPr="00E90C4B" w:rsidRDefault="00F31395" w:rsidP="00F31395">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670A0"/>
    <w:rsid w:val="000851FE"/>
    <w:rsid w:val="000A0CE8"/>
    <w:rsid w:val="000D13D4"/>
    <w:rsid w:val="000E1A48"/>
    <w:rsid w:val="00107375"/>
    <w:rsid w:val="0014176E"/>
    <w:rsid w:val="00157424"/>
    <w:rsid w:val="001A298F"/>
    <w:rsid w:val="001D3FB7"/>
    <w:rsid w:val="001E514F"/>
    <w:rsid w:val="00214438"/>
    <w:rsid w:val="00240A5C"/>
    <w:rsid w:val="0025236C"/>
    <w:rsid w:val="002756B6"/>
    <w:rsid w:val="00295108"/>
    <w:rsid w:val="002A3D39"/>
    <w:rsid w:val="002B68D9"/>
    <w:rsid w:val="002C1698"/>
    <w:rsid w:val="002D2D2B"/>
    <w:rsid w:val="002D67B8"/>
    <w:rsid w:val="002D6BA0"/>
    <w:rsid w:val="00315F71"/>
    <w:rsid w:val="00326AF8"/>
    <w:rsid w:val="003760C7"/>
    <w:rsid w:val="003A0726"/>
    <w:rsid w:val="003C597D"/>
    <w:rsid w:val="004060F0"/>
    <w:rsid w:val="004102CA"/>
    <w:rsid w:val="00416EB7"/>
    <w:rsid w:val="004270AB"/>
    <w:rsid w:val="0043738A"/>
    <w:rsid w:val="004A758D"/>
    <w:rsid w:val="005026FB"/>
    <w:rsid w:val="005063BC"/>
    <w:rsid w:val="00513022"/>
    <w:rsid w:val="00522CC3"/>
    <w:rsid w:val="00563260"/>
    <w:rsid w:val="00566CF1"/>
    <w:rsid w:val="0057297B"/>
    <w:rsid w:val="00585C2F"/>
    <w:rsid w:val="005A55A4"/>
    <w:rsid w:val="005D1EBE"/>
    <w:rsid w:val="005D3340"/>
    <w:rsid w:val="005E0099"/>
    <w:rsid w:val="00650A16"/>
    <w:rsid w:val="00652916"/>
    <w:rsid w:val="00655CB9"/>
    <w:rsid w:val="006749E6"/>
    <w:rsid w:val="006A0430"/>
    <w:rsid w:val="006A0F23"/>
    <w:rsid w:val="006A552E"/>
    <w:rsid w:val="0070704E"/>
    <w:rsid w:val="007108F1"/>
    <w:rsid w:val="00724A9D"/>
    <w:rsid w:val="007265AB"/>
    <w:rsid w:val="00764B2A"/>
    <w:rsid w:val="007746B8"/>
    <w:rsid w:val="007849F5"/>
    <w:rsid w:val="007A527B"/>
    <w:rsid w:val="007C711F"/>
    <w:rsid w:val="007E0888"/>
    <w:rsid w:val="007F591E"/>
    <w:rsid w:val="0083387E"/>
    <w:rsid w:val="0083521E"/>
    <w:rsid w:val="0084299F"/>
    <w:rsid w:val="008807E3"/>
    <w:rsid w:val="00881C62"/>
    <w:rsid w:val="00884D5B"/>
    <w:rsid w:val="008D7120"/>
    <w:rsid w:val="008F7D71"/>
    <w:rsid w:val="009165A6"/>
    <w:rsid w:val="00963211"/>
    <w:rsid w:val="00965316"/>
    <w:rsid w:val="00980770"/>
    <w:rsid w:val="009818DD"/>
    <w:rsid w:val="00992365"/>
    <w:rsid w:val="0099502F"/>
    <w:rsid w:val="009D275C"/>
    <w:rsid w:val="00A340FB"/>
    <w:rsid w:val="00A46612"/>
    <w:rsid w:val="00A82853"/>
    <w:rsid w:val="00A82956"/>
    <w:rsid w:val="00AB2DF7"/>
    <w:rsid w:val="00AC125A"/>
    <w:rsid w:val="00AE4867"/>
    <w:rsid w:val="00AF590B"/>
    <w:rsid w:val="00AF5C97"/>
    <w:rsid w:val="00AF685E"/>
    <w:rsid w:val="00B13EF8"/>
    <w:rsid w:val="00B216A5"/>
    <w:rsid w:val="00B262FD"/>
    <w:rsid w:val="00B6234A"/>
    <w:rsid w:val="00B81E74"/>
    <w:rsid w:val="00B91573"/>
    <w:rsid w:val="00BA331D"/>
    <w:rsid w:val="00BD5D1D"/>
    <w:rsid w:val="00C61BFB"/>
    <w:rsid w:val="00CF12E3"/>
    <w:rsid w:val="00CF2B3A"/>
    <w:rsid w:val="00CF3AA0"/>
    <w:rsid w:val="00D10594"/>
    <w:rsid w:val="00DA68C9"/>
    <w:rsid w:val="00DB31C8"/>
    <w:rsid w:val="00DC63AE"/>
    <w:rsid w:val="00DD2511"/>
    <w:rsid w:val="00E003DA"/>
    <w:rsid w:val="00E018FD"/>
    <w:rsid w:val="00E46BBC"/>
    <w:rsid w:val="00E724BD"/>
    <w:rsid w:val="00E84F50"/>
    <w:rsid w:val="00E90C4B"/>
    <w:rsid w:val="00EA097F"/>
    <w:rsid w:val="00EB2237"/>
    <w:rsid w:val="00ED204C"/>
    <w:rsid w:val="00EF43FA"/>
    <w:rsid w:val="00F111E7"/>
    <w:rsid w:val="00F258B3"/>
    <w:rsid w:val="00F31395"/>
    <w:rsid w:val="00F34C1D"/>
    <w:rsid w:val="00F6573E"/>
    <w:rsid w:val="00F97371"/>
    <w:rsid w:val="00F973F9"/>
    <w:rsid w:val="00FA3E91"/>
    <w:rsid w:val="00FB0E71"/>
    <w:rsid w:val="00FE4478"/>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character" w:styleId="CommentReference">
    <w:name w:val="annotation reference"/>
    <w:basedOn w:val="DefaultParagraphFont"/>
    <w:uiPriority w:val="99"/>
    <w:semiHidden/>
    <w:unhideWhenUsed/>
    <w:rsid w:val="008D7120"/>
    <w:rPr>
      <w:sz w:val="16"/>
      <w:szCs w:val="16"/>
    </w:rPr>
  </w:style>
  <w:style w:type="paragraph" w:styleId="CommentText">
    <w:name w:val="annotation text"/>
    <w:basedOn w:val="Normal"/>
    <w:link w:val="CommentTextChar"/>
    <w:uiPriority w:val="99"/>
    <w:semiHidden/>
    <w:unhideWhenUsed/>
    <w:rsid w:val="008D7120"/>
    <w:pPr>
      <w:suppressAutoHyphens/>
      <w:autoSpaceDN w:val="0"/>
      <w:spacing w:after="160" w:line="240" w:lineRule="auto"/>
      <w:textAlignment w:val="baseline"/>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8D7120"/>
    <w:rPr>
      <w:rFonts w:ascii="Calibri" w:eastAsia="Calibri" w:hAnsi="Calibri" w:cs="Times New Roman"/>
      <w:kern w:val="0"/>
      <w:sz w:val="20"/>
      <w:szCs w:val="20"/>
      <w14:ligatures w14:val="none"/>
    </w:rPr>
  </w:style>
  <w:style w:type="paragraph" w:styleId="Revision">
    <w:name w:val="Revision"/>
    <w:hidden/>
    <w:uiPriority w:val="99"/>
    <w:semiHidden/>
    <w:rsid w:val="00B81E74"/>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1130</Words>
  <Characters>6445</Characters>
  <Application>Microsoft Office Word</Application>
  <DocSecurity>0</DocSecurity>
  <Lines>53</Lines>
  <Paragraphs>15</Paragraphs>
  <ScaleCrop>false</ScaleCrop>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105</cp:revision>
  <dcterms:created xsi:type="dcterms:W3CDTF">2024-05-22T09:54:00Z</dcterms:created>
  <dcterms:modified xsi:type="dcterms:W3CDTF">2025-08-28T07:22:00Z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