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08FDEAE4" w:rsidR="00FD2F91" w:rsidRPr="00FD2F91" w:rsidRDefault="009A4831" w:rsidP="009A4831">
      <w:pPr>
        <w:jc w:val="right"/>
        <w:rPr>
          <w:b/>
        </w:rPr>
      </w:pPr>
      <w:r>
        <w:rPr>
          <w:b/>
        </w:rPr>
        <w:t>Priedas Nr. 3</w:t>
      </w: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p w14:paraId="25EF3A2A" w14:textId="77777777" w:rsidR="00137FA0" w:rsidRPr="00137FA0" w:rsidRDefault="00137FA0" w:rsidP="00137FA0">
      <w:pPr>
        <w:rPr>
          <w:b/>
          <w:bCs/>
        </w:rPr>
      </w:pPr>
    </w:p>
    <w:p w14:paraId="65971C45" w14:textId="24F591A3" w:rsidR="00137FA0" w:rsidRPr="00137FA0" w:rsidRDefault="00450D6C" w:rsidP="00137FA0">
      <w:pPr>
        <w:rPr>
          <w:b/>
        </w:rPr>
      </w:pPr>
      <w:r>
        <w:rPr>
          <w:b/>
        </w:rPr>
        <w:t>Anykščių</w:t>
      </w:r>
      <w:r w:rsidR="00137FA0" w:rsidRPr="00137FA0">
        <w:rPr>
          <w:b/>
        </w:rPr>
        <w:t xml:space="preserve"> rajono savivaldybės administracijai</w:t>
      </w:r>
      <w:r w:rsidR="00555409">
        <w:rPr>
          <w:b/>
        </w:rPr>
        <w:t xml:space="preserve"> (Savivaldybės CPO)</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Lentelstinklelis"/>
        <w:tblW w:w="0" w:type="auto"/>
        <w:tblLook w:val="04A0" w:firstRow="1" w:lastRow="0" w:firstColumn="1" w:lastColumn="0" w:noHBand="0" w:noVBand="1"/>
      </w:tblPr>
      <w:tblGrid>
        <w:gridCol w:w="704"/>
        <w:gridCol w:w="6946"/>
        <w:gridCol w:w="1978"/>
      </w:tblGrid>
      <w:tr w:rsidR="002A68AF" w:rsidRPr="002A68AF" w14:paraId="391241B2" w14:textId="77777777" w:rsidTr="002A68AF">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002A68AF">
        <w:tc>
          <w:tcPr>
            <w:tcW w:w="704" w:type="dxa"/>
          </w:tcPr>
          <w:p w14:paraId="0C6F1E69" w14:textId="47217ECA" w:rsidR="002A68AF" w:rsidRDefault="002A68AF" w:rsidP="00450D6C">
            <w:pPr>
              <w:spacing w:after="120"/>
              <w:jc w:val="both"/>
            </w:pPr>
            <w:r>
              <w:t>1.</w:t>
            </w:r>
          </w:p>
        </w:tc>
        <w:tc>
          <w:tcPr>
            <w:tcW w:w="6946" w:type="dxa"/>
          </w:tcPr>
          <w:p w14:paraId="1DEE6655" w14:textId="067F69BE" w:rsidR="002A68AF" w:rsidRDefault="000A3408" w:rsidP="00450D6C">
            <w:pPr>
              <w:spacing w:after="120"/>
              <w:jc w:val="both"/>
            </w:pPr>
            <w:r>
              <w:rPr>
                <w:rFonts w:eastAsia="Times New Roman"/>
                <w:color w:val="000000"/>
              </w:rPr>
              <w:t>Tiek</w:t>
            </w:r>
            <w:r w:rsidRPr="00A735CC">
              <w:rPr>
                <w:rFonts w:eastAsia="Times New Roman"/>
                <w:color w:val="000000"/>
              </w:rPr>
              <w:t>ėjas/</w:t>
            </w:r>
            <w:r w:rsidR="002A68AF" w:rsidRPr="002A68AF">
              <w:rPr>
                <w:rFonts w:eastAsia="Times New Roman"/>
                <w:color w:val="000000"/>
              </w:rPr>
              <w:t xml:space="preserve">Rangovas su kitais tiekėjais yra sudaręs susitarimų, kuriais siekiama iškreipti konkurenciją atliekamame pirkime, ir perkančioji organizacija dėl to turi įtikinamų duomenų </w:t>
            </w:r>
            <w:r w:rsidR="002A68AF" w:rsidRPr="002A68AF">
              <w:rPr>
                <w:rFonts w:eastAsia="Times New Roman"/>
                <w:b/>
                <w:bCs/>
                <w:color w:val="000000"/>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002A68AF">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sidRPr="00A735CC">
              <w:rPr>
                <w:rFonts w:eastAsia="Times New Roman"/>
                <w:color w:val="000000"/>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002A68AF">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002A68AF">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002A68AF">
        <w:tc>
          <w:tcPr>
            <w:tcW w:w="704" w:type="dxa"/>
          </w:tcPr>
          <w:p w14:paraId="25DBEDEF" w14:textId="3AB44187" w:rsidR="002A68AF" w:rsidRDefault="002A68AF" w:rsidP="00450D6C">
            <w:pPr>
              <w:spacing w:after="120"/>
              <w:jc w:val="both"/>
            </w:pPr>
            <w:r>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w:t>
            </w:r>
            <w:r w:rsidR="002A68AF" w:rsidRPr="002A68AF">
              <w:lastRenderedPageBreak/>
              <w:t xml:space="preserve">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002A68AF">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002A68AF">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55409"/>
    <w:rsid w:val="00572307"/>
    <w:rsid w:val="005A0067"/>
    <w:rsid w:val="005C2122"/>
    <w:rsid w:val="005E2DA6"/>
    <w:rsid w:val="005E504B"/>
    <w:rsid w:val="005F630D"/>
    <w:rsid w:val="00604B71"/>
    <w:rsid w:val="006451FF"/>
    <w:rsid w:val="006509C8"/>
    <w:rsid w:val="00663D8D"/>
    <w:rsid w:val="00695B40"/>
    <w:rsid w:val="006A19C1"/>
    <w:rsid w:val="006A3761"/>
    <w:rsid w:val="006A4170"/>
    <w:rsid w:val="006A4845"/>
    <w:rsid w:val="006B663C"/>
    <w:rsid w:val="006C3448"/>
    <w:rsid w:val="006D4DC5"/>
    <w:rsid w:val="006D5A62"/>
    <w:rsid w:val="007010B0"/>
    <w:rsid w:val="00703254"/>
    <w:rsid w:val="007115D8"/>
    <w:rsid w:val="00754A7C"/>
    <w:rsid w:val="007613D1"/>
    <w:rsid w:val="007671AC"/>
    <w:rsid w:val="00773357"/>
    <w:rsid w:val="00774CFC"/>
    <w:rsid w:val="0077561C"/>
    <w:rsid w:val="0078274A"/>
    <w:rsid w:val="007838AD"/>
    <w:rsid w:val="007948DC"/>
    <w:rsid w:val="007A1840"/>
    <w:rsid w:val="007B5E0A"/>
    <w:rsid w:val="007D19D0"/>
    <w:rsid w:val="007D1C8E"/>
    <w:rsid w:val="007D43F1"/>
    <w:rsid w:val="00812C1F"/>
    <w:rsid w:val="00845685"/>
    <w:rsid w:val="0086032A"/>
    <w:rsid w:val="00863FA3"/>
    <w:rsid w:val="00867AE4"/>
    <w:rsid w:val="00892F84"/>
    <w:rsid w:val="008B4001"/>
    <w:rsid w:val="008C0444"/>
    <w:rsid w:val="008C1D80"/>
    <w:rsid w:val="008C6C7E"/>
    <w:rsid w:val="008D6E66"/>
    <w:rsid w:val="008F5E70"/>
    <w:rsid w:val="009440CD"/>
    <w:rsid w:val="00964E4A"/>
    <w:rsid w:val="0097044E"/>
    <w:rsid w:val="00974678"/>
    <w:rsid w:val="00991A30"/>
    <w:rsid w:val="009958D5"/>
    <w:rsid w:val="009A4831"/>
    <w:rsid w:val="009B503C"/>
    <w:rsid w:val="009C756E"/>
    <w:rsid w:val="009D7E06"/>
    <w:rsid w:val="00A0668E"/>
    <w:rsid w:val="00A735CC"/>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19E8"/>
    <w:rsid w:val="00EE3537"/>
    <w:rsid w:val="00F20628"/>
    <w:rsid w:val="00F263DE"/>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2170</Words>
  <Characters>1237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Dalia Kelpsiene</cp:lastModifiedBy>
  <cp:revision>2</cp:revision>
  <dcterms:created xsi:type="dcterms:W3CDTF">2025-08-27T13:36:00Z</dcterms:created>
  <dcterms:modified xsi:type="dcterms:W3CDTF">2025-08-27T13:36:00Z</dcterms:modified>
</cp:coreProperties>
</file>