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475" w14:textId="77777777" w:rsidR="00787293" w:rsidRDefault="00787293" w:rsidP="001A64AC">
      <w:pPr>
        <w:spacing w:after="480" w:line="240" w:lineRule="auto"/>
        <w:jc w:val="right"/>
        <w:rPr>
          <w:rFonts w:ascii="Times New Roman" w:eastAsia="Calibri" w:hAnsi="Times New Roman"/>
          <w:b/>
          <w:bCs/>
          <w:color w:val="000000"/>
          <w:sz w:val="24"/>
          <w:szCs w:val="24"/>
        </w:rPr>
      </w:pPr>
      <w:r>
        <w:rPr>
          <w:rFonts w:ascii="Times New Roman" w:eastAsia="Calibri" w:hAnsi="Times New Roman"/>
          <w:b/>
          <w:bCs/>
          <w:color w:val="000000"/>
          <w:sz w:val="24"/>
          <w:szCs w:val="24"/>
        </w:rPr>
        <w:t>Preliminariosios sutarties 2 priedas</w:t>
      </w:r>
    </w:p>
    <w:p w14:paraId="30CA9E0E" w14:textId="57A57BB7" w:rsidR="00D81E9B" w:rsidRPr="00787293" w:rsidRDefault="004060C2" w:rsidP="001A64AC">
      <w:pPr>
        <w:spacing w:after="360" w:line="240" w:lineRule="auto"/>
        <w:jc w:val="center"/>
        <w:rPr>
          <w:rFonts w:ascii="Times New Roman" w:hAnsi="Times New Roman"/>
          <w:b/>
          <w:bCs/>
          <w:sz w:val="24"/>
          <w:szCs w:val="24"/>
        </w:rPr>
      </w:pPr>
      <w:bookmarkStart w:id="0" w:name="_Hlk204778624"/>
      <w:bookmarkStart w:id="1" w:name="_Hlk196401109"/>
      <w:r w:rsidRPr="004060C2">
        <w:rPr>
          <w:rFonts w:ascii="Times New Roman" w:hAnsi="Times New Roman"/>
          <w:b/>
          <w:bCs/>
          <w:sz w:val="24"/>
          <w:szCs w:val="24"/>
          <w:bdr w:val="none" w:sz="0" w:space="0" w:color="auto" w:frame="1"/>
        </w:rPr>
        <w:t xml:space="preserve">LAUKO TRENIRUOKLIŲ JONUČIŲ II K., GARLIAVOS APYL.  SEN., KAUNO R. ĮRENGIMO DARBŲ IR </w:t>
      </w:r>
      <w:bookmarkStart w:id="2" w:name="_Hlk206579327"/>
      <w:r w:rsidRPr="004060C2">
        <w:rPr>
          <w:rFonts w:ascii="Times New Roman" w:hAnsi="Times New Roman"/>
          <w:b/>
          <w:bCs/>
          <w:sz w:val="24"/>
          <w:szCs w:val="24"/>
          <w:bdr w:val="none" w:sz="0" w:space="0" w:color="auto" w:frame="1"/>
        </w:rPr>
        <w:t xml:space="preserve">SUPAPRASTINTO STATYBOS PROJEKTO </w:t>
      </w:r>
      <w:bookmarkEnd w:id="2"/>
      <w:r w:rsidRPr="004060C2">
        <w:rPr>
          <w:rFonts w:ascii="Times New Roman" w:hAnsi="Times New Roman"/>
          <w:b/>
          <w:bCs/>
          <w:sz w:val="24"/>
          <w:szCs w:val="24"/>
          <w:bdr w:val="none" w:sz="0" w:space="0" w:color="auto" w:frame="1"/>
        </w:rPr>
        <w:t>PARENGIMO</w:t>
      </w:r>
      <w:bookmarkEnd w:id="0"/>
      <w:bookmarkEnd w:id="1"/>
      <w:r w:rsidRPr="003134D5">
        <w:rPr>
          <w:b/>
          <w:bCs/>
          <w:bdr w:val="none" w:sz="0" w:space="0" w:color="auto" w:frame="1"/>
        </w:rPr>
        <w:t xml:space="preserve"> </w:t>
      </w:r>
      <w:r>
        <w:rPr>
          <w:b/>
          <w:bCs/>
          <w:bdr w:val="none" w:sz="0" w:space="0" w:color="auto" w:frame="1"/>
        </w:rPr>
        <w:t xml:space="preserve"> </w:t>
      </w:r>
      <w:r w:rsidR="00D12918" w:rsidRPr="00D12918">
        <w:rPr>
          <w:rFonts w:ascii="Times New Roman" w:eastAsia="Calibri" w:hAnsi="Times New Roman"/>
          <w:b/>
          <w:bCs/>
          <w:color w:val="000000"/>
          <w:sz w:val="24"/>
          <w:szCs w:val="24"/>
        </w:rPr>
        <w:t xml:space="preserve"> </w:t>
      </w:r>
      <w:r w:rsidR="00787293" w:rsidRPr="00076203">
        <w:rPr>
          <w:rFonts w:ascii="Times New Roman" w:hAnsi="Times New Roman"/>
          <w:b/>
          <w:bCs/>
          <w:sz w:val="24"/>
          <w:szCs w:val="24"/>
          <w:u w:val="single"/>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Rikterio</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613BC550"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w:t>
      </w:r>
      <w:r w:rsidR="00D12918">
        <w:rPr>
          <w:lang w:eastAsia="en-US"/>
        </w:rPr>
        <w:t>kelbiamos apklausos</w:t>
      </w:r>
      <w:r>
        <w:rPr>
          <w:lang w:eastAsia="en-US"/>
        </w:rPr>
        <w:t xml:space="preserve"> konkurso „</w:t>
      </w:r>
      <w:r w:rsidR="004060C2">
        <w:rPr>
          <w:lang w:eastAsia="en-US"/>
        </w:rPr>
        <w:t>L</w:t>
      </w:r>
      <w:r w:rsidR="004060C2">
        <w:rPr>
          <w:bdr w:val="none" w:sz="0" w:space="0" w:color="auto" w:frame="1"/>
        </w:rPr>
        <w:t>auko treniruoklių Jonučių II k., Garliavos apyl sen., Kauno r.</w:t>
      </w:r>
      <w:r w:rsidR="004060C2" w:rsidRPr="00F24B57">
        <w:rPr>
          <w:bdr w:val="none" w:sz="0" w:space="0" w:color="auto" w:frame="1"/>
        </w:rPr>
        <w:t xml:space="preserve"> įrengimo darbų ir supaprastinto statybos projekto parengimo</w:t>
      </w:r>
      <w:r w:rsidR="004060C2">
        <w:rPr>
          <w:bdr w:val="none" w:sz="0" w:space="0" w:color="auto" w:frame="1"/>
        </w:rPr>
        <w:t xml:space="preserve"> </w:t>
      </w:r>
      <w:r w:rsidR="004060C2" w:rsidRPr="00572963">
        <w:rPr>
          <w:bdr w:val="none" w:sz="0" w:space="0" w:color="auto" w:frame="1"/>
        </w:rPr>
        <w:t>vieš</w:t>
      </w:r>
      <w:r w:rsidR="004060C2">
        <w:rPr>
          <w:bdr w:val="none" w:sz="0" w:space="0" w:color="auto" w:frame="1"/>
        </w:rPr>
        <w:t>asis pirkimas</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21B35">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3C8B8D81" w:rsidR="00203225" w:rsidRPr="00B50F52"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4060C2" w:rsidRPr="004060C2">
              <w:rPr>
                <w:rFonts w:ascii="Times New Roman" w:hAnsi="Times New Roman"/>
                <w:sz w:val="24"/>
                <w:szCs w:val="24"/>
                <w:bdr w:val="none" w:sz="0" w:space="0" w:color="auto" w:frame="1"/>
              </w:rPr>
              <w:t>lauko treniruoklių Jonučių II k., Garliavos apyl</w:t>
            </w:r>
            <w:r w:rsidR="00BA787F">
              <w:rPr>
                <w:rFonts w:ascii="Times New Roman" w:hAnsi="Times New Roman"/>
                <w:sz w:val="24"/>
                <w:szCs w:val="24"/>
                <w:bdr w:val="none" w:sz="0" w:space="0" w:color="auto" w:frame="1"/>
              </w:rPr>
              <w:t>.</w:t>
            </w:r>
            <w:r w:rsidR="004060C2" w:rsidRPr="004060C2">
              <w:rPr>
                <w:rFonts w:ascii="Times New Roman" w:hAnsi="Times New Roman"/>
                <w:sz w:val="24"/>
                <w:szCs w:val="24"/>
                <w:bdr w:val="none" w:sz="0" w:space="0" w:color="auto" w:frame="1"/>
              </w:rPr>
              <w:t xml:space="preserve"> sen., Kauno r. įrengimo darb</w:t>
            </w:r>
            <w:r w:rsidR="004060C2">
              <w:rPr>
                <w:rFonts w:ascii="Times New Roman" w:hAnsi="Times New Roman"/>
                <w:sz w:val="24"/>
                <w:szCs w:val="24"/>
                <w:bdr w:val="none" w:sz="0" w:space="0" w:color="auto" w:frame="1"/>
              </w:rPr>
              <w:t>us</w:t>
            </w:r>
            <w:r w:rsidR="004060C2" w:rsidRPr="004060C2">
              <w:rPr>
                <w:rFonts w:ascii="Times New Roman" w:hAnsi="Times New Roman"/>
                <w:sz w:val="24"/>
                <w:szCs w:val="24"/>
                <w:bdr w:val="none" w:sz="0" w:space="0" w:color="auto" w:frame="1"/>
              </w:rPr>
              <w:t xml:space="preserve"> ir </w:t>
            </w:r>
            <w:r w:rsidR="004060C2" w:rsidRPr="00B50F52">
              <w:rPr>
                <w:rFonts w:ascii="Times New Roman" w:hAnsi="Times New Roman"/>
                <w:sz w:val="24"/>
                <w:szCs w:val="24"/>
                <w:bdr w:val="none" w:sz="0" w:space="0" w:color="auto" w:frame="1"/>
              </w:rPr>
              <w:t xml:space="preserve">supaprastinto statybos projekto </w:t>
            </w:r>
            <w:r w:rsidR="00D12918" w:rsidRPr="00B50F52">
              <w:rPr>
                <w:rFonts w:ascii="Times New Roman" w:hAnsi="Times New Roman"/>
                <w:sz w:val="24"/>
                <w:szCs w:val="24"/>
              </w:rPr>
              <w:t>parengim</w:t>
            </w:r>
            <w:r w:rsidR="00573923" w:rsidRPr="00B50F52">
              <w:rPr>
                <w:rFonts w:ascii="Times New Roman" w:hAnsi="Times New Roman"/>
                <w:sz w:val="24"/>
                <w:szCs w:val="24"/>
              </w:rPr>
              <w:t>ą</w:t>
            </w:r>
            <w:r w:rsidR="004060C2" w:rsidRPr="00B50F52">
              <w:rPr>
                <w:rFonts w:ascii="Times New Roman" w:hAnsi="Times New Roman"/>
                <w:sz w:val="24"/>
                <w:szCs w:val="24"/>
              </w:rPr>
              <w:t xml:space="preserve"> bei </w:t>
            </w:r>
            <w:r w:rsidR="004C2A63" w:rsidRPr="00B50F52">
              <w:rPr>
                <w:rFonts w:ascii="Times New Roman" w:hAnsi="Times New Roman"/>
                <w:sz w:val="24"/>
                <w:szCs w:val="24"/>
              </w:rPr>
              <w:t>dokumentų reikalingų statybos užbaigimo procedūrai tinkamai įvykdyti</w:t>
            </w:r>
            <w:r w:rsidR="004C2A63" w:rsidRPr="004C2A63">
              <w:rPr>
                <w:rFonts w:ascii="Times New Roman" w:hAnsi="Times New Roman"/>
                <w:sz w:val="24"/>
              </w:rPr>
              <w:t xml:space="preserve"> parengim</w:t>
            </w:r>
            <w:r w:rsidR="004060C2">
              <w:rPr>
                <w:rFonts w:ascii="Times New Roman" w:hAnsi="Times New Roman"/>
                <w:sz w:val="24"/>
              </w:rPr>
              <w:t>ą</w:t>
            </w:r>
            <w:r w:rsidR="00B50F52">
              <w:rPr>
                <w:rFonts w:ascii="Times New Roman" w:hAnsi="Times New Roman"/>
                <w:sz w:val="24"/>
              </w:rPr>
              <w:t xml:space="preserve">: </w:t>
            </w:r>
            <w:r w:rsidR="00CE548B">
              <w:rPr>
                <w:rFonts w:ascii="Times New Roman" w:hAnsi="Times New Roman"/>
                <w:sz w:val="24"/>
              </w:rPr>
              <w:t xml:space="preserve">statinių kadastrinė byla (jeigu būtina), žemės sklypo </w:t>
            </w:r>
            <w:r w:rsidR="00B50F52" w:rsidRPr="00B50F52">
              <w:rPr>
                <w:rFonts w:ascii="Times New Roman" w:eastAsia="Calibri" w:hAnsi="Times New Roman"/>
                <w:sz w:val="24"/>
                <w:szCs w:val="24"/>
              </w:rPr>
              <w:t>statinių geodezinis kontrolinis planas su užneštais objektais, žemės sklypo topografinis planas po statybų integruotas TIIIS sistemoje, inžinierinių statinių išpildomosios su TIIIS integracija (jeigu būtina), statybos užbaigimo deklaracija, statinių įregistravimui  ir pridavimui Perkančiajai organizacijai, žemės sklypo ir inventorizacinių bylų įregistravimas Registrų centre</w:t>
            </w:r>
            <w:r w:rsidR="00573923" w:rsidRPr="00B50F52">
              <w:rPr>
                <w:rFonts w:ascii="Times New Roman" w:hAnsi="Times New Roman"/>
                <w:sz w:val="24"/>
                <w:szCs w:val="24"/>
              </w:rPr>
              <w:t xml:space="preserve"> (toliau – Darbai).</w:t>
            </w:r>
            <w:r w:rsidR="004C2A63" w:rsidRPr="00B50F52">
              <w:rPr>
                <w:rFonts w:ascii="Times New Roman" w:hAnsi="Times New Roman"/>
                <w:sz w:val="24"/>
                <w:szCs w:val="24"/>
              </w:rPr>
              <w:t xml:space="preserve"> </w:t>
            </w:r>
          </w:p>
          <w:p w14:paraId="3A9ED806" w14:textId="191A2D14"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3"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3"/>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lastRenderedPageBreak/>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4"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4"/>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CC7E7F">
            <w:pPr>
              <w:tabs>
                <w:tab w:val="left" w:pos="426"/>
                <w:tab w:val="left" w:pos="1134"/>
              </w:tabs>
              <w:suppressAutoHyphens/>
              <w:autoSpaceDN w:val="0"/>
              <w:spacing w:after="120" w:line="240" w:lineRule="auto"/>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Pr="006A27CF"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lt-LT"/>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r w:rsidRPr="006A27CF">
              <w:rPr>
                <w:rFonts w:ascii="Times New Roman" w:hAnsi="Times New Roman"/>
                <w:bCs/>
                <w:sz w:val="24"/>
                <w:lang w:val="lt-LT"/>
              </w:rPr>
              <w:t xml:space="preserve">Perkančioji organizacija perduoda Projektą ekspertizei. </w:t>
            </w:r>
          </w:p>
          <w:p w14:paraId="7F059E26" w14:textId="00612F66" w:rsidR="00CC7E7F" w:rsidRPr="000A1A36"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lt-LT"/>
              </w:rPr>
            </w:pPr>
            <w:r w:rsidRPr="000A1A36">
              <w:rPr>
                <w:rFonts w:ascii="Times New Roman" w:hAnsi="Times New Roman"/>
                <w:bCs/>
                <w:sz w:val="24"/>
                <w:lang w:val="lt-LT"/>
              </w:rPr>
              <w:lastRenderedPageBreak/>
              <w:t>rangos darbų atlikimo terminas – 11 (vienuolika) mėn. nuo teigiamos ekspertizės išvados.</w:t>
            </w:r>
          </w:p>
          <w:p w14:paraId="40361819" w14:textId="0112D574" w:rsidR="003624C4" w:rsidRP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05E82A26" w:rsidR="003E56E1" w:rsidRPr="0018633A" w:rsidRDefault="003A14AD" w:rsidP="005E1123">
            <w:pPr>
              <w:tabs>
                <w:tab w:val="left" w:pos="142"/>
              </w:tabs>
              <w:spacing w:after="80" w:line="240" w:lineRule="auto"/>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4060C2">
              <w:rPr>
                <w:rFonts w:ascii="Times New Roman" w:hAnsi="Times New Roman"/>
                <w:sz w:val="24"/>
                <w:szCs w:val="24"/>
                <w:lang w:eastAsia="en-US"/>
              </w:rPr>
              <w:t xml:space="preserve">Jonučių II k., Garliavos apyl. sen., </w:t>
            </w:r>
            <w:r w:rsidR="00CC7E7F" w:rsidRPr="00CC7E7F">
              <w:rPr>
                <w:rFonts w:ascii="Times New Roman" w:hAnsi="Times New Roman"/>
                <w:sz w:val="24"/>
                <w:szCs w:val="24"/>
                <w:lang w:eastAsia="en-US"/>
              </w:rPr>
              <w:t>Kauno r., unikalus Nr. 4400-</w:t>
            </w:r>
            <w:r w:rsidR="004060C2">
              <w:rPr>
                <w:rFonts w:ascii="Times New Roman" w:hAnsi="Times New Roman"/>
                <w:sz w:val="24"/>
                <w:szCs w:val="24"/>
                <w:lang w:eastAsia="en-US"/>
              </w:rPr>
              <w:t>1012</w:t>
            </w:r>
            <w:r w:rsidR="00CC7E7F" w:rsidRPr="00CC7E7F">
              <w:rPr>
                <w:rFonts w:ascii="Times New Roman" w:hAnsi="Times New Roman"/>
                <w:sz w:val="24"/>
                <w:szCs w:val="24"/>
                <w:lang w:eastAsia="en-US"/>
              </w:rPr>
              <w:t>-</w:t>
            </w:r>
            <w:r w:rsidR="004060C2">
              <w:rPr>
                <w:rFonts w:ascii="Times New Roman" w:hAnsi="Times New Roman"/>
                <w:sz w:val="24"/>
                <w:szCs w:val="24"/>
                <w:lang w:eastAsia="en-US"/>
              </w:rPr>
              <w:t>5678</w:t>
            </w:r>
            <w:r w:rsidR="00CC7E7F" w:rsidRPr="00CC7E7F">
              <w:rPr>
                <w:rFonts w:ascii="Times New Roman" w:hAnsi="Times New Roman"/>
                <w:sz w:val="24"/>
                <w:szCs w:val="24"/>
                <w:lang w:eastAsia="en-US"/>
              </w:rPr>
              <w:t>7924</w:t>
            </w:r>
            <w:bookmarkEnd w:id="5"/>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4729EED"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r w:rsidR="007016C9" w:rsidRPr="00BA13D0">
              <w:rPr>
                <w:rFonts w:ascii="Times New Roman" w:hAnsi="Times New Roman"/>
                <w:i/>
                <w:iCs/>
                <w:sz w:val="24"/>
                <w:szCs w:val="24"/>
              </w:rPr>
              <w:t>/nurodyti/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095DD0F5"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 xml:space="preserve">Sutartiniai įsipareigojimai užtikrinami netesybomis (bauda). Užsakovui nutraukus Sutartį dėl Rangovo kaltės – jam nesilaikant Sutarties sąlygų ir joje prisiimtų įsipareigojimų, Rangovas per 7 (septynias) darbo dienas turi sumokėti Užsakovui </w:t>
            </w:r>
            <w:r w:rsidR="005D06E1">
              <w:rPr>
                <w:rFonts w:ascii="Times New Roman" w:hAnsi="Times New Roman"/>
                <w:sz w:val="24"/>
                <w:szCs w:val="24"/>
              </w:rPr>
              <w:t>10</w:t>
            </w:r>
            <w:r w:rsidRPr="00CC7E7F">
              <w:rPr>
                <w:rFonts w:ascii="Times New Roman" w:hAnsi="Times New Roman"/>
                <w:sz w:val="24"/>
                <w:szCs w:val="24"/>
              </w:rPr>
              <w:t xml:space="preserve"> (</w:t>
            </w:r>
            <w:r w:rsidR="005D06E1">
              <w:rPr>
                <w:rFonts w:ascii="Times New Roman" w:hAnsi="Times New Roman"/>
                <w:sz w:val="24"/>
                <w:szCs w:val="24"/>
              </w:rPr>
              <w:t>dešimt</w:t>
            </w:r>
            <w:r w:rsidRPr="00CC7E7F">
              <w:rPr>
                <w:rFonts w:ascii="Times New Roman" w:hAnsi="Times New Roman"/>
                <w:sz w:val="24"/>
                <w:szCs w:val="24"/>
              </w:rPr>
              <w:t>)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204F66" w:rsidRDefault="000A133C" w:rsidP="000A133C">
            <w:pPr>
              <w:spacing w:line="240" w:lineRule="auto"/>
              <w:jc w:val="both"/>
              <w:rPr>
                <w:rFonts w:ascii="Times New Roman" w:hAnsi="Times New Roman"/>
                <w:color w:val="000000"/>
                <w:sz w:val="24"/>
                <w:szCs w:val="24"/>
                <w:highlight w:val="yellow"/>
              </w:rPr>
            </w:pPr>
            <w:r w:rsidRPr="00DC47B6">
              <w:rPr>
                <w:rFonts w:ascii="Times New Roman" w:hAnsi="Times New Roman"/>
                <w:color w:val="000000"/>
                <w:sz w:val="24"/>
                <w:szCs w:val="24"/>
              </w:rPr>
              <w:t xml:space="preserve">Trūkumų šalinimo terminas: ne ilgiau nei 5 (penkios) d. d. nuo Užsakovo pranešimo apie nustatytus trūkumus pateikimo Rangovui dienos. Jei per nustatytą terminą Rangovas trūkumų pašalinti negali dėl objektyvių priežasčių, Rangovas turi Užsakovui </w:t>
            </w:r>
            <w:r w:rsidRPr="00DC47B6">
              <w:rPr>
                <w:rFonts w:ascii="Times New Roman" w:hAnsi="Times New Roman"/>
                <w:sz w:val="24"/>
                <w:szCs w:val="24"/>
              </w:rPr>
              <w:t xml:space="preserve">pateikti objektyvias priežastis </w:t>
            </w:r>
            <w:r w:rsidRPr="00DC47B6">
              <w:rPr>
                <w:rFonts w:ascii="Times New Roman" w:hAnsi="Times New Roman"/>
                <w:color w:val="000000"/>
                <w:sz w:val="24"/>
                <w:szCs w:val="24"/>
              </w:rPr>
              <w:t>patvirtinančius dokumentus ir paaiškinimus, kodėl nespėja pašalinti trūkumų ir Užsakovas, atsižvelgęs į Rangovo pateiktus dokumentus ir paaiškinimus, gali pratęsti trūkumų šalinimo terminą protingam terminui.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5543E0">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 vėlavimą apmokėti Rangovo pateiktą sąskaitą už tinkamai ir laiku atliktus Darbus Užsakovas, Rangovo reikalavimu, moka 0,03 proc. </w:t>
            </w:r>
            <w:r w:rsidRPr="0018633A">
              <w:rPr>
                <w:rFonts w:ascii="Times New Roman" w:hAnsi="Times New Roman"/>
                <w:sz w:val="24"/>
                <w:szCs w:val="24"/>
              </w:rPr>
              <w:lastRenderedPageBreak/>
              <w:t>vėluojamos apmokėti sąskaitos dydžio delspinigius už kiekvieną uždelstą kalendorinę dieną.</w:t>
            </w:r>
          </w:p>
          <w:p w14:paraId="7E2E12F6" w14:textId="5DE40EFE" w:rsidR="000A133C" w:rsidRPr="0094703B" w:rsidRDefault="000A133C" w:rsidP="000A133C">
            <w:pPr>
              <w:spacing w:after="120"/>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(BD 11.3.</w:t>
            </w:r>
            <w:r w:rsidR="000A1A36">
              <w:rPr>
                <w:rFonts w:ascii="Times New Roman" w:hAnsi="Times New Roman"/>
                <w:bCs/>
                <w:sz w:val="24"/>
                <w:szCs w:val="24"/>
                <w:lang w:bidi="ta-IN"/>
              </w:rPr>
              <w:t>8</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p w14:paraId="3E00C292" w14:textId="14E4BC5F" w:rsidR="000A133C" w:rsidRPr="0018633A" w:rsidRDefault="000A133C" w:rsidP="000A133C">
            <w:pPr>
              <w:spacing w:after="120"/>
              <w:jc w:val="both"/>
              <w:rPr>
                <w:rFonts w:ascii="Times New Roman" w:hAnsi="Times New Roman"/>
                <w:sz w:val="24"/>
                <w:szCs w:val="24"/>
              </w:rPr>
            </w:pPr>
            <w:r w:rsidRPr="0094703B">
              <w:rPr>
                <w:rFonts w:ascii="Times New Roman" w:hAnsi="Times New Roman"/>
                <w:bCs/>
                <w:sz w:val="24"/>
                <w:szCs w:val="24"/>
                <w:lang w:bidi="ta-IN"/>
              </w:rPr>
              <w:t>Alkoholio kontrolės darbe sistema (BD 11.3.</w:t>
            </w:r>
            <w:r w:rsidR="000A1A36">
              <w:rPr>
                <w:rFonts w:ascii="Times New Roman" w:hAnsi="Times New Roman"/>
                <w:bCs/>
                <w:sz w:val="24"/>
                <w:szCs w:val="24"/>
                <w:lang w:bidi="ta-IN"/>
              </w:rPr>
              <w:t>9</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F705C3">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18633A" w:rsidRDefault="00CC7E7F"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CC7E7F">
              <w:rPr>
                <w:rFonts w:ascii="Times New Roman" w:hAnsi="Times New Roman"/>
                <w:sz w:val="24"/>
                <w:lang w:val="lt-LT"/>
              </w:rPr>
              <w:t>Projektavimo užduotis/Techninė specifikacija</w:t>
            </w:r>
            <w:r>
              <w:rPr>
                <w:rFonts w:ascii="Times New Roman" w:hAnsi="Times New Roman"/>
                <w:sz w:val="24"/>
                <w:lang w:val="lt-LT"/>
              </w:rPr>
              <w:t xml:space="preserve">; </w:t>
            </w:r>
          </w:p>
          <w:p w14:paraId="1410C6A5" w14:textId="77777777" w:rsidR="00DC47B6" w:rsidRPr="00DC47B6" w:rsidRDefault="000A133C" w:rsidP="00B37C7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C47B6">
              <w:rPr>
                <w:rFonts w:ascii="Times New Roman" w:hAnsi="Times New Roman"/>
                <w:sz w:val="24"/>
                <w:lang w:val="lt-LT"/>
              </w:rPr>
              <w:t>Rangovo pasiūlymas;</w:t>
            </w:r>
          </w:p>
          <w:p w14:paraId="0710B3B7" w14:textId="77777777" w:rsidR="003659D5" w:rsidRPr="001D3A5A" w:rsidRDefault="003659D5" w:rsidP="003659D5">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272051A0" w14:textId="62A17138" w:rsidR="000A133C" w:rsidRPr="00DC47B6" w:rsidRDefault="000A133C" w:rsidP="00B37C7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C47B6">
              <w:rPr>
                <w:rFonts w:ascii="Times New Roman" w:hAnsi="Times New Roman"/>
                <w:sz w:val="24"/>
                <w:lang w:val="lt-LT"/>
              </w:rPr>
              <w:t>Atliktų darbų akto forma (</w:t>
            </w:r>
            <w:r w:rsidRPr="00DC47B6">
              <w:rPr>
                <w:rFonts w:ascii="Times New Roman" w:hAnsi="Times New Roman"/>
                <w:i/>
                <w:iCs/>
                <w:spacing w:val="-3"/>
                <w:sz w:val="24"/>
                <w:lang w:val="lt-LT"/>
              </w:rPr>
              <w:t>pateikiama su kiekvienu Darbų priėmimo- perdavimo aktu</w:t>
            </w:r>
            <w:r w:rsidRPr="00DC47B6">
              <w:rPr>
                <w:rFonts w:ascii="Times New Roman" w:hAnsi="Times New Roman"/>
                <w:spacing w:val="-3"/>
                <w:sz w:val="24"/>
                <w:lang w:val="lt-LT"/>
              </w:rPr>
              <w:t>);</w:t>
            </w:r>
          </w:p>
          <w:p w14:paraId="3D4BB5D7" w14:textId="325363AA" w:rsidR="000A133C" w:rsidRPr="0018633A"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 (</w:t>
            </w:r>
            <w:r w:rsidRPr="0018633A">
              <w:rPr>
                <w:rFonts w:ascii="Times New Roman" w:hAnsi="Times New Roman"/>
                <w:i/>
                <w:iCs/>
                <w:sz w:val="24"/>
                <w:lang w:val="lt-LT"/>
              </w:rPr>
              <w:t xml:space="preserve">kartu su šiuo aktu pasirašoma </w:t>
            </w:r>
            <w:r w:rsidR="002D13B2">
              <w:rPr>
                <w:rFonts w:ascii="Times New Roman" w:hAnsi="Times New Roman"/>
                <w:i/>
                <w:iCs/>
                <w:sz w:val="24"/>
                <w:lang w:val="lt-LT"/>
              </w:rPr>
              <w:t>3</w:t>
            </w:r>
            <w:r w:rsidRPr="0018633A">
              <w:rPr>
                <w:rFonts w:ascii="Times New Roman" w:hAnsi="Times New Roman"/>
                <w:i/>
                <w:iCs/>
                <w:sz w:val="24"/>
                <w:lang w:val="lt-LT"/>
              </w:rPr>
              <w:t xml:space="preserve"> priede pateikta Atliktų darbų akto forma, </w:t>
            </w:r>
            <w:r>
              <w:rPr>
                <w:rFonts w:ascii="Times New Roman" w:hAnsi="Times New Roman"/>
                <w:i/>
                <w:iCs/>
                <w:sz w:val="24"/>
                <w:lang w:val="lt-LT"/>
              </w:rPr>
              <w:t>5</w:t>
            </w:r>
            <w:r w:rsidRPr="0018633A">
              <w:rPr>
                <w:rFonts w:ascii="Times New Roman" w:hAnsi="Times New Roman"/>
                <w:i/>
                <w:iCs/>
                <w:sz w:val="24"/>
                <w:lang w:val="lt-LT"/>
              </w:rPr>
              <w:t xml:space="preserve"> priede pateikta Atliktų darbų ir išlaidų apmokėjimo pažyma</w:t>
            </w:r>
            <w:r w:rsidRPr="0018633A">
              <w:rPr>
                <w:rFonts w:ascii="Times New Roman" w:hAnsi="Times New Roman"/>
                <w:sz w:val="24"/>
                <w:lang w:val="lt-LT"/>
              </w:rPr>
              <w:t>);</w:t>
            </w:r>
          </w:p>
          <w:p w14:paraId="34E39480" w14:textId="2B743AB5" w:rsidR="000A133C" w:rsidRPr="00DC47B6" w:rsidRDefault="000A133C" w:rsidP="004C2A6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6FAFC7B1" w14:textId="1C4BDAF0" w:rsidR="00DC47B6" w:rsidRPr="004C2A63" w:rsidRDefault="00017D2F" w:rsidP="004C2A6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Pažymos apie atliktų statybos darbų vertę pagal objektus</w:t>
            </w:r>
            <w:r w:rsidRPr="001D3A5A">
              <w:rPr>
                <w:rFonts w:ascii="Times New Roman" w:hAnsi="Times New Roman"/>
                <w:b/>
                <w:bCs/>
                <w:color w:val="000000"/>
                <w:sz w:val="24"/>
                <w:lang w:val="lt-LT"/>
              </w:rPr>
              <w:t xml:space="preserve"> </w:t>
            </w:r>
            <w:r w:rsidRPr="001D3A5A">
              <w:rPr>
                <w:rFonts w:ascii="Times New Roman" w:hAnsi="Times New Roman"/>
                <w:color w:val="000000"/>
                <w:sz w:val="24"/>
                <w:lang w:val="lt-LT"/>
              </w:rPr>
              <w:t>(</w:t>
            </w:r>
            <w:r w:rsidRPr="001D3A5A">
              <w:rPr>
                <w:rFonts w:ascii="Times New Roman" w:hAnsi="Times New Roman"/>
                <w:i/>
                <w:iCs/>
                <w:spacing w:val="-3"/>
                <w:sz w:val="24"/>
                <w:lang w:val="lt-LT"/>
              </w:rPr>
              <w:t>pateikiama kartu su galutiniu Darbų perdavimo-priėmimo aktu</w:t>
            </w:r>
            <w:r w:rsidRPr="001D3A5A">
              <w:rPr>
                <w:rFonts w:ascii="Times New Roman" w:hAnsi="Times New Roman"/>
                <w:spacing w:val="-3"/>
                <w:sz w:val="24"/>
                <w:lang w:val="lt-LT"/>
              </w:rPr>
              <w:t>) forma</w:t>
            </w:r>
            <w:r w:rsidRPr="001D3A5A">
              <w:rPr>
                <w:rFonts w:ascii="Times New Roman" w:hAnsi="Times New Roman"/>
                <w:color w:val="000000"/>
                <w:sz w:val="24"/>
                <w:lang w:val="lt-LT"/>
              </w:rPr>
              <w:t>.</w:t>
            </w:r>
          </w:p>
          <w:p w14:paraId="5D4E751E" w14:textId="7789DF52" w:rsidR="00F705C3" w:rsidRPr="009E0C77" w:rsidRDefault="00F705C3" w:rsidP="00F705C3">
            <w:pPr>
              <w:pStyle w:val="Sraopastraipa"/>
              <w:numPr>
                <w:ilvl w:val="0"/>
                <w:numId w:val="7"/>
              </w:numPr>
              <w:tabs>
                <w:tab w:val="left" w:pos="319"/>
              </w:tabs>
              <w:spacing w:before="0" w:after="0"/>
              <w:ind w:left="6" w:firstLine="0"/>
              <w:rPr>
                <w:rFonts w:ascii="Times New Roman" w:hAnsi="Times New Roman"/>
                <w:color w:val="000000"/>
                <w:sz w:val="24"/>
                <w:lang w:val="lt-LT"/>
              </w:rPr>
            </w:pPr>
            <w:r w:rsidRPr="00F705C3">
              <w:rPr>
                <w:rFonts w:ascii="Times New Roman" w:hAnsi="Times New Roman"/>
                <w:color w:val="000000"/>
                <w:sz w:val="24"/>
                <w:lang w:val="lt-LT"/>
              </w:rPr>
              <w:t>Lokalinės sąmatos (bus pateiktos po Sutarties pasirašymo, žr. Sutarties SD 1.1 punktą).</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1042D50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Pr>
                <w:rFonts w:ascii="Times New Roman" w:hAnsi="Times New Roman"/>
                <w:sz w:val="24"/>
                <w:szCs w:val="24"/>
              </w:rPr>
              <w:t>[</w:t>
            </w:r>
            <w:r w:rsidRPr="00B02167">
              <w:rPr>
                <w:rFonts w:ascii="Times New Roman" w:hAnsi="Times New Roman"/>
                <w:i/>
                <w:iCs/>
                <w:sz w:val="24"/>
                <w:szCs w:val="24"/>
              </w:rPr>
              <w:t>pareigos vardas pavardė, el. p., tel.</w:t>
            </w:r>
            <w:r>
              <w:rPr>
                <w:rFonts w:ascii="Times New Roman" w:hAnsi="Times New Roman"/>
                <w:sz w:val="24"/>
                <w:szCs w:val="24"/>
              </w:rPr>
              <w:t>]</w:t>
            </w:r>
            <w:r w:rsidRPr="0018633A">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lastRenderedPageBreak/>
              <w:t xml:space="preserve">Mantas Rikteris </w:t>
            </w:r>
          </w:p>
        </w:tc>
        <w:tc>
          <w:tcPr>
            <w:tcW w:w="4111"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lastRenderedPageBreak/>
              <w:t>Rangovas:</w:t>
            </w:r>
          </w:p>
          <w:p w14:paraId="6B670CFA" w14:textId="70567876" w:rsidR="000A133C" w:rsidRDefault="000A133C" w:rsidP="000A133C">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0A133C" w:rsidRPr="00B02167" w:rsidRDefault="000A133C" w:rsidP="000A133C">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PVM mok. K</w:t>
            </w:r>
            <w:r>
              <w:rPr>
                <w:rFonts w:ascii="Times New Roman" w:hAnsi="Times New Roman"/>
                <w:bCs/>
                <w:sz w:val="24"/>
                <w:szCs w:val="24"/>
              </w:rPr>
              <w:t>.</w:t>
            </w:r>
          </w:p>
          <w:p w14:paraId="149A9D89" w14:textId="1918A32C"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El. p. </w:t>
            </w:r>
          </w:p>
          <w:p w14:paraId="5D0201FF" w14:textId="654ABED5"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A.s. Nr. LT</w:t>
            </w:r>
          </w:p>
          <w:p w14:paraId="03A25E66" w14:textId="06A0E3AB" w:rsidR="000A133C" w:rsidRPr="0018633A" w:rsidRDefault="000A133C" w:rsidP="000A133C">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0A133C" w:rsidRPr="0018633A" w:rsidRDefault="000A133C" w:rsidP="000A133C">
            <w:pPr>
              <w:spacing w:after="0" w:line="240" w:lineRule="auto"/>
              <w:jc w:val="both"/>
              <w:rPr>
                <w:rFonts w:ascii="Times New Roman" w:hAnsi="Times New Roman"/>
                <w:bCs/>
                <w:sz w:val="24"/>
                <w:szCs w:val="24"/>
              </w:rPr>
            </w:pPr>
            <w:r w:rsidRPr="00B02167">
              <w:rPr>
                <w:rFonts w:ascii="Times New Roman" w:hAnsi="Times New Roman"/>
                <w:bCs/>
                <w:i/>
                <w:iCs/>
                <w:sz w:val="24"/>
                <w:szCs w:val="24"/>
              </w:rPr>
              <w:lastRenderedPageBreak/>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/-us</w:t>
      </w:r>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ą/-us</w:t>
      </w:r>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7" w:name="_Hlk201155459"/>
      <w:r w:rsidRPr="003F520F">
        <w:rPr>
          <w:rFonts w:ascii="Times New Roman" w:hAnsi="Times New Roman" w:cs="Times New Roman"/>
          <w:color w:val="auto"/>
        </w:rPr>
        <w:t>patvirtinti atitikties deklaracija raštu.</w:t>
      </w:r>
    </w:p>
    <w:bookmarkEnd w:id="7"/>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C4A7" w14:textId="77777777" w:rsidR="001A304D" w:rsidRDefault="001A304D" w:rsidP="00923B55">
      <w:pPr>
        <w:spacing w:after="0" w:line="240" w:lineRule="auto"/>
      </w:pPr>
      <w:r>
        <w:separator/>
      </w:r>
    </w:p>
  </w:endnote>
  <w:endnote w:type="continuationSeparator" w:id="0">
    <w:p w14:paraId="26DAE6A8" w14:textId="77777777" w:rsidR="001A304D" w:rsidRDefault="001A304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E702" w14:textId="77777777" w:rsidR="001A304D" w:rsidRDefault="001A304D" w:rsidP="00923B55">
      <w:pPr>
        <w:spacing w:after="0" w:line="240" w:lineRule="auto"/>
      </w:pPr>
      <w:r>
        <w:separator/>
      </w:r>
    </w:p>
  </w:footnote>
  <w:footnote w:type="continuationSeparator" w:id="0">
    <w:p w14:paraId="4E3270B3" w14:textId="77777777" w:rsidR="001A304D" w:rsidRDefault="001A304D"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20"/>
  </w:num>
  <w:num w:numId="7" w16cid:durableId="495001499">
    <w:abstractNumId w:val="10"/>
  </w:num>
  <w:num w:numId="8" w16cid:durableId="1455560643">
    <w:abstractNumId w:val="8"/>
  </w:num>
  <w:num w:numId="9" w16cid:durableId="100995171">
    <w:abstractNumId w:val="18"/>
  </w:num>
  <w:num w:numId="10" w16cid:durableId="200362876">
    <w:abstractNumId w:val="4"/>
  </w:num>
  <w:num w:numId="11" w16cid:durableId="1952395277">
    <w:abstractNumId w:val="22"/>
  </w:num>
  <w:num w:numId="12"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3"/>
  </w:num>
  <w:num w:numId="14" w16cid:durableId="1248880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9"/>
  </w:num>
  <w:num w:numId="16" w16cid:durableId="1706130580">
    <w:abstractNumId w:val="13"/>
  </w:num>
  <w:num w:numId="17" w16cid:durableId="391777348">
    <w:abstractNumId w:val="9"/>
  </w:num>
  <w:num w:numId="18" w16cid:durableId="736392972">
    <w:abstractNumId w:val="21"/>
  </w:num>
  <w:num w:numId="19" w16cid:durableId="1835877068">
    <w:abstractNumId w:val="2"/>
  </w:num>
  <w:num w:numId="20" w16cid:durableId="104034709">
    <w:abstractNumId w:val="11"/>
  </w:num>
  <w:num w:numId="21" w16cid:durableId="1977176516">
    <w:abstractNumId w:val="1"/>
  </w:num>
  <w:num w:numId="22" w16cid:durableId="817654641">
    <w:abstractNumId w:val="3"/>
  </w:num>
  <w:num w:numId="23" w16cid:durableId="1515529732">
    <w:abstractNumId w:val="12"/>
  </w:num>
  <w:num w:numId="24" w16cid:durableId="1711298946">
    <w:abstractNumId w:val="24"/>
  </w:num>
  <w:num w:numId="25" w16cid:durableId="1155027337">
    <w:abstractNumId w:val="17"/>
  </w:num>
  <w:num w:numId="26" w16cid:durableId="1729961007">
    <w:abstractNumId w:val="16"/>
  </w:num>
  <w:num w:numId="27" w16cid:durableId="16473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17D2F"/>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A36"/>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04D"/>
    <w:rsid w:val="001A355A"/>
    <w:rsid w:val="001A56DC"/>
    <w:rsid w:val="001A5D7C"/>
    <w:rsid w:val="001A64AC"/>
    <w:rsid w:val="001B0624"/>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3A5B"/>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4F66"/>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4A9E"/>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9D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C2"/>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2B93"/>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6E1"/>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7CF"/>
    <w:rsid w:val="006A2ABC"/>
    <w:rsid w:val="006A34B4"/>
    <w:rsid w:val="006A39E5"/>
    <w:rsid w:val="006A5D05"/>
    <w:rsid w:val="006A6073"/>
    <w:rsid w:val="006A675F"/>
    <w:rsid w:val="006A6769"/>
    <w:rsid w:val="006A74A6"/>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61"/>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2D9"/>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3328"/>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0F52"/>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87F"/>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548B"/>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47B6"/>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377E9"/>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26</Pages>
  <Words>53856</Words>
  <Characters>30698</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15</cp:revision>
  <cp:lastPrinted>2024-12-03T09:16:00Z</cp:lastPrinted>
  <dcterms:created xsi:type="dcterms:W3CDTF">2025-08-25T12:22:00Z</dcterms:created>
  <dcterms:modified xsi:type="dcterms:W3CDTF">2025-08-28T08:23:00Z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