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466BEFAA"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009080E" w:rsidR="00597DC2" w:rsidRPr="00597DC2" w:rsidRDefault="004647A4"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7168C636" w:rsidR="00597DC2" w:rsidRDefault="004647A4"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0349632E"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E67FB">
            <w:rPr>
              <w:rFonts w:ascii="Times New Roman" w:eastAsia="Times New Roman" w:hAnsi="Times New Roman" w:cs="Times New Roman"/>
              <w:bCs/>
              <w:sz w:val="24"/>
              <w:szCs w:val="24"/>
            </w:rPr>
            <w:t xml:space="preserve">   </w:t>
          </w:r>
          <w:r w:rsidR="00894421">
            <w:rPr>
              <w:rFonts w:ascii="Times New Roman" w:eastAsia="Times New Roman" w:hAnsi="Times New Roman" w:cs="Times New Roman"/>
              <w:bCs/>
              <w:sz w:val="24"/>
              <w:szCs w:val="24"/>
            </w:rPr>
            <w:t xml:space="preserve"> </w:t>
          </w:r>
          <w:r w:rsidR="004647A4">
            <w:rPr>
              <w:rFonts w:ascii="Times New Roman" w:eastAsia="Times New Roman" w:hAnsi="Times New Roman" w:cs="Times New Roman"/>
              <w:bCs/>
              <w:sz w:val="24"/>
              <w:szCs w:val="24"/>
            </w:rPr>
            <w:t xml:space="preserve">      </w:t>
          </w:r>
          <w:r w:rsidR="00894421">
            <w:rPr>
              <w:rFonts w:ascii="Times New Roman" w:eastAsia="Times New Roman" w:hAnsi="Times New Roman" w:cs="Times New Roman"/>
              <w:bCs/>
              <w:sz w:val="24"/>
              <w:szCs w:val="24"/>
            </w:rPr>
            <w:t>rugpjūčio</w:t>
          </w:r>
          <w:r w:rsidRPr="00597DC2">
            <w:rPr>
              <w:rFonts w:ascii="Times New Roman" w:eastAsia="Times New Roman" w:hAnsi="Times New Roman" w:cs="Times New Roman"/>
              <w:bCs/>
              <w:sz w:val="24"/>
              <w:szCs w:val="24"/>
            </w:rPr>
            <w:t xml:space="preserve"> </w:t>
          </w:r>
          <w:r w:rsidR="004647A4">
            <w:rPr>
              <w:rFonts w:ascii="Times New Roman" w:eastAsia="Times New Roman" w:hAnsi="Times New Roman" w:cs="Times New Roman"/>
              <w:bCs/>
              <w:sz w:val="24"/>
              <w:szCs w:val="24"/>
            </w:rPr>
            <w:t xml:space="preserve">28 </w:t>
          </w:r>
          <w:r w:rsidRPr="00597DC2">
            <w:rPr>
              <w:rFonts w:ascii="Times New Roman" w:eastAsia="Times New Roman" w:hAnsi="Times New Roman" w:cs="Times New Roman"/>
              <w:bCs/>
              <w:sz w:val="24"/>
              <w:szCs w:val="24"/>
            </w:rPr>
            <w:t>d. įsakymu Nr. V42E-</w:t>
          </w:r>
          <w:r w:rsidR="004647A4">
            <w:rPr>
              <w:rFonts w:ascii="Times New Roman" w:eastAsia="Times New Roman" w:hAnsi="Times New Roman" w:cs="Times New Roman"/>
              <w:bCs/>
              <w:sz w:val="24"/>
              <w:szCs w:val="24"/>
            </w:rPr>
            <w:t>93</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bookmarkStart w:id="0" w:name="_GoBack"/>
          <w:bookmarkEnd w:id="0"/>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15689524"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7471E9" w:rsidRPr="007471E9">
            <w:rPr>
              <w:rFonts w:ascii="Times New Roman" w:eastAsia="Times New Roman" w:hAnsi="Times New Roman" w:cs="Times New Roman"/>
              <w:b/>
              <w:color w:val="000000"/>
              <w:sz w:val="24"/>
              <w:szCs w:val="24"/>
              <w:lang w:eastAsia="ar-SA"/>
            </w:rPr>
            <w:t>NAUJOS ELEKTROS APŠVIETIMO LINIJOS, ŽIEŽMARIŲ M. ŽASLIŲ, GĖLIŲ, TRUMPOJI IR VYTAUTO GATVĖSE</w:t>
          </w:r>
          <w:r w:rsidR="007471E9">
            <w:rPr>
              <w:rFonts w:ascii="Times New Roman" w:eastAsia="Times New Roman" w:hAnsi="Times New Roman" w:cs="Times New Roman"/>
              <w:b/>
              <w:color w:val="000000"/>
              <w:sz w:val="24"/>
              <w:szCs w:val="24"/>
              <w:lang w:eastAsia="ar-SA"/>
            </w:rPr>
            <w:t xml:space="preserve"> STATYBOS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42D88FA6"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7471E9" w:rsidRPr="007471E9">
            <w:rPr>
              <w:rFonts w:ascii="Times New Roman" w:hAnsi="Times New Roman" w:cs="Times New Roman"/>
              <w:b/>
              <w:bCs/>
              <w:sz w:val="24"/>
              <w:szCs w:val="24"/>
            </w:rPr>
            <w:t>NAUJOS ELEKTROS APŠVIETIMO LINIJOS, ŽIEŽMARIŲ M. ŽASLIŲ, GĖLIŲ, TRUMPOJI IR VYTAUTO GATVĖSE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w:t>
          </w:r>
          <w:r w:rsidRPr="003611FD">
            <w:rPr>
              <w:rFonts w:ascii="Times New Roman" w:eastAsia="Calibri" w:hAnsi="Times New Roman" w:cs="Times New Roman"/>
              <w:color w:val="000000" w:themeColor="text1"/>
              <w:sz w:val="24"/>
              <w:szCs w:val="24"/>
            </w:rPr>
            <w:lastRenderedPageBreak/>
            <w:t>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F11119"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D85DA5A"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7471E9" w:rsidRPr="007471E9">
            <w:rPr>
              <w:rFonts w:ascii="Times New Roman" w:eastAsia="Calibri" w:hAnsi="Times New Roman" w:cs="Times New Roman"/>
              <w:b/>
              <w:bCs/>
              <w:sz w:val="24"/>
              <w:szCs w:val="24"/>
              <w:lang w:eastAsia="en-US"/>
            </w:rPr>
            <w:t>NAUJOS ELEKTROS APŠVIETIMO LINIJOS, ŽIEŽMARIŲ M. ŽASLIŲ, GĖLIŲ, TRUMPOJI IR VYTAUTO GATVĖSE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F11119"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50A20B69"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7471E9" w:rsidRPr="007471E9">
        <w:rPr>
          <w:rFonts w:ascii="Times New Roman" w:eastAsia="Times New Roman" w:hAnsi="Times New Roman" w:cs="Times New Roman"/>
          <w:color w:val="000000"/>
          <w:sz w:val="24"/>
          <w:szCs w:val="24"/>
        </w:rPr>
        <w:t>Naujos elektros apšvietimo linijos, Žiežmarių m. Žaslių, Gėlių, Trumpoji ir Vytauto gatvėse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63CBB0BF"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7471E9">
        <w:rPr>
          <w:rFonts w:ascii="Times New Roman" w:eastAsia="Times New Roman" w:hAnsi="Times New Roman" w:cs="Times New Roman"/>
          <w:i/>
          <w:color w:val="000000"/>
          <w:sz w:val="24"/>
          <w:szCs w:val="24"/>
        </w:rPr>
        <w:t xml:space="preserve"> </w:t>
      </w:r>
      <w:r w:rsidR="007471E9" w:rsidRPr="007471E9">
        <w:rPr>
          <w:rFonts w:ascii="Times New Roman" w:eastAsia="Times New Roman" w:hAnsi="Times New Roman" w:cs="Times New Roman"/>
          <w:i/>
          <w:color w:val="000000"/>
          <w:sz w:val="24"/>
          <w:szCs w:val="24"/>
        </w:rPr>
        <w:t>Naujos elektros apšvietimo linijos, Žiežmarių m. Žaslių, Gėlių, Trumpoji ir Vytauto gatvėse</w:t>
      </w:r>
      <w:r w:rsidR="007471E9">
        <w:rPr>
          <w:rFonts w:ascii="Times New Roman" w:eastAsia="Times New Roman" w:hAnsi="Times New Roman" w:cs="Times New Roman"/>
          <w:i/>
          <w:color w:val="000000"/>
          <w:sz w:val="24"/>
          <w:szCs w:val="24"/>
        </w:rPr>
        <w:t xml:space="preserve">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85045C">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05B16497" w14:textId="4008D3A2" w:rsidR="0085045C" w:rsidRPr="0085045C" w:rsidRDefault="0085045C" w:rsidP="008504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85045C">
        <w:rPr>
          <w:rFonts w:ascii="Times New Roman" w:hAnsi="Times New Roman" w:cs="Times New Roman"/>
          <w:b/>
          <w:bCs/>
          <w:sz w:val="24"/>
          <w:szCs w:val="24"/>
        </w:rPr>
        <w:t>Užpildyt</w:t>
      </w:r>
      <w:r w:rsidR="00BA37F7">
        <w:rPr>
          <w:rFonts w:ascii="Times New Roman" w:hAnsi="Times New Roman" w:cs="Times New Roman"/>
          <w:b/>
          <w:bCs/>
          <w:sz w:val="24"/>
          <w:szCs w:val="24"/>
        </w:rPr>
        <w:t>as</w:t>
      </w:r>
      <w:r w:rsidRPr="0085045C">
        <w:rPr>
          <w:rFonts w:ascii="Times New Roman" w:hAnsi="Times New Roman" w:cs="Times New Roman"/>
          <w:b/>
          <w:bCs/>
          <w:sz w:val="24"/>
          <w:szCs w:val="24"/>
        </w:rPr>
        <w:t xml:space="preserve"> darbų kiekių žiniaraštis (</w:t>
      </w:r>
      <w:r w:rsidR="00BA37F7">
        <w:rPr>
          <w:rFonts w:ascii="Times New Roman" w:hAnsi="Times New Roman" w:cs="Times New Roman"/>
          <w:b/>
          <w:bCs/>
          <w:sz w:val="24"/>
          <w:szCs w:val="24"/>
        </w:rPr>
        <w:t>techninis darbo projektas 29-30</w:t>
      </w:r>
      <w:r w:rsidRPr="0085045C">
        <w:rPr>
          <w:rFonts w:ascii="Times New Roman" w:hAnsi="Times New Roman" w:cs="Times New Roman"/>
          <w:b/>
          <w:bCs/>
          <w:sz w:val="24"/>
          <w:szCs w:val="24"/>
        </w:rPr>
        <w:t xml:space="preserve"> psl.) </w:t>
      </w:r>
      <w:r w:rsidR="00BA37F7">
        <w:rPr>
          <w:rFonts w:ascii="Times New Roman" w:hAnsi="Times New Roman" w:cs="Times New Roman"/>
          <w:b/>
          <w:bCs/>
          <w:sz w:val="24"/>
          <w:szCs w:val="24"/>
        </w:rPr>
        <w:t xml:space="preserve">bus prašomas </w:t>
      </w:r>
      <w:r w:rsidRPr="0085045C">
        <w:rPr>
          <w:rFonts w:ascii="Times New Roman" w:hAnsi="Times New Roman" w:cs="Times New Roman"/>
          <w:b/>
          <w:bCs/>
          <w:sz w:val="24"/>
          <w:szCs w:val="24"/>
        </w:rPr>
        <w:t>tik iš galimo pirkimo laimėtojo.</w:t>
      </w: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1D31146B"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7471E9">
        <w:rPr>
          <w:rStyle w:val="Antrat1Diagrama"/>
          <w:rFonts w:ascii="Times New Roman" w:hAnsi="Times New Roman" w:cs="Times New Roman"/>
          <w:bCs/>
          <w:sz w:val="24"/>
          <w:szCs w:val="24"/>
        </w:rPr>
        <w:t>tuose keliamiems reikalavimams“;</w:t>
      </w:r>
    </w:p>
    <w:p w14:paraId="25CF4FB2" w14:textId="41FE5FCA" w:rsidR="007471E9" w:rsidRDefault="007471E9"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„Techninis darbo projektas“ (pridedamas atskiru dokumentu).</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264E44FA" w14:textId="141AD4BC" w:rsidR="002E2E5C" w:rsidRPr="005419BF" w:rsidRDefault="0085045C"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w:t>
      </w: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F11119"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28BCB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 xml:space="preserve">Tiekėjas taiko įrengimo darbams (Elektros įrenginių 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4D6EE3B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5618205E" w:rsidR="00B8621A" w:rsidRPr="001E67FB"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1E67FB">
        <w:rPr>
          <w:rFonts w:ascii="Times New Roman" w:eastAsia="Times New Roman" w:hAnsi="Times New Roman" w:cs="Times New Roman"/>
          <w:b/>
          <w:iCs/>
          <w:color w:val="000000"/>
          <w:sz w:val="24"/>
          <w:szCs w:val="24"/>
          <w:lang w:eastAsia="en-US"/>
        </w:rPr>
        <w:t xml:space="preserve">DĖL </w:t>
      </w:r>
      <w:r w:rsidR="007471E9" w:rsidRPr="007471E9">
        <w:rPr>
          <w:rFonts w:ascii="Times New Roman" w:hAnsi="Times New Roman" w:cs="Times New Roman"/>
          <w:b/>
          <w:color w:val="000000"/>
          <w:sz w:val="24"/>
          <w:szCs w:val="24"/>
        </w:rPr>
        <w:t>NAUJOS ELEKTROS APŠVIETIMO LINIJOS, ŽIEŽMARIŲ M. ŽASLIŲ, GĖLIŲ, TRUMPOJI IR VYTAUTO GATVĖSE</w:t>
      </w:r>
      <w:r w:rsidR="007471E9">
        <w:rPr>
          <w:rFonts w:ascii="Times New Roman" w:hAnsi="Times New Roman" w:cs="Times New Roman"/>
          <w:b/>
          <w:color w:val="000000"/>
          <w:sz w:val="24"/>
          <w:szCs w:val="24"/>
        </w:rPr>
        <w:t xml:space="preserve"> STATYBOS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7D5EA4D9" w:rsidR="005419BF" w:rsidRPr="007471E9" w:rsidRDefault="007471E9" w:rsidP="001E67F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N</w:t>
            </w:r>
            <w:r w:rsidRPr="007471E9">
              <w:rPr>
                <w:rFonts w:ascii="Times New Roman" w:eastAsia="Calibri" w:hAnsi="Times New Roman" w:cs="Times New Roman"/>
                <w:sz w:val="22"/>
                <w:szCs w:val="22"/>
              </w:rPr>
              <w:t>aujos elektros apšvietimo l</w:t>
            </w:r>
            <w:r>
              <w:rPr>
                <w:rFonts w:ascii="Times New Roman" w:eastAsia="Calibri" w:hAnsi="Times New Roman" w:cs="Times New Roman"/>
                <w:sz w:val="22"/>
                <w:szCs w:val="22"/>
              </w:rPr>
              <w:t>inijo</w:t>
            </w:r>
            <w:r w:rsidR="00DB34CD">
              <w:rPr>
                <w:rFonts w:ascii="Times New Roman" w:eastAsia="Calibri" w:hAnsi="Times New Roman" w:cs="Times New Roman"/>
                <w:sz w:val="22"/>
                <w:szCs w:val="22"/>
              </w:rPr>
              <w:t>s, Žiežmarių m. Žaslių, G</w:t>
            </w:r>
            <w:r w:rsidR="00B050DC">
              <w:rPr>
                <w:rFonts w:ascii="Times New Roman" w:eastAsia="Calibri" w:hAnsi="Times New Roman" w:cs="Times New Roman"/>
                <w:sz w:val="22"/>
                <w:szCs w:val="22"/>
              </w:rPr>
              <w:t>ėlių, T</w:t>
            </w:r>
            <w:r>
              <w:rPr>
                <w:rFonts w:ascii="Times New Roman" w:eastAsia="Calibri" w:hAnsi="Times New Roman" w:cs="Times New Roman"/>
                <w:sz w:val="22"/>
                <w:szCs w:val="22"/>
              </w:rPr>
              <w:t>rumpoji ir V</w:t>
            </w:r>
            <w:r w:rsidRPr="007471E9">
              <w:rPr>
                <w:rFonts w:ascii="Times New Roman" w:eastAsia="Calibri" w:hAnsi="Times New Roman" w:cs="Times New Roman"/>
                <w:sz w:val="22"/>
                <w:szCs w:val="22"/>
              </w:rPr>
              <w:t>ytauto gatvėse statybos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bl>
    <w:p w14:paraId="0F1E93B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0FDC34A8" w14:textId="77777777" w:rsidR="002E2E5C" w:rsidRDefault="002E2E5C" w:rsidP="002E2E5C">
      <w:pPr>
        <w:rPr>
          <w:rFonts w:eastAsiaTheme="minorHAnsi" w:cstheme="minorHAnsi"/>
          <w:bCs/>
          <w:iCs/>
        </w:rPr>
      </w:pPr>
    </w:p>
    <w:p w14:paraId="1BA53B4F" w14:textId="77777777" w:rsidR="00F02CA6" w:rsidRPr="004F1A11" w:rsidRDefault="00F02CA6" w:rsidP="002E2E5C">
      <w:pPr>
        <w:rPr>
          <w:rFonts w:eastAsiaTheme="minorHAnsi" w:cstheme="minorHAnsi"/>
          <w:bCs/>
          <w:iCs/>
        </w:rPr>
      </w:pPr>
    </w:p>
    <w:p w14:paraId="4F7D1447" w14:textId="77777777" w:rsidR="007471E9" w:rsidRDefault="007471E9" w:rsidP="002E2E5C">
      <w:pPr>
        <w:ind w:firstLine="7371"/>
        <w:jc w:val="right"/>
        <w:rPr>
          <w:rFonts w:ascii="Times New Roman" w:hAnsi="Times New Roman" w:cs="Times New Roman"/>
          <w:sz w:val="24"/>
          <w:szCs w:val="24"/>
        </w:rPr>
      </w:pPr>
    </w:p>
    <w:p w14:paraId="0C7FD185" w14:textId="77777777" w:rsidR="007471E9" w:rsidRDefault="007471E9" w:rsidP="002E2E5C">
      <w:pPr>
        <w:ind w:firstLine="7371"/>
        <w:jc w:val="right"/>
        <w:rPr>
          <w:rFonts w:ascii="Times New Roman" w:hAnsi="Times New Roman" w:cs="Times New Roman"/>
          <w:sz w:val="24"/>
          <w:szCs w:val="24"/>
        </w:rPr>
      </w:pPr>
    </w:p>
    <w:p w14:paraId="1E959A1C" w14:textId="77777777" w:rsidR="007471E9" w:rsidRDefault="007471E9"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0C974A56"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5ACC6" w14:textId="77777777" w:rsidR="00F11119" w:rsidRDefault="00F11119" w:rsidP="00D05666">
      <w:r>
        <w:separator/>
      </w:r>
    </w:p>
  </w:endnote>
  <w:endnote w:type="continuationSeparator" w:id="0">
    <w:p w14:paraId="4DB76CCB" w14:textId="77777777" w:rsidR="00F11119" w:rsidRDefault="00F11119" w:rsidP="00D05666">
      <w:r>
        <w:continuationSeparator/>
      </w:r>
    </w:p>
  </w:endnote>
  <w:endnote w:type="continuationNotice" w:id="1">
    <w:p w14:paraId="6B23BA4A" w14:textId="77777777" w:rsidR="00F11119" w:rsidRDefault="00F11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BA37F7" w:rsidRDefault="00BA37F7" w:rsidP="00BA37F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BA37F7" w:rsidRDefault="00BA37F7" w:rsidP="00BA37F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1E3AB" w14:textId="77777777" w:rsidR="00F11119" w:rsidRDefault="00F11119" w:rsidP="00D05666">
      <w:r>
        <w:separator/>
      </w:r>
    </w:p>
  </w:footnote>
  <w:footnote w:type="continuationSeparator" w:id="0">
    <w:p w14:paraId="743E4067" w14:textId="77777777" w:rsidR="00F11119" w:rsidRDefault="00F11119" w:rsidP="00D05666">
      <w:r>
        <w:continuationSeparator/>
      </w:r>
    </w:p>
  </w:footnote>
  <w:footnote w:type="continuationNotice" w:id="1">
    <w:p w14:paraId="255E4C2B" w14:textId="77777777" w:rsidR="00F11119" w:rsidRDefault="00F11119">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502948"/>
      <w:docPartObj>
        <w:docPartGallery w:val="Page Numbers (Top of Page)"/>
        <w:docPartUnique/>
      </w:docPartObj>
    </w:sdtPr>
    <w:sdtEndPr/>
    <w:sdtContent>
      <w:p w14:paraId="7581BB20" w14:textId="761F501B" w:rsidR="00BA37F7" w:rsidRDefault="00F11119">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3463054C" w:rsidR="00BA37F7" w:rsidRDefault="00BA37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4421"/>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03C41A7-37EB-4EC0-95D0-C61F611E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28</Pages>
  <Words>45357</Words>
  <Characters>25855</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33</cp:revision>
  <cp:lastPrinted>2025-01-30T12:47:00Z</cp:lastPrinted>
  <dcterms:created xsi:type="dcterms:W3CDTF">2025-03-27T09:36:00Z</dcterms:created>
  <dcterms:modified xsi:type="dcterms:W3CDTF">2025-08-28T10:00:00Z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