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20708C1C"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6F70A6B3" w:rsidR="007D2F72" w:rsidRPr="00E042C0" w:rsidRDefault="007D2F72" w:rsidP="00284A47">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400DEBDE" w:rsidR="006C16B4" w:rsidRPr="00E042C0" w:rsidRDefault="00CE26B7" w:rsidP="00284A47">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6C16B4" w:rsidRPr="00E042C0">
              <w:rPr>
                <w:rFonts w:ascii="Times New Roman" w:hAnsi="Times New Roman" w:cs="Times New Roman"/>
                <w:lang w:val="lt-LT"/>
              </w:rPr>
              <w:t xml:space="preserve"> </w:t>
            </w:r>
            <w:r w:rsidR="00284A47">
              <w:rPr>
                <w:rFonts w:ascii="Times New Roman" w:hAnsi="Times New Roman" w:cs="Times New Roman"/>
                <w:lang w:val="lt-LT"/>
              </w:rPr>
              <w:t>0,00</w:t>
            </w:r>
            <w:r w:rsidR="00854E53" w:rsidRPr="00E042C0">
              <w:rPr>
                <w:rFonts w:ascii="Times New Roman" w:hAnsi="Times New Roman" w:cs="Times New Roman"/>
                <w:lang w:val="lt-LT"/>
              </w:rPr>
              <w:t xml:space="preserve"> 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0,0</w:t>
            </w:r>
            <w:r w:rsidR="005C593C">
              <w:rPr>
                <w:rFonts w:ascii="Times New Roman" w:hAnsi="Times New Roman" w:cs="Times New Roman"/>
                <w:lang w:val="lt-LT"/>
              </w:rPr>
              <w:t>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2E55479E" w:rsidR="006C16B4" w:rsidRPr="00E042C0" w:rsidRDefault="006C16B4" w:rsidP="008A09D2">
            <w:pPr>
              <w:pStyle w:val="ListParagraph"/>
              <w:numPr>
                <w:ilvl w:val="1"/>
                <w:numId w:val="2"/>
              </w:numPr>
              <w:spacing w:after="0" w:line="240" w:lineRule="auto"/>
              <w:ind w:left="0" w:firstLine="177"/>
              <w:rPr>
                <w:rFonts w:ascii="Times New Roman" w:hAnsi="Times New Roman" w:cs="Times New Roman"/>
                <w:lang w:val="lt-LT"/>
              </w:rPr>
            </w:pPr>
          </w:p>
        </w:tc>
        <w:tc>
          <w:tcPr>
            <w:tcW w:w="4925" w:type="dxa"/>
          </w:tcPr>
          <w:p w14:paraId="495143EE" w14:textId="27C4F711" w:rsidR="00854E53" w:rsidRPr="00E042C0" w:rsidRDefault="00CE26B7" w:rsidP="00B94CC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B94CCF">
              <w:rPr>
                <w:rFonts w:ascii="Times New Roman" w:hAnsi="Times New Roman" w:cs="Times New Roman"/>
                <w:lang w:val="lt-LT"/>
              </w:rPr>
              <w:t>0,00</w:t>
            </w:r>
            <w:r w:rsidR="003B3A40" w:rsidRPr="00E042C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284A47">
              <w:rPr>
                <w:rFonts w:ascii="Times New Roman" w:hAnsi="Times New Roman" w:cs="Times New Roman"/>
                <w:lang w:val="lt-LT"/>
              </w:rPr>
              <w:t>0,0</w:t>
            </w:r>
            <w:r w:rsidR="00B94CCF">
              <w:rPr>
                <w:rFonts w:ascii="Times New Roman" w:hAnsi="Times New Roman" w:cs="Times New Roman"/>
                <w:lang w:val="lt-LT"/>
              </w:rPr>
              <w:t xml:space="preserve">0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13CFB0BE"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2025</w:t>
            </w:r>
            <w:r w:rsidR="00D62BEB">
              <w:rPr>
                <w:rFonts w:ascii="Times New Roman" w:hAnsi="Times New Roman" w:cs="Times New Roman"/>
                <w:lang w:val="lt-LT"/>
              </w:rPr>
              <w:t xml:space="preserve"> m. </w:t>
            </w:r>
            <w:r w:rsidR="001E3EEF">
              <w:rPr>
                <w:rFonts w:ascii="Times New Roman" w:hAnsi="Times New Roman" w:cs="Times New Roman"/>
                <w:lang w:val="lt-LT"/>
              </w:rPr>
              <w:t>lapkričio</w:t>
            </w:r>
            <w:r w:rsidR="009D18DD">
              <w:rPr>
                <w:rFonts w:ascii="Times New Roman" w:hAnsi="Times New Roman" w:cs="Times New Roman"/>
                <w:lang w:val="lt-LT"/>
              </w:rPr>
              <w:t xml:space="preserve"> 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69ACD39A" w:rsidR="00CA6639" w:rsidRPr="00CA6639" w:rsidRDefault="003B7D1D"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693A1B">
              <w:rPr>
                <w:rFonts w:ascii="Times New Roman" w:hAnsi="Times New Roman" w:cs="Times New Roman"/>
                <w:lang w:val="lt-LT"/>
              </w:rPr>
              <w:t xml:space="preserve">90 </w:t>
            </w:r>
            <w:r w:rsidR="00CA6639">
              <w:rPr>
                <w:rFonts w:ascii="Times New Roman" w:hAnsi="Times New Roman" w:cs="Times New Roman"/>
                <w:lang w:val="lt-LT"/>
              </w:rPr>
              <w:t xml:space="preserve">d.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w:t>
            </w:r>
            <w:bookmarkStart w:id="0" w:name="_GoBack"/>
            <w:bookmarkEnd w:id="0"/>
            <w:r w:rsidR="007B276C">
              <w:rPr>
                <w:rFonts w:ascii="Times New Roman" w:hAnsi="Times New Roman" w:cs="Times New Roman"/>
                <w:b/>
                <w:lang w:val="lt-LT"/>
              </w:rPr>
              <w:t>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6AC749BF"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9D18DD">
              <w:rPr>
                <w:rFonts w:ascii="Times New Roman" w:hAnsi="Times New Roman" w:cs="Times New Roman"/>
                <w:lang w:val="lt-LT"/>
              </w:rPr>
              <w:t>št.</w:t>
            </w:r>
            <w:r w:rsidR="00284A47">
              <w:rPr>
                <w:rFonts w:ascii="Times New Roman" w:hAnsi="Times New Roman" w:cs="Times New Roman"/>
                <w:lang w:val="lt-LT"/>
              </w:rPr>
              <w:t xml:space="preserve"> </w:t>
            </w:r>
            <w:r w:rsidR="00FF0849" w:rsidRPr="00FF0849">
              <w:rPr>
                <w:rFonts w:ascii="Times New Roman" w:hAnsi="Times New Roman" w:cs="Times New Roman"/>
                <w:lang w:val="lt-LT"/>
              </w:rPr>
              <w:t>srž.</w:t>
            </w:r>
            <w:r w:rsidR="008F11EE">
              <w:rPr>
                <w:rFonts w:ascii="Times New Roman" w:hAnsi="Times New Roman" w:cs="Times New Roman"/>
                <w:lang w:val="lt-LT"/>
              </w:rPr>
              <w:t xml:space="preserve"> sp.</w:t>
            </w:r>
            <w:r w:rsidR="00FF0849" w:rsidRPr="00FF0849">
              <w:rPr>
                <w:rFonts w:ascii="Times New Roman" w:hAnsi="Times New Roman" w:cs="Times New Roman"/>
                <w:lang w:val="lt-LT"/>
              </w:rPr>
              <w:t xml:space="preserve"> </w:t>
            </w:r>
            <w:r w:rsidR="008F11EE">
              <w:rPr>
                <w:rFonts w:ascii="Times New Roman" w:hAnsi="Times New Roman" w:cs="Times New Roman"/>
                <w:lang w:val="lt-LT"/>
              </w:rPr>
              <w:t>Dmitrij Tatol; Tel. Nr. +370 706 75863</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r w:rsidR="008F11EE">
              <w:rPr>
                <w:rFonts w:ascii="Times New Roman" w:hAnsi="Times New Roman" w:cs="Times New Roman"/>
                <w:lang w:val="lt-LT"/>
              </w:rPr>
              <w:t>dmitrij.tatol</w:t>
            </w:r>
            <w:r w:rsidR="00FF0849" w:rsidRPr="00FF0849">
              <w:rPr>
                <w:rFonts w:ascii="Times New Roman" w:hAnsi="Times New Roman" w:cs="Times New Roman"/>
                <w:lang w:val="lt-LT"/>
              </w:rPr>
              <w:t>@mil.lt.</w:t>
            </w:r>
          </w:p>
          <w:p w14:paraId="79C71705" w14:textId="1D08D259" w:rsidR="00A82C8E" w:rsidRPr="00E042C0" w:rsidRDefault="00A82C8E" w:rsidP="00284A47">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r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25B083B2" w14:textId="77777777" w:rsidR="00051340" w:rsidRDefault="00051340" w:rsidP="00284A47">
            <w:pPr>
              <w:spacing w:after="0" w:line="240" w:lineRule="auto"/>
              <w:rPr>
                <w:rFonts w:ascii="Times New Roman" w:hAnsi="Times New Roman" w:cs="Times New Roman"/>
                <w:b/>
                <w:lang w:val="lt-LT"/>
              </w:rPr>
            </w:pPr>
          </w:p>
          <w:p w14:paraId="7AC7F19F" w14:textId="77777777" w:rsidR="00284A47" w:rsidRDefault="00284A47" w:rsidP="00284A47">
            <w:pPr>
              <w:spacing w:after="0" w:line="240" w:lineRule="auto"/>
              <w:rPr>
                <w:rFonts w:ascii="Times New Roman" w:hAnsi="Times New Roman" w:cs="Times New Roman"/>
                <w:b/>
                <w:lang w:val="lt-LT"/>
              </w:rPr>
            </w:pPr>
          </w:p>
          <w:p w14:paraId="69D97DA4" w14:textId="77777777" w:rsidR="00284A47" w:rsidRDefault="00284A47" w:rsidP="00284A47">
            <w:pPr>
              <w:spacing w:after="0" w:line="240" w:lineRule="auto"/>
              <w:rPr>
                <w:rFonts w:ascii="Times New Roman" w:hAnsi="Times New Roman" w:cs="Times New Roman"/>
                <w:b/>
                <w:lang w:val="lt-LT"/>
              </w:rPr>
            </w:pPr>
          </w:p>
          <w:p w14:paraId="7B160B07" w14:textId="570805F5" w:rsidR="00284A47" w:rsidRPr="00323C07" w:rsidRDefault="00284A47" w:rsidP="00284A47">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0BF6AC9B"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p>
    <w:p w14:paraId="3E064E51" w14:textId="1504C355"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1313601C" w14:textId="71DE165A" w:rsidR="009F10AC" w:rsidRPr="009F10AC" w:rsidRDefault="001E3EEF" w:rsidP="002B2E3F">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Laikinai einantis viršininko pareigas</w:t>
      </w:r>
    </w:p>
    <w:p w14:paraId="5CE9C59E" w14:textId="610C510C" w:rsidR="009F10AC" w:rsidRDefault="001E3EEF" w:rsidP="001E3EEF">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mjr. Aurimas Lapkauskas</w:t>
      </w:r>
    </w:p>
    <w:p w14:paraId="308E1539" w14:textId="77777777" w:rsidR="001E3EEF" w:rsidRPr="009F10AC" w:rsidRDefault="001E3EEF" w:rsidP="001E3EEF">
      <w:pPr>
        <w:spacing w:after="0" w:line="240" w:lineRule="auto"/>
        <w:ind w:firstLine="720"/>
        <w:rPr>
          <w:rFonts w:ascii="Times New Roman" w:eastAsia="Arial" w:hAnsi="Times New Roman" w:cs="Times New Roman"/>
          <w:sz w:val="24"/>
          <w:szCs w:val="24"/>
          <w:lang w:val="lt-LT" w:eastAsia="ar-SA"/>
        </w:rPr>
      </w:pPr>
    </w:p>
    <w:p w14:paraId="047A8B5B" w14:textId="18E584A7" w:rsidR="005C484F" w:rsidRPr="001E3EEF" w:rsidRDefault="009F10AC" w:rsidP="001E3EE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001E3EEF">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6A113AB7" w:rsidR="00B34ED1" w:rsidRDefault="00B34ED1"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1 priedas prie sutarties</w:t>
      </w:r>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0B36F1CB"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 xml:space="preserve">„Prekių pavadinimai, reikalavimai prekėms, mato vienetai, </w:t>
      </w:r>
      <w:proofErr w:type="gramStart"/>
      <w:r w:rsidRPr="007D16E5">
        <w:rPr>
          <w:rFonts w:ascii="Times New Roman" w:hAnsi="Times New Roman" w:cs="Times New Roman"/>
          <w:sz w:val="24"/>
          <w:szCs w:val="24"/>
          <w:lang w:val="it-IT"/>
        </w:rPr>
        <w:t>kiekiai“</w:t>
      </w:r>
      <w:proofErr w:type="gramEnd"/>
    </w:p>
    <w:tbl>
      <w:tblPr>
        <w:tblStyle w:val="TableGrid"/>
        <w:tblW w:w="10489" w:type="dxa"/>
        <w:tblInd w:w="421" w:type="dxa"/>
        <w:tblLook w:val="04A0" w:firstRow="1" w:lastRow="0" w:firstColumn="1" w:lastColumn="0" w:noHBand="0" w:noVBand="1"/>
      </w:tblPr>
      <w:tblGrid>
        <w:gridCol w:w="551"/>
        <w:gridCol w:w="2284"/>
        <w:gridCol w:w="5361"/>
        <w:gridCol w:w="1362"/>
        <w:gridCol w:w="931"/>
      </w:tblGrid>
      <w:tr w:rsidR="005C484F" w:rsidRPr="00284A47" w14:paraId="0A7B42FD" w14:textId="77777777" w:rsidTr="00E9330F">
        <w:tc>
          <w:tcPr>
            <w:tcW w:w="562" w:type="dxa"/>
          </w:tcPr>
          <w:p w14:paraId="344C332E" w14:textId="5A11903B" w:rsidR="005C484F" w:rsidRPr="00284A47" w:rsidRDefault="005C484F" w:rsidP="005075B1">
            <w:pPr>
              <w:rPr>
                <w:rFonts w:ascii="Times New Roman" w:hAnsi="Times New Roman" w:cs="Times New Roman"/>
              </w:rPr>
            </w:pPr>
            <w:r w:rsidRPr="00284A47">
              <w:rPr>
                <w:rFonts w:ascii="Times New Roman" w:hAnsi="Times New Roman" w:cs="Times New Roman"/>
              </w:rPr>
              <w:t xml:space="preserve">Eil. Nr. </w:t>
            </w:r>
          </w:p>
        </w:tc>
        <w:tc>
          <w:tcPr>
            <w:tcW w:w="2694" w:type="dxa"/>
          </w:tcPr>
          <w:p w14:paraId="6A543A02" w14:textId="3B0EA899" w:rsidR="005C484F" w:rsidRPr="00284A47" w:rsidRDefault="005C484F" w:rsidP="005075B1">
            <w:pPr>
              <w:rPr>
                <w:rFonts w:ascii="Times New Roman" w:hAnsi="Times New Roman" w:cs="Times New Roman"/>
              </w:rPr>
            </w:pPr>
            <w:r w:rsidRPr="00284A47">
              <w:rPr>
                <w:rFonts w:ascii="Times New Roman" w:hAnsi="Times New Roman" w:cs="Times New Roman"/>
              </w:rPr>
              <w:t>Perkamo objekto pavadinimas</w:t>
            </w:r>
          </w:p>
        </w:tc>
        <w:tc>
          <w:tcPr>
            <w:tcW w:w="4677" w:type="dxa"/>
          </w:tcPr>
          <w:p w14:paraId="3C4257D0" w14:textId="2294EA0C" w:rsidR="005C484F" w:rsidRPr="00284A47" w:rsidRDefault="005C484F" w:rsidP="005075B1">
            <w:pPr>
              <w:rPr>
                <w:rFonts w:ascii="Times New Roman" w:hAnsi="Times New Roman" w:cs="Times New Roman"/>
              </w:rPr>
            </w:pPr>
            <w:r w:rsidRPr="00284A47">
              <w:rPr>
                <w:rFonts w:ascii="Times New Roman" w:hAnsi="Times New Roman" w:cs="Times New Roman"/>
              </w:rPr>
              <w:t>Reikalavimai prekei</w:t>
            </w:r>
          </w:p>
        </w:tc>
        <w:tc>
          <w:tcPr>
            <w:tcW w:w="1559" w:type="dxa"/>
          </w:tcPr>
          <w:p w14:paraId="582F8E6B" w14:textId="2DBC4AA8" w:rsidR="005C484F" w:rsidRPr="00284A47" w:rsidRDefault="005C484F" w:rsidP="005C484F">
            <w:pPr>
              <w:ind w:left="390" w:hanging="390"/>
              <w:rPr>
                <w:rFonts w:ascii="Times New Roman" w:hAnsi="Times New Roman" w:cs="Times New Roman"/>
              </w:rPr>
            </w:pPr>
            <w:r w:rsidRPr="00284A47">
              <w:rPr>
                <w:rFonts w:ascii="Times New Roman" w:hAnsi="Times New Roman" w:cs="Times New Roman"/>
              </w:rPr>
              <w:t>Mato vnt.</w:t>
            </w:r>
          </w:p>
        </w:tc>
        <w:tc>
          <w:tcPr>
            <w:tcW w:w="997" w:type="dxa"/>
          </w:tcPr>
          <w:p w14:paraId="33778021" w14:textId="462C4652" w:rsidR="005C484F" w:rsidRPr="00284A47" w:rsidRDefault="00284A47" w:rsidP="005075B1">
            <w:pPr>
              <w:rPr>
                <w:rFonts w:ascii="Times New Roman" w:hAnsi="Times New Roman" w:cs="Times New Roman"/>
              </w:rPr>
            </w:pPr>
            <w:r w:rsidRPr="00284A47">
              <w:rPr>
                <w:rFonts w:ascii="Times New Roman" w:hAnsi="Times New Roman" w:cs="Times New Roman"/>
              </w:rPr>
              <w:t>K</w:t>
            </w:r>
            <w:r w:rsidR="005C484F" w:rsidRPr="00284A47">
              <w:rPr>
                <w:rFonts w:ascii="Times New Roman" w:hAnsi="Times New Roman" w:cs="Times New Roman"/>
              </w:rPr>
              <w:t>iekis</w:t>
            </w:r>
          </w:p>
        </w:tc>
      </w:tr>
      <w:tr w:rsidR="00284A47" w:rsidRPr="00284A47" w14:paraId="5599F181" w14:textId="77777777" w:rsidTr="001E3EEF">
        <w:trPr>
          <w:trHeight w:val="4069"/>
        </w:trPr>
        <w:tc>
          <w:tcPr>
            <w:tcW w:w="562" w:type="dxa"/>
            <w:vAlign w:val="center"/>
          </w:tcPr>
          <w:p w14:paraId="35C5A4F3" w14:textId="16459BDE" w:rsidR="00284A47" w:rsidRPr="00284A47" w:rsidRDefault="00284A47" w:rsidP="00284A47">
            <w:pPr>
              <w:rPr>
                <w:rFonts w:ascii="Times New Roman" w:hAnsi="Times New Roman" w:cs="Times New Roman"/>
              </w:rPr>
            </w:pPr>
            <w:r w:rsidRPr="00284A47">
              <w:rPr>
                <w:rFonts w:ascii="Times New Roman" w:hAnsi="Times New Roman" w:cs="Times New Roman"/>
              </w:rPr>
              <w:t>1</w:t>
            </w:r>
          </w:p>
        </w:tc>
        <w:tc>
          <w:tcPr>
            <w:tcW w:w="2694" w:type="dxa"/>
          </w:tcPr>
          <w:p w14:paraId="7A55CB3A" w14:textId="003F92E3" w:rsidR="00B34ED1" w:rsidRPr="00284A47" w:rsidRDefault="00FB6275" w:rsidP="00284A47">
            <w:pPr>
              <w:rPr>
                <w:rFonts w:ascii="Times New Roman" w:hAnsi="Times New Roman" w:cs="Times New Roman"/>
              </w:rPr>
            </w:pPr>
            <w:r>
              <w:rPr>
                <w:rFonts w:ascii="Times New Roman" w:hAnsi="Times New Roman" w:cs="Times New Roman"/>
              </w:rPr>
              <w:t>Stacionari grafinė darbo stotis (kompiuteris)</w:t>
            </w:r>
          </w:p>
        </w:tc>
        <w:tc>
          <w:tcPr>
            <w:tcW w:w="4677" w:type="dxa"/>
          </w:tcPr>
          <w:p w14:paraId="26C58EF0"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w:t>
            </w:r>
            <w:r w:rsidRPr="00FB6275">
              <w:rPr>
                <w:rFonts w:ascii="Times New Roman" w:hAnsi="Times New Roman" w:cs="Times New Roman"/>
              </w:rPr>
              <w:tab/>
              <w:t>Bendrieji reikalavimai.</w:t>
            </w:r>
          </w:p>
          <w:p w14:paraId="040959D8" w14:textId="77777777" w:rsidR="00FB6275" w:rsidRPr="00FB6275" w:rsidRDefault="00FB6275" w:rsidP="00FB6275">
            <w:pPr>
              <w:jc w:val="both"/>
              <w:rPr>
                <w:rFonts w:ascii="Times New Roman" w:hAnsi="Times New Roman" w:cs="Times New Roman"/>
              </w:rPr>
            </w:pPr>
          </w:p>
          <w:p w14:paraId="75C85FF9"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w:t>
            </w:r>
            <w:r w:rsidRPr="00FB6275">
              <w:rPr>
                <w:rFonts w:ascii="Times New Roman" w:hAnsi="Times New Roman" w:cs="Times New Roman"/>
              </w:rPr>
              <w:tab/>
              <w:t>Visa pateikiama techninė įranga privalo būti nauja (negali būti atnaujinta, restauruota (angl. refurbished), nenaudota, pateikta nepažeistoje gamyklinėje pakuotėje.</w:t>
            </w:r>
          </w:p>
          <w:p w14:paraId="2316CF9E"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1.2.</w:t>
            </w:r>
            <w:r w:rsidRPr="00FB6275">
              <w:rPr>
                <w:rFonts w:ascii="Times New Roman" w:hAnsi="Times New Roman" w:cs="Times New Roman"/>
              </w:rPr>
              <w:tab/>
              <w:t>Tiekėjas turi užtikrinti, kad gamintojas nėra paskelbęs žinios apie siūlomos įrangos gamybos arba tobulinimo nutraukimą (</w:t>
            </w:r>
            <w:proofErr w:type="gramStart"/>
            <w:r w:rsidRPr="00FB6275">
              <w:rPr>
                <w:rFonts w:ascii="Times New Roman" w:hAnsi="Times New Roman" w:cs="Times New Roman"/>
              </w:rPr>
              <w:t>pvz.,</w:t>
            </w:r>
            <w:proofErr w:type="gramEnd"/>
            <w:r w:rsidRPr="00FB6275">
              <w:rPr>
                <w:rFonts w:ascii="Times New Roman" w:hAnsi="Times New Roman" w:cs="Times New Roman"/>
              </w:rPr>
              <w:t xml:space="preserve"> angl. end of life time ar Discontinued).   </w:t>
            </w:r>
          </w:p>
          <w:p w14:paraId="3D279320"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1.3.</w:t>
            </w:r>
            <w:r w:rsidRPr="00FB6275">
              <w:rPr>
                <w:rFonts w:ascii="Times New Roman" w:hAnsi="Times New Roman" w:cs="Times New Roman"/>
              </w:rPr>
              <w:tab/>
              <w:t>Tiekėjas turi pateikti nuorodą į gamintojo puslapį, kuriame yra tiksli pasiūlymą atitinkančios techninės ar programinės įrangos techninė specifikacija.</w:t>
            </w:r>
          </w:p>
          <w:p w14:paraId="32440B57"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1.4.</w:t>
            </w:r>
            <w:r w:rsidRPr="00FB6275">
              <w:rPr>
                <w:rFonts w:ascii="Times New Roman" w:hAnsi="Times New Roman" w:cs="Times New Roman"/>
              </w:rPr>
              <w:tab/>
              <w:t>Įrangos dokumentai turi būti lietuvių arba anglų kalba. Užrašai ant įrenginio ir jo dalių turi būti anglų arba lietuvių kalba. Gamintojo interneto svetainėje tvarkyklių ir dokumentų paieška atliekama anglų arba lietuvių kalba.</w:t>
            </w:r>
          </w:p>
          <w:p w14:paraId="7773E4D7"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1.5.</w:t>
            </w:r>
            <w:r w:rsidRPr="00FB6275">
              <w:rPr>
                <w:rFonts w:ascii="Times New Roman" w:hAnsi="Times New Roman" w:cs="Times New Roman"/>
              </w:rPr>
              <w:tab/>
              <w:t>Tiekėjas į savo pasiūlymą turi įtraukti visą aparatinę ir programinę įrangą bei medžiagas, reikalingas šioje specifikacijoje nurodytiems reikalavimams įvykdyti.</w:t>
            </w:r>
          </w:p>
          <w:p w14:paraId="341EFCF3"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1.6.</w:t>
            </w:r>
            <w:r w:rsidRPr="00FB6275">
              <w:rPr>
                <w:rFonts w:ascii="Times New Roman" w:hAnsi="Times New Roman" w:cs="Times New Roman"/>
              </w:rPr>
              <w:tab/>
              <w:t xml:space="preserve">Visos programinės įrangos licencija turi būti suteikiama neribotam laikui. </w:t>
            </w:r>
          </w:p>
          <w:p w14:paraId="23DABF09"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1.7.</w:t>
            </w:r>
            <w:r w:rsidRPr="00FB6275">
              <w:rPr>
                <w:rFonts w:ascii="Times New Roman" w:hAnsi="Times New Roman" w:cs="Times New Roman"/>
              </w:rPr>
              <w:tab/>
              <w:t>Visos techninės įrangos maitinimo įtampa turi būti 230V 50Hz su Europos kontinentinėje dalyje naudojama jungtimi (CEE 7/7).</w:t>
            </w:r>
          </w:p>
          <w:p w14:paraId="19DF7E0F"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1.8.</w:t>
            </w:r>
            <w:r w:rsidRPr="00FB6275">
              <w:rPr>
                <w:rFonts w:ascii="Times New Roman" w:hAnsi="Times New Roman" w:cs="Times New Roman"/>
              </w:rPr>
              <w:tab/>
              <w:t>Kompiuteriai turi atitikti minimalius aplinkos apsaugos kriterijus, patvirtintus Lietuvos Respublikos aplinkos ministro 2011 m. birželio 28 d. įsakymu Nr. D1-501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2DF3CB5C"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1.9.</w:t>
            </w:r>
            <w:r w:rsidRPr="00FB6275">
              <w:rPr>
                <w:rFonts w:ascii="Times New Roman" w:hAnsi="Times New Roman" w:cs="Times New Roman"/>
              </w:rPr>
              <w:tab/>
              <w:t>Saugumo reikalavimai:</w:t>
            </w:r>
          </w:p>
          <w:p w14:paraId="7CCD4DF4"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1.9.1</w:t>
            </w:r>
            <w:r w:rsidRPr="00FB6275">
              <w:rPr>
                <w:rFonts w:ascii="Times New Roman" w:hAnsi="Times New Roman" w:cs="Times New Roman"/>
              </w:rPr>
              <w:tab/>
            </w:r>
            <w:proofErr w:type="gramStart"/>
            <w:r w:rsidRPr="00FB6275">
              <w:rPr>
                <w:rFonts w:ascii="Times New Roman" w:hAnsi="Times New Roman" w:cs="Times New Roman"/>
              </w:rPr>
              <w:t>standieji</w:t>
            </w:r>
            <w:proofErr w:type="gramEnd"/>
            <w:r w:rsidRPr="00FB6275">
              <w:rPr>
                <w:rFonts w:ascii="Times New Roman" w:hAnsi="Times New Roman" w:cs="Times New Roman"/>
              </w:rPr>
              <w:t xml:space="preserve"> ar puslaidininkiniai diskai (angl. HDD/SSD) ar kitos atminties laikmenos gedimo atveju turi būti keičiamos naujomis. Sugedusios atminties laikmenos sunaikinamos pirkėjo patalpose ir tiekėjui negrąžinamos;</w:t>
            </w:r>
          </w:p>
          <w:p w14:paraId="6B34790F"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1.9.2</w:t>
            </w:r>
            <w:r w:rsidRPr="00FB6275">
              <w:rPr>
                <w:rFonts w:ascii="Times New Roman" w:hAnsi="Times New Roman" w:cs="Times New Roman"/>
              </w:rPr>
              <w:tab/>
            </w:r>
            <w:proofErr w:type="gramStart"/>
            <w:r w:rsidRPr="00FB6275">
              <w:rPr>
                <w:rFonts w:ascii="Times New Roman" w:hAnsi="Times New Roman" w:cs="Times New Roman"/>
              </w:rPr>
              <w:t>įrangos</w:t>
            </w:r>
            <w:proofErr w:type="gramEnd"/>
            <w:r w:rsidRPr="00FB6275">
              <w:rPr>
                <w:rFonts w:ascii="Times New Roman" w:hAnsi="Times New Roman" w:cs="Times New Roman"/>
              </w:rPr>
              <w:t xml:space="preserve"> gedimo atveju iš instaliacijos vietos remontui išvežamą pas tiekėją (jo atstovą) sugedusią įrangą pirkėjas pateikia be joje sumontuotų standžiųjų ar puslaidininkinių diskų (angl. HDD/SSD) ar kitų atminties laikmenų.</w:t>
            </w:r>
          </w:p>
          <w:p w14:paraId="5715122F"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1.10.</w:t>
            </w:r>
            <w:r w:rsidRPr="00FB6275">
              <w:rPr>
                <w:rFonts w:ascii="Times New Roman" w:hAnsi="Times New Roman" w:cs="Times New Roman"/>
              </w:rPr>
              <w:tab/>
              <w:t>Pirkimas susijęs su nacionaliniu saugumu</w:t>
            </w:r>
            <w:proofErr w:type="gramStart"/>
            <w:r w:rsidRPr="00FB6275">
              <w:rPr>
                <w:rFonts w:ascii="Times New Roman" w:hAnsi="Times New Roman" w:cs="Times New Roman"/>
              </w:rPr>
              <w:t>;  tiekėjo</w:t>
            </w:r>
            <w:proofErr w:type="gramEnd"/>
            <w:r w:rsidRPr="00FB6275">
              <w:rPr>
                <w:rFonts w:ascii="Times New Roman" w:hAnsi="Times New Roman" w:cs="Times New Roman"/>
              </w:rPr>
              <w:t xml:space="preserve"> siūlomos prekės neturi kelti grėsmės nacionaliniam saugumui; tiekėjas teikdamas pasiūlymą kartu pateikia įrodymus, kad siūlomos prekės nekelia grėsmės nacionaliniam saugumui.</w:t>
            </w:r>
          </w:p>
          <w:p w14:paraId="5E6777E7"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1.11.</w:t>
            </w:r>
            <w:r w:rsidRPr="00FB6275">
              <w:rPr>
                <w:rFonts w:ascii="Times New Roman" w:hAnsi="Times New Roman" w:cs="Times New Roman"/>
              </w:rPr>
              <w:tab/>
              <w:t xml:space="preserve">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w:t>
            </w:r>
            <w:r w:rsidRPr="00FB6275">
              <w:rPr>
                <w:rFonts w:ascii="Times New Roman" w:hAnsi="Times New Roman" w:cs="Times New Roman"/>
              </w:rPr>
              <w:lastRenderedPageBreak/>
              <w:t>traktuojama kaip reikalavimų neatitikimas ir sutarties sąlygų nesilaikymas:</w:t>
            </w:r>
            <w:r w:rsidRPr="00FB6275">
              <w:rPr>
                <w:rFonts w:ascii="Times New Roman" w:hAnsi="Times New Roman" w:cs="Times New Roman"/>
              </w:rPr>
              <w:tab/>
            </w:r>
          </w:p>
          <w:p w14:paraId="426FC929"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1.11.1.</w:t>
            </w:r>
            <w:r w:rsidRPr="00FB6275">
              <w:rPr>
                <w:rFonts w:ascii="Times New Roman" w:hAnsi="Times New Roman" w:cs="Times New Roman"/>
              </w:rPr>
              <w:tab/>
              <w:t>įranga grąžinama tiekėjui arba keičiama nauja lygiaverte ar geresne, tačiau saugumo reikalavimus atitinkančia įranga;</w:t>
            </w:r>
            <w:r w:rsidRPr="00FB6275">
              <w:rPr>
                <w:rFonts w:ascii="Times New Roman" w:hAnsi="Times New Roman" w:cs="Times New Roman"/>
              </w:rPr>
              <w:tab/>
            </w:r>
          </w:p>
          <w:p w14:paraId="5585077B"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1.11.2.</w:t>
            </w:r>
            <w:r w:rsidRPr="00FB6275">
              <w:rPr>
                <w:rFonts w:ascii="Times New Roman" w:hAnsi="Times New Roman" w:cs="Times New Roman"/>
              </w:rPr>
              <w:tab/>
            </w:r>
            <w:proofErr w:type="gramStart"/>
            <w:r w:rsidRPr="00FB6275">
              <w:rPr>
                <w:rFonts w:ascii="Times New Roman" w:hAnsi="Times New Roman" w:cs="Times New Roman"/>
              </w:rPr>
              <w:t>tiekėjas</w:t>
            </w:r>
            <w:proofErr w:type="gramEnd"/>
            <w:r w:rsidRPr="00FB6275">
              <w:rPr>
                <w:rFonts w:ascii="Times New Roman" w:hAnsi="Times New Roman" w:cs="Times New Roman"/>
              </w:rPr>
              <w:t xml:space="preserve"> padengia pirkimo proceso metu pirkėjo patirtą materialinę žalą.</w:t>
            </w:r>
            <w:r w:rsidRPr="00FB6275">
              <w:rPr>
                <w:rFonts w:ascii="Times New Roman" w:hAnsi="Times New Roman" w:cs="Times New Roman"/>
              </w:rPr>
              <w:tab/>
            </w:r>
          </w:p>
          <w:p w14:paraId="6B7CCE80"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1.12.</w:t>
            </w:r>
            <w:r w:rsidRPr="00FB6275">
              <w:rPr>
                <w:rFonts w:ascii="Times New Roman" w:hAnsi="Times New Roman" w:cs="Times New Roman"/>
              </w:rPr>
              <w:tab/>
              <w:t>Garantinis laikotarpis ir priežiūra:</w:t>
            </w:r>
            <w:r w:rsidRPr="00FB6275">
              <w:rPr>
                <w:rFonts w:ascii="Times New Roman" w:hAnsi="Times New Roman" w:cs="Times New Roman"/>
              </w:rPr>
              <w:tab/>
            </w:r>
          </w:p>
          <w:p w14:paraId="2E0AF605"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1.12.1.</w:t>
            </w:r>
            <w:r w:rsidRPr="00FB6275">
              <w:rPr>
                <w:rFonts w:ascii="Times New Roman" w:hAnsi="Times New Roman" w:cs="Times New Roman"/>
              </w:rPr>
              <w:tab/>
              <w:t>visai įrangai suteikiama ne trumpesnė kaip 36 mėnesių gamintojo garantija;</w:t>
            </w:r>
            <w:r w:rsidRPr="00FB6275">
              <w:rPr>
                <w:rFonts w:ascii="Times New Roman" w:hAnsi="Times New Roman" w:cs="Times New Roman"/>
              </w:rPr>
              <w:tab/>
            </w:r>
          </w:p>
          <w:p w14:paraId="758CD87B"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1.12.2.</w:t>
            </w:r>
            <w:r w:rsidRPr="00FB6275">
              <w:rPr>
                <w:rFonts w:ascii="Times New Roman" w:hAnsi="Times New Roman" w:cs="Times New Roman"/>
              </w:rPr>
              <w:tab/>
            </w:r>
            <w:proofErr w:type="gramStart"/>
            <w:r w:rsidRPr="00FB6275">
              <w:rPr>
                <w:rFonts w:ascii="Times New Roman" w:hAnsi="Times New Roman" w:cs="Times New Roman"/>
              </w:rPr>
              <w:t>bendra</w:t>
            </w:r>
            <w:proofErr w:type="gramEnd"/>
            <w:r w:rsidRPr="00FB6275">
              <w:rPr>
                <w:rFonts w:ascii="Times New Roman" w:hAnsi="Times New Roman" w:cs="Times New Roman"/>
              </w:rPr>
              <w:t xml:space="preserve"> garantinio remonto trukmė – ne ilgiau kaip 10 darbo dienų. Jei sugedusios įrangos per šį laikotarpį pataisyti neįmanoma – ji pakeičiama ekvivalentiška nauja. Gamintojo išankstinė garantija standžiųjų diskų įrenginiui ir atmintinei pagal klaidų statistiką (angl. Prefailure warranty);</w:t>
            </w:r>
            <w:r w:rsidRPr="00FB6275">
              <w:rPr>
                <w:rFonts w:ascii="Times New Roman" w:hAnsi="Times New Roman" w:cs="Times New Roman"/>
              </w:rPr>
              <w:tab/>
            </w:r>
          </w:p>
          <w:p w14:paraId="3759EF81"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1.12.3.</w:t>
            </w:r>
            <w:r w:rsidRPr="00FB6275">
              <w:rPr>
                <w:rFonts w:ascii="Times New Roman" w:hAnsi="Times New Roman" w:cs="Times New Roman"/>
              </w:rPr>
              <w:tab/>
              <w:t>siūlomos įrangos techninė priežiūra turi būti atliekama tik įrangos gamintojo sertifikuotuose techninės priežiūros centruose;</w:t>
            </w:r>
            <w:r w:rsidRPr="00FB6275">
              <w:rPr>
                <w:rFonts w:ascii="Times New Roman" w:hAnsi="Times New Roman" w:cs="Times New Roman"/>
              </w:rPr>
              <w:tab/>
            </w:r>
          </w:p>
          <w:p w14:paraId="1045F56B"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1.12.4.</w:t>
            </w:r>
            <w:r w:rsidRPr="00FB6275">
              <w:rPr>
                <w:rFonts w:ascii="Times New Roman" w:hAnsi="Times New Roman" w:cs="Times New Roman"/>
              </w:rPr>
              <w:tab/>
              <w:t>įrangos tiekėjas privalo turėti gamintojo autorizuotą priežiūros centrą arba turi būti sudaręs sutartį dėl priežiūros su gamintojo autorizuotu priežiūros centru (būtina pateikti tai įrodančius dokumentus);</w:t>
            </w:r>
            <w:r w:rsidRPr="00FB6275">
              <w:rPr>
                <w:rFonts w:ascii="Times New Roman" w:hAnsi="Times New Roman" w:cs="Times New Roman"/>
              </w:rPr>
              <w:tab/>
            </w:r>
          </w:p>
          <w:p w14:paraId="66E4BD45"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1.12.5.</w:t>
            </w:r>
            <w:r w:rsidRPr="00FB6275">
              <w:rPr>
                <w:rFonts w:ascii="Times New Roman" w:hAnsi="Times New Roman" w:cs="Times New Roman"/>
              </w:rPr>
              <w:tab/>
            </w:r>
            <w:proofErr w:type="gramStart"/>
            <w:r w:rsidRPr="00FB6275">
              <w:rPr>
                <w:rFonts w:ascii="Times New Roman" w:hAnsi="Times New Roman" w:cs="Times New Roman"/>
              </w:rPr>
              <w:t>garantiniu</w:t>
            </w:r>
            <w:proofErr w:type="gramEnd"/>
            <w:r w:rsidRPr="00FB6275">
              <w:rPr>
                <w:rFonts w:ascii="Times New Roman" w:hAnsi="Times New Roman" w:cs="Times New Roman"/>
              </w:rPr>
              <w:t xml:space="preserve"> laikotarpiu tiekėjas privalo atlikti darbus savo lėšomis, įskaitant transportavimo išlaidas.</w:t>
            </w:r>
            <w:r w:rsidRPr="00FB6275">
              <w:rPr>
                <w:rFonts w:ascii="Times New Roman" w:hAnsi="Times New Roman" w:cs="Times New Roman"/>
              </w:rPr>
              <w:tab/>
            </w:r>
          </w:p>
          <w:p w14:paraId="703DF121"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ab/>
            </w:r>
          </w:p>
          <w:p w14:paraId="135882DD"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w:t>
            </w:r>
            <w:r w:rsidRPr="00FB6275">
              <w:rPr>
                <w:rFonts w:ascii="Times New Roman" w:hAnsi="Times New Roman" w:cs="Times New Roman"/>
              </w:rPr>
              <w:tab/>
              <w:t>Grafinė darbo stotis (BVPŽ kodas 30213000-5)</w:t>
            </w:r>
          </w:p>
          <w:p w14:paraId="45A12623" w14:textId="77777777" w:rsidR="00FB6275" w:rsidRPr="00FB6275" w:rsidRDefault="00FB6275" w:rsidP="00FB6275">
            <w:pPr>
              <w:jc w:val="both"/>
              <w:rPr>
                <w:rFonts w:ascii="Times New Roman" w:hAnsi="Times New Roman" w:cs="Times New Roman"/>
              </w:rPr>
            </w:pPr>
          </w:p>
          <w:p w14:paraId="5240DBFD"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w:t>
            </w:r>
            <w:r w:rsidRPr="00FB6275">
              <w:rPr>
                <w:rFonts w:ascii="Times New Roman" w:hAnsi="Times New Roman" w:cs="Times New Roman"/>
              </w:rPr>
              <w:tab/>
              <w:t>Gamintojas, modelis, modifikacija:</w:t>
            </w:r>
            <w:r w:rsidRPr="00FB6275">
              <w:rPr>
                <w:rFonts w:ascii="Times New Roman" w:hAnsi="Times New Roman" w:cs="Times New Roman"/>
              </w:rPr>
              <w:tab/>
              <w:t>turi būti nurodyta.</w:t>
            </w:r>
          </w:p>
          <w:p w14:paraId="1D44597F" w14:textId="77777777" w:rsidR="00FB6275" w:rsidRPr="00FB6275" w:rsidRDefault="00FB6275" w:rsidP="00FB6275">
            <w:pPr>
              <w:jc w:val="both"/>
              <w:rPr>
                <w:rFonts w:ascii="Times New Roman" w:hAnsi="Times New Roman" w:cs="Times New Roman"/>
              </w:rPr>
            </w:pPr>
            <w:proofErr w:type="gramStart"/>
            <w:r w:rsidRPr="00FB6275">
              <w:rPr>
                <w:rFonts w:ascii="Times New Roman" w:hAnsi="Times New Roman" w:cs="Times New Roman"/>
              </w:rPr>
              <w:t>būtina</w:t>
            </w:r>
            <w:proofErr w:type="gramEnd"/>
            <w:r w:rsidRPr="00FB6275">
              <w:rPr>
                <w:rFonts w:ascii="Times New Roman" w:hAnsi="Times New Roman" w:cs="Times New Roman"/>
              </w:rPr>
              <w:t xml:space="preserve"> pateikti tikslią nuorodą į interneto puslapį, kuriame pateikta visa informacija apie siūlomą įrangą.</w:t>
            </w:r>
          </w:p>
          <w:p w14:paraId="622A15C8"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2.2.</w:t>
            </w:r>
            <w:r w:rsidRPr="00FB6275">
              <w:rPr>
                <w:rFonts w:ascii="Times New Roman" w:hAnsi="Times New Roman" w:cs="Times New Roman"/>
              </w:rPr>
              <w:tab/>
              <w:t>Procesorius:</w:t>
            </w:r>
            <w:r w:rsidRPr="00FB6275">
              <w:rPr>
                <w:rFonts w:ascii="Times New Roman" w:hAnsi="Times New Roman" w:cs="Times New Roman"/>
              </w:rPr>
              <w:tab/>
              <w:t xml:space="preserve">turi būti ne mažiau kaip 59645 taškų pagal Pass Mark – CPU </w:t>
            </w:r>
            <w:proofErr w:type="gramStart"/>
            <w:r w:rsidRPr="00FB6275">
              <w:rPr>
                <w:rFonts w:ascii="Times New Roman" w:hAnsi="Times New Roman" w:cs="Times New Roman"/>
              </w:rPr>
              <w:t>Mark  testų</w:t>
            </w:r>
            <w:proofErr w:type="gramEnd"/>
            <w:r w:rsidRPr="00FB6275">
              <w:rPr>
                <w:rFonts w:ascii="Times New Roman" w:hAnsi="Times New Roman" w:cs="Times New Roman"/>
              </w:rPr>
              <w:t xml:space="preserve"> rezultatus. Rezultatai turi būti publikuojami http://www.cpubenchmark.net/high_end_cpus.html. Procesoriaus fizinių branduolių skaičius ne mažiau kaip 24. Procesoriaus taktinis dažnis turi atitikti procesoriaus gamintojo skelbiamus parametrus. Procesorius turi būti suderinamas su DDR5 tipo operatyviąja atmintimi. Procesoriaus išleidimo į rinką data turi būti ne senesnė, nei 2 metai nuo pirkimo paskelbimo dienos. </w:t>
            </w:r>
          </w:p>
          <w:p w14:paraId="03927FCA"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2.3.</w:t>
            </w:r>
            <w:r w:rsidRPr="00FB6275">
              <w:rPr>
                <w:rFonts w:ascii="Times New Roman" w:hAnsi="Times New Roman" w:cs="Times New Roman"/>
              </w:rPr>
              <w:tab/>
              <w:t>Operatyvioji atmintis:</w:t>
            </w:r>
            <w:r w:rsidRPr="00FB6275">
              <w:rPr>
                <w:rFonts w:ascii="Times New Roman" w:hAnsi="Times New Roman" w:cs="Times New Roman"/>
              </w:rPr>
              <w:tab/>
              <w:t>ne mažesnė kaip 64GB, 2 x 32 GB, DDR5 4800 arba naujesnė ir spartesnė.</w:t>
            </w:r>
          </w:p>
          <w:p w14:paraId="263D0B9A"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2.4.</w:t>
            </w:r>
            <w:r w:rsidRPr="00FB6275">
              <w:rPr>
                <w:rFonts w:ascii="Times New Roman" w:hAnsi="Times New Roman" w:cs="Times New Roman"/>
              </w:rPr>
              <w:tab/>
              <w:t>Pirmas vidinis kietasis diskas:</w:t>
            </w:r>
            <w:r w:rsidRPr="00FB6275">
              <w:rPr>
                <w:rFonts w:ascii="Times New Roman" w:hAnsi="Times New Roman" w:cs="Times New Roman"/>
              </w:rPr>
              <w:tab/>
              <w:t>ne mažiau kaip 1 TB, PCIe NVMe, Gen 4 SSD.</w:t>
            </w:r>
          </w:p>
          <w:p w14:paraId="0EF2D4A9"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2.5.</w:t>
            </w:r>
            <w:r w:rsidRPr="00FB6275">
              <w:rPr>
                <w:rFonts w:ascii="Times New Roman" w:hAnsi="Times New Roman" w:cs="Times New Roman"/>
              </w:rPr>
              <w:tab/>
              <w:t>Antras vidinis kietasis diskas:</w:t>
            </w:r>
            <w:r w:rsidRPr="00FB6275">
              <w:rPr>
                <w:rFonts w:ascii="Times New Roman" w:hAnsi="Times New Roman" w:cs="Times New Roman"/>
              </w:rPr>
              <w:tab/>
              <w:t>ne mažiau kaip 2 TB, PCIe NVMe, Gen 4 SSD.</w:t>
            </w:r>
          </w:p>
          <w:p w14:paraId="14D51656"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2.6.</w:t>
            </w:r>
            <w:r w:rsidRPr="00FB6275">
              <w:rPr>
                <w:rFonts w:ascii="Times New Roman" w:hAnsi="Times New Roman" w:cs="Times New Roman"/>
              </w:rPr>
              <w:tab/>
              <w:t>Optinis įrenginys:</w:t>
            </w:r>
            <w:r w:rsidRPr="00FB6275">
              <w:rPr>
                <w:rFonts w:ascii="Times New Roman" w:hAnsi="Times New Roman" w:cs="Times New Roman"/>
              </w:rPr>
              <w:tab/>
              <w:t>integruotas DVD+/-RW įrenginys, įrašantis ne mažesniu kaip 8x greičiu, paženklintas CE ženklu.</w:t>
            </w:r>
          </w:p>
          <w:p w14:paraId="4DC6AAE5"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2.7.</w:t>
            </w:r>
            <w:r w:rsidRPr="00FB6275">
              <w:rPr>
                <w:rFonts w:ascii="Times New Roman" w:hAnsi="Times New Roman" w:cs="Times New Roman"/>
              </w:rPr>
              <w:tab/>
              <w:t>Garso plokštė:</w:t>
            </w:r>
            <w:r w:rsidRPr="00FB6275">
              <w:rPr>
                <w:rFonts w:ascii="Times New Roman" w:hAnsi="Times New Roman" w:cs="Times New Roman"/>
              </w:rPr>
              <w:tab/>
              <w:t>ne prastesnė kaip 2 kanalų HD garso plokštė.</w:t>
            </w:r>
          </w:p>
          <w:p w14:paraId="5997023C"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2.8.</w:t>
            </w:r>
            <w:r w:rsidRPr="00FB6275">
              <w:rPr>
                <w:rFonts w:ascii="Times New Roman" w:hAnsi="Times New Roman" w:cs="Times New Roman"/>
              </w:rPr>
              <w:tab/>
              <w:t>Korpusas:</w:t>
            </w:r>
            <w:r w:rsidRPr="00FB6275">
              <w:rPr>
                <w:rFonts w:ascii="Times New Roman" w:hAnsi="Times New Roman" w:cs="Times New Roman"/>
              </w:rPr>
              <w:tab/>
              <w:t>T (angl. Tower) tipo (metalinis). Korpusas atidaromas nenaudojant įrankių. Maitinimo šaltinis vidinis, ne mažiau kaip 950 W, aktyvus.</w:t>
            </w:r>
          </w:p>
          <w:p w14:paraId="113D98FB"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lastRenderedPageBreak/>
              <w:t>2.9.</w:t>
            </w:r>
            <w:r w:rsidRPr="00FB6275">
              <w:rPr>
                <w:rFonts w:ascii="Times New Roman" w:hAnsi="Times New Roman" w:cs="Times New Roman"/>
              </w:rPr>
              <w:tab/>
              <w:t>Kaupiklių nišų skaičius:</w:t>
            </w:r>
            <w:r w:rsidRPr="00FB6275">
              <w:rPr>
                <w:rFonts w:ascii="Times New Roman" w:hAnsi="Times New Roman" w:cs="Times New Roman"/>
              </w:rPr>
              <w:tab/>
              <w:t xml:space="preserve">išorinių kaupiklių nišų skaičius korpuso priekyje: ne mažiau kaip 2 vnt. </w:t>
            </w:r>
            <w:proofErr w:type="gramStart"/>
            <w:r w:rsidRPr="00FB6275">
              <w:rPr>
                <w:rFonts w:ascii="Times New Roman" w:hAnsi="Times New Roman" w:cs="Times New Roman"/>
              </w:rPr>
              <w:t>tinkantys</w:t>
            </w:r>
            <w:proofErr w:type="gramEnd"/>
            <w:r w:rsidRPr="00FB6275">
              <w:rPr>
                <w:rFonts w:ascii="Times New Roman" w:hAnsi="Times New Roman" w:cs="Times New Roman"/>
              </w:rPr>
              <w:t xml:space="preserve"> – 3,5“/2,5“ HDD/SSD tipo diskams, vidinių kaupiklių nišų skaičius: ne mažiau kaip 2 vnt. </w:t>
            </w:r>
            <w:proofErr w:type="gramStart"/>
            <w:r w:rsidRPr="00FB6275">
              <w:rPr>
                <w:rFonts w:ascii="Times New Roman" w:hAnsi="Times New Roman" w:cs="Times New Roman"/>
              </w:rPr>
              <w:t>tinkantys</w:t>
            </w:r>
            <w:proofErr w:type="gramEnd"/>
            <w:r w:rsidRPr="00FB6275">
              <w:rPr>
                <w:rFonts w:ascii="Times New Roman" w:hAnsi="Times New Roman" w:cs="Times New Roman"/>
              </w:rPr>
              <w:t xml:space="preserve"> – 3,5“/2,5“ HDD/SSD tipo diskams.</w:t>
            </w:r>
          </w:p>
          <w:p w14:paraId="03229F37"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2.10.</w:t>
            </w:r>
            <w:r w:rsidRPr="00FB6275">
              <w:rPr>
                <w:rFonts w:ascii="Times New Roman" w:hAnsi="Times New Roman" w:cs="Times New Roman"/>
              </w:rPr>
              <w:tab/>
              <w:t>Vaizdo adapteris:</w:t>
            </w:r>
            <w:r w:rsidRPr="00FB6275">
              <w:rPr>
                <w:rFonts w:ascii="Times New Roman" w:hAnsi="Times New Roman" w:cs="Times New Roman"/>
              </w:rPr>
              <w:tab/>
              <w:t>našumas ne blogesnis kaip 38421 taškų pagal PassMark - G3D Mark testų rezultatus. Rezultatai turi būti publikuojami http://www.videocardbenchmark.net/high_end_gpus.html.</w:t>
            </w:r>
          </w:p>
          <w:p w14:paraId="6242C623"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Turi turėti ne mažiau kaip 4 skaitmeninius išėjimus, iš kurių bent 2 skaitmeninis DP1.4 išėjimai. Ne mažiau kaip 24 GB GDDR6X grafinės atminties.</w:t>
            </w:r>
          </w:p>
          <w:p w14:paraId="36B81FA8"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2.11.</w:t>
            </w:r>
            <w:r w:rsidRPr="00FB6275">
              <w:rPr>
                <w:rFonts w:ascii="Times New Roman" w:hAnsi="Times New Roman" w:cs="Times New Roman"/>
              </w:rPr>
              <w:tab/>
              <w:t>Tinklo adapteris:</w:t>
            </w:r>
            <w:r w:rsidRPr="00FB6275">
              <w:rPr>
                <w:rFonts w:ascii="Times New Roman" w:hAnsi="Times New Roman" w:cs="Times New Roman"/>
              </w:rPr>
              <w:tab/>
              <w:t>ne blogesnis kaip 10/100/1000Mbps, palaikantis PXE, WOL, VLAN;</w:t>
            </w:r>
          </w:p>
          <w:p w14:paraId="50A352F0" w14:textId="77777777" w:rsidR="00FB6275" w:rsidRPr="00FB6275" w:rsidRDefault="00FB6275" w:rsidP="00FB6275">
            <w:pPr>
              <w:jc w:val="both"/>
              <w:rPr>
                <w:rFonts w:ascii="Times New Roman" w:hAnsi="Times New Roman" w:cs="Times New Roman"/>
              </w:rPr>
            </w:pPr>
            <w:proofErr w:type="gramStart"/>
            <w:r w:rsidRPr="00FB6275">
              <w:rPr>
                <w:rFonts w:ascii="Times New Roman" w:hAnsi="Times New Roman" w:cs="Times New Roman"/>
              </w:rPr>
              <w:t>belaidžiai</w:t>
            </w:r>
            <w:proofErr w:type="gramEnd"/>
            <w:r w:rsidRPr="00FB6275">
              <w:rPr>
                <w:rFonts w:ascii="Times New Roman" w:hAnsi="Times New Roman" w:cs="Times New Roman"/>
              </w:rPr>
              <w:t xml:space="preserve"> įrenginiai negalimi.</w:t>
            </w:r>
          </w:p>
          <w:p w14:paraId="24B1920A"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2.12.</w:t>
            </w:r>
            <w:r w:rsidRPr="00FB6275">
              <w:rPr>
                <w:rFonts w:ascii="Times New Roman" w:hAnsi="Times New Roman" w:cs="Times New Roman"/>
              </w:rPr>
              <w:tab/>
              <w:t>Integruoti prievadai:</w:t>
            </w:r>
            <w:r w:rsidRPr="00FB6275">
              <w:rPr>
                <w:rFonts w:ascii="Times New Roman" w:hAnsi="Times New Roman" w:cs="Times New Roman"/>
              </w:rPr>
              <w:tab/>
              <w:t>ne mažiau kaip 4 vnt. USB 3.1 (arba geresnių) ir 1 vnt. USB-C. Bent 2 iš jų priekiniame korpuso skydelyje.</w:t>
            </w:r>
          </w:p>
          <w:p w14:paraId="4B3C3CBC"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Ne mažiau kaip:</w:t>
            </w:r>
          </w:p>
          <w:p w14:paraId="60F2CD7D"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 xml:space="preserve">1x ausinių lizdas ir 1x mikrofono lizdas arba 1x kombinuotas ausinių/mikrofono lizdas, </w:t>
            </w:r>
          </w:p>
          <w:p w14:paraId="5DC22267"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Ethernet (RJ-45) lizdas.</w:t>
            </w:r>
            <w:r w:rsidRPr="00FB6275">
              <w:rPr>
                <w:rFonts w:ascii="Times New Roman" w:hAnsi="Times New Roman" w:cs="Times New Roman"/>
              </w:rPr>
              <w:tab/>
            </w:r>
          </w:p>
          <w:p w14:paraId="7BAEBC21"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2.13.</w:t>
            </w:r>
            <w:r w:rsidRPr="00FB6275">
              <w:rPr>
                <w:rFonts w:ascii="Times New Roman" w:hAnsi="Times New Roman" w:cs="Times New Roman"/>
              </w:rPr>
              <w:tab/>
              <w:t>Klaviatūra:</w:t>
            </w:r>
            <w:r w:rsidRPr="00FB6275">
              <w:rPr>
                <w:rFonts w:ascii="Times New Roman" w:hAnsi="Times New Roman" w:cs="Times New Roman"/>
              </w:rPr>
              <w:tab/>
              <w:t xml:space="preserve">pilna lotyniškų raidžių ir atskirai skaičių klaviatūra su lietuviškos abėcėlės ženklais (lietuviškos raidės užrašytos ne klijavimo būdu), jungiama per USB jungtį (paženklinta CE ženklu). </w:t>
            </w:r>
          </w:p>
          <w:p w14:paraId="797441B6"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2.14.</w:t>
            </w:r>
            <w:r w:rsidRPr="00FB6275">
              <w:rPr>
                <w:rFonts w:ascii="Times New Roman" w:hAnsi="Times New Roman" w:cs="Times New Roman"/>
              </w:rPr>
              <w:tab/>
              <w:t>Pelė:</w:t>
            </w:r>
            <w:r w:rsidRPr="00FB6275">
              <w:rPr>
                <w:rFonts w:ascii="Times New Roman" w:hAnsi="Times New Roman" w:cs="Times New Roman"/>
              </w:rPr>
              <w:tab/>
              <w:t xml:space="preserve">deranti kompiuteriui laidinė lazerinė pelė su ratuku, paženklinta CE ženklu. </w:t>
            </w:r>
          </w:p>
          <w:p w14:paraId="7C09C98A"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2.15.</w:t>
            </w:r>
            <w:r w:rsidRPr="00FB6275">
              <w:rPr>
                <w:rFonts w:ascii="Times New Roman" w:hAnsi="Times New Roman" w:cs="Times New Roman"/>
              </w:rPr>
              <w:tab/>
              <w:t>Monitorius:</w:t>
            </w:r>
            <w:r w:rsidRPr="00FB6275">
              <w:rPr>
                <w:rFonts w:ascii="Times New Roman" w:hAnsi="Times New Roman" w:cs="Times New Roman"/>
              </w:rPr>
              <w:tab/>
              <w:t>monitorius, ne mažesnis nei 27" įstrižainės su matiniu paviršiumi (angl. AntiGlare), paženklintas CE ženklu.</w:t>
            </w:r>
          </w:p>
          <w:p w14:paraId="1E85BF07"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 xml:space="preserve">Raiška ne mažesnė kaip 3840 x 2160. Ne mažiau </w:t>
            </w:r>
            <w:proofErr w:type="gramStart"/>
            <w:r w:rsidRPr="00FB6275">
              <w:rPr>
                <w:rFonts w:ascii="Times New Roman" w:hAnsi="Times New Roman" w:cs="Times New Roman"/>
              </w:rPr>
              <w:t>kaip  DisplayPort</w:t>
            </w:r>
            <w:proofErr w:type="gramEnd"/>
            <w:r w:rsidRPr="00FB6275">
              <w:rPr>
                <w:rFonts w:ascii="Times New Roman" w:hAnsi="Times New Roman" w:cs="Times New Roman"/>
              </w:rPr>
              <w:t xml:space="preserve"> ir 1 HDMI jungtys. Ne mažiau, kaip 1 x USB 3.2. Ekrano aukščio reguliavimo funkcija, ekrano pakreipimo funkcija, ekrano pasukimo vertikaliai funkcija. Vidinis elektros srovės maitinimo šaltinis. Turi būti komplektuojamas skaitmeniniais vaizdo signalo kabeliais sujungimui su siūlomu kompiuteriu.</w:t>
            </w:r>
          </w:p>
          <w:p w14:paraId="0BFE27D1"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2.16.</w:t>
            </w:r>
            <w:r w:rsidRPr="00FB6275">
              <w:rPr>
                <w:rFonts w:ascii="Times New Roman" w:hAnsi="Times New Roman" w:cs="Times New Roman"/>
              </w:rPr>
              <w:tab/>
              <w:t>Apsaugos galimybės:</w:t>
            </w:r>
            <w:r w:rsidRPr="00FB6275">
              <w:rPr>
                <w:rFonts w:ascii="Times New Roman" w:hAnsi="Times New Roman" w:cs="Times New Roman"/>
              </w:rPr>
              <w:tab/>
              <w:t>atminties keitimo perspėjimas (angl. Memory Change Alert). Įjungimo slaptažodis, sąrankos slaptažodis, serijinio, paralelinio ir USB prievadų kontrolė. TPM 2.0 arba naujesnė duomenų apsaugos mikroschema. Į kompiuterio BIOS turi būti įrašytas gaminio serijinis numeris ar ID, kurį programinėmis priemonėmis galima nuskaityti nuotoliniu būdu ir sutikrinti gamintojo puslapyje.</w:t>
            </w:r>
          </w:p>
          <w:p w14:paraId="304A4036"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2.17.</w:t>
            </w:r>
            <w:r w:rsidRPr="00FB6275">
              <w:rPr>
                <w:rFonts w:ascii="Times New Roman" w:hAnsi="Times New Roman" w:cs="Times New Roman"/>
              </w:rPr>
              <w:tab/>
              <w:t>Operacinė sistema:</w:t>
            </w:r>
            <w:r w:rsidRPr="00FB6275">
              <w:rPr>
                <w:rFonts w:ascii="Times New Roman" w:hAnsi="Times New Roman" w:cs="Times New Roman"/>
              </w:rPr>
              <w:tab/>
              <w:t xml:space="preserve">Microsoft Windows 10 Professional 64 bitų arba Microsoft Windows 11 Professional 64 bitų arba lygiavertė. Nurodyti siūlomos programinės įrangos gamintoją ir pavadinimą. Kompiuteris turi būti sertifikuotas darbui su Microsoft Windows 10 Professional 64 bitų arba Microsoft Windows 11 Professional 64 bitų operacinėmis sistemomis. Informacija apie sertifikavimą turi būti pateikta oficialiose programinės įrangos gamintojo interneto svetainėse </w:t>
            </w:r>
            <w:r w:rsidRPr="00FB6275">
              <w:rPr>
                <w:rFonts w:ascii="Times New Roman" w:hAnsi="Times New Roman" w:cs="Times New Roman"/>
              </w:rPr>
              <w:lastRenderedPageBreak/>
              <w:t>(būtina nurodyti tikslią nuorodą) arba įrodoma pateikiant Microsoft išduotų sertifikatų kopijas.</w:t>
            </w:r>
          </w:p>
          <w:p w14:paraId="2B8E35CE"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2.18.</w:t>
            </w:r>
            <w:r w:rsidRPr="00FB6275">
              <w:rPr>
                <w:rFonts w:ascii="Times New Roman" w:hAnsi="Times New Roman" w:cs="Times New Roman"/>
              </w:rPr>
              <w:tab/>
              <w:t>Papildoma programine įranga:</w:t>
            </w:r>
            <w:r w:rsidRPr="00FB6275">
              <w:rPr>
                <w:rFonts w:ascii="Times New Roman" w:hAnsi="Times New Roman" w:cs="Times New Roman"/>
              </w:rPr>
              <w:tab/>
              <w:t>Microsoft Office Home and Business 2021 arba lygiavertė. Nurodyti siūlomos programinės įrangos gamintoją ir pavadinimą.</w:t>
            </w:r>
          </w:p>
          <w:p w14:paraId="09B2DFAE"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2.19.</w:t>
            </w:r>
            <w:r w:rsidRPr="00FB6275">
              <w:rPr>
                <w:rFonts w:ascii="Times New Roman" w:hAnsi="Times New Roman" w:cs="Times New Roman"/>
              </w:rPr>
              <w:tab/>
              <w:t>Tvarkyklės:</w:t>
            </w:r>
            <w:r w:rsidRPr="00FB6275">
              <w:rPr>
                <w:rFonts w:ascii="Times New Roman" w:hAnsi="Times New Roman" w:cs="Times New Roman"/>
              </w:rPr>
              <w:tab/>
              <w:t>Kompiuteris pateikiamas su įrangos tvarkyklėmis kaupiklyje arba atstatymo particijoje, arba su nuorodomis šių tvarkyklių parsisiuntimui iš gamintojo puslapio internete: turi būti gamintojo interneto svetainės (ar lygiaverčiu principu paremta) vieta su galimybe atnaujinti siūlomo modelio BIOS, įrenginių tvarkykles ir programinę įrangą (būtina pateikti nuorodą į gamintojo internetinę prieigą).</w:t>
            </w:r>
          </w:p>
          <w:p w14:paraId="2E3BC066"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2.20.</w:t>
            </w:r>
            <w:r w:rsidRPr="00FB6275">
              <w:rPr>
                <w:rFonts w:ascii="Times New Roman" w:hAnsi="Times New Roman" w:cs="Times New Roman"/>
              </w:rPr>
              <w:tab/>
              <w:t>Komplektacija:</w:t>
            </w:r>
            <w:r w:rsidRPr="00FB6275">
              <w:rPr>
                <w:rFonts w:ascii="Times New Roman" w:hAnsi="Times New Roman" w:cs="Times New Roman"/>
              </w:rPr>
              <w:tab/>
              <w:t>kompiuterio sisteminis blokas – 1x;</w:t>
            </w:r>
          </w:p>
          <w:p w14:paraId="4550C6A5"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monitorius – 1x;</w:t>
            </w:r>
          </w:p>
          <w:p w14:paraId="46E18D9E"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pelė – 1x;</w:t>
            </w:r>
          </w:p>
          <w:p w14:paraId="5602D2E5"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klaviatūra – 1x;</w:t>
            </w:r>
          </w:p>
          <w:p w14:paraId="456175A1"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UTP kabelis, 3 m, su jungtimis;</w:t>
            </w:r>
          </w:p>
          <w:p w14:paraId="46EA848B"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 xml:space="preserve">Kompiuteris komplektuojamas su visais kabeliais ir kitomis sudedamosiomis dalimis bei medžiagomis, reikalingomis visų užsakomos sistemos vidinių / išorinių ir periferinių įrenginių sujungimui, užtikrinant sistemos funkcionavimą. </w:t>
            </w:r>
          </w:p>
          <w:p w14:paraId="2DEBA748" w14:textId="77777777" w:rsidR="00FB6275" w:rsidRPr="00FB6275" w:rsidRDefault="00FB6275" w:rsidP="00FB6275">
            <w:pPr>
              <w:jc w:val="both"/>
              <w:rPr>
                <w:rFonts w:ascii="Times New Roman" w:hAnsi="Times New Roman" w:cs="Times New Roman"/>
              </w:rPr>
            </w:pPr>
            <w:r w:rsidRPr="00FB6275">
              <w:rPr>
                <w:rFonts w:ascii="Times New Roman" w:hAnsi="Times New Roman" w:cs="Times New Roman"/>
              </w:rPr>
              <w:t>2.21.</w:t>
            </w:r>
            <w:r w:rsidRPr="00FB6275">
              <w:rPr>
                <w:rFonts w:ascii="Times New Roman" w:hAnsi="Times New Roman" w:cs="Times New Roman"/>
              </w:rPr>
              <w:tab/>
              <w:t>Kiti reikalavimai:</w:t>
            </w:r>
            <w:r w:rsidRPr="00FB6275">
              <w:rPr>
                <w:rFonts w:ascii="Times New Roman" w:hAnsi="Times New Roman" w:cs="Times New Roman"/>
              </w:rPr>
              <w:tab/>
              <w:t>visos siūlomo kompiuterio dalys (sisteminis blokas, pagrindinė plokštė, atmintis, optiniai nuskaitymo įrenginiai,) privalo būti pateiktos vieno gamintojo ar turi būti jo sertifikuotos (</w:t>
            </w:r>
            <w:proofErr w:type="gramStart"/>
            <w:r w:rsidRPr="00FB6275">
              <w:rPr>
                <w:rFonts w:ascii="Times New Roman" w:hAnsi="Times New Roman" w:cs="Times New Roman"/>
              </w:rPr>
              <w:t>pvz.,</w:t>
            </w:r>
            <w:proofErr w:type="gramEnd"/>
            <w:r w:rsidRPr="00FB6275">
              <w:rPr>
                <w:rFonts w:ascii="Times New Roman" w:hAnsi="Times New Roman" w:cs="Times New Roman"/>
              </w:rPr>
              <w:t xml:space="preserve"> pažymėtos PC gamintojo prekės ženklu). Tiekėjas privalo turėti internetinę gedimų / problemų registravimo ir kontrolės sistemą, atitinkančią ITIL ir ITSM standartų reikalavimus (prijungimas prie jos turi būti įskaičiuotas į siūlomos įrangos kainą) arba lygiavertę incidentų valdymo sistemą, kurioje būtų galima pagal kompiuterio modelį ir (ar) serijos numerį stebėti remonto eigą, tikrinti suteiktos garantijos laiką;</w:t>
            </w:r>
          </w:p>
          <w:p w14:paraId="447D4661" w14:textId="77777777" w:rsidR="00FB6275" w:rsidRPr="00FB6275" w:rsidRDefault="00FB6275" w:rsidP="00FB6275">
            <w:pPr>
              <w:jc w:val="both"/>
              <w:rPr>
                <w:rFonts w:ascii="Times New Roman" w:hAnsi="Times New Roman" w:cs="Times New Roman"/>
              </w:rPr>
            </w:pPr>
            <w:proofErr w:type="gramStart"/>
            <w:r w:rsidRPr="00FB6275">
              <w:rPr>
                <w:rFonts w:ascii="Times New Roman" w:hAnsi="Times New Roman" w:cs="Times New Roman"/>
              </w:rPr>
              <w:t>pateikti</w:t>
            </w:r>
            <w:proofErr w:type="gramEnd"/>
            <w:r w:rsidRPr="00FB6275">
              <w:rPr>
                <w:rFonts w:ascii="Times New Roman" w:hAnsi="Times New Roman" w:cs="Times New Roman"/>
              </w:rPr>
              <w:t xml:space="preserve"> internetinės gedimų / problemų registravimo ir kontrolės sistemos aprašymą ir nuorodą į tiekėjo interneto svetainę, kartu, jeigu tai yra būtina, prisijungimo kodus, kad pirkėjas galėtų įsitikinti sistemos veikimo funkcionalumu. </w:t>
            </w:r>
          </w:p>
          <w:p w14:paraId="48625ED0" w14:textId="09B49C80" w:rsidR="00B34ED1" w:rsidRPr="00284A47" w:rsidRDefault="00B34ED1" w:rsidP="00284A47">
            <w:pPr>
              <w:jc w:val="both"/>
              <w:rPr>
                <w:rFonts w:ascii="Times New Roman" w:hAnsi="Times New Roman" w:cs="Times New Roman"/>
              </w:rPr>
            </w:pPr>
          </w:p>
        </w:tc>
        <w:tc>
          <w:tcPr>
            <w:tcW w:w="1559" w:type="dxa"/>
            <w:vAlign w:val="center"/>
          </w:tcPr>
          <w:p w14:paraId="00DC3D63" w14:textId="42E04BFF" w:rsidR="00284A47" w:rsidRPr="00284A47" w:rsidRDefault="00284A47" w:rsidP="00284A47">
            <w:pPr>
              <w:rPr>
                <w:rFonts w:ascii="Times New Roman" w:hAnsi="Times New Roman" w:cs="Times New Roman"/>
              </w:rPr>
            </w:pPr>
            <w:proofErr w:type="gramStart"/>
            <w:r w:rsidRPr="00284A47">
              <w:rPr>
                <w:rFonts w:ascii="Times New Roman" w:hAnsi="Times New Roman" w:cs="Times New Roman"/>
              </w:rPr>
              <w:lastRenderedPageBreak/>
              <w:t>vnt</w:t>
            </w:r>
            <w:proofErr w:type="gramEnd"/>
            <w:r w:rsidRPr="00284A47">
              <w:rPr>
                <w:rFonts w:ascii="Times New Roman" w:hAnsi="Times New Roman" w:cs="Times New Roman"/>
              </w:rPr>
              <w:t>.</w:t>
            </w:r>
          </w:p>
        </w:tc>
        <w:tc>
          <w:tcPr>
            <w:tcW w:w="997" w:type="dxa"/>
            <w:vAlign w:val="center"/>
          </w:tcPr>
          <w:p w14:paraId="1C2BC10E" w14:textId="7CF2EAF6" w:rsidR="00284A47" w:rsidRPr="00284A47" w:rsidRDefault="00FB6275" w:rsidP="00284A47">
            <w:pPr>
              <w:rPr>
                <w:rFonts w:ascii="Times New Roman" w:hAnsi="Times New Roman" w:cs="Times New Roman"/>
              </w:rPr>
            </w:pPr>
            <w:r>
              <w:rPr>
                <w:rFonts w:ascii="Times New Roman" w:hAnsi="Times New Roman" w:cs="Times New Roman"/>
              </w:rPr>
              <w:t>1</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53847E4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p>
    <w:p w14:paraId="18EC5C56" w14:textId="34EB3BEF" w:rsidR="00292906" w:rsidRPr="00292906" w:rsidRDefault="00284A47"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3E9F1F57" w14:textId="52E50678"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t xml:space="preserve"> </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79822D1C"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_____________________</w:t>
      </w:r>
    </w:p>
    <w:p w14:paraId="612B4DAC" w14:textId="77777777" w:rsidR="001E3EEF" w:rsidRDefault="001E3EEF" w:rsidP="00292906">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Laikinai einantis viršininko pareigas</w:t>
      </w:r>
    </w:p>
    <w:p w14:paraId="1141CDBF" w14:textId="522E6714" w:rsidR="00292906" w:rsidRDefault="001E3EEF" w:rsidP="00292906">
      <w:pPr>
        <w:spacing w:after="0" w:line="240" w:lineRule="auto"/>
        <w:ind w:firstLine="720"/>
        <w:rPr>
          <w:rFonts w:ascii="Times New Roman" w:eastAsia="Arial" w:hAnsi="Times New Roman" w:cs="Times New Roman"/>
          <w:sz w:val="24"/>
          <w:szCs w:val="24"/>
          <w:lang w:val="lt-LT" w:eastAsia="ar-SA"/>
        </w:rPr>
      </w:pPr>
      <w:r w:rsidRPr="001E3EEF">
        <w:rPr>
          <w:rFonts w:ascii="Times New Roman" w:eastAsia="Arial" w:hAnsi="Times New Roman" w:cs="Times New Roman"/>
          <w:sz w:val="24"/>
          <w:szCs w:val="24"/>
          <w:lang w:val="lt-LT" w:eastAsia="ar-SA"/>
        </w:rPr>
        <w:t>mjr. Aurimas Lapkauskas</w:t>
      </w:r>
    </w:p>
    <w:p w14:paraId="593558DC" w14:textId="77777777" w:rsidR="001E3EEF" w:rsidRPr="00292906" w:rsidRDefault="001E3EEF" w:rsidP="00292906">
      <w:pPr>
        <w:spacing w:after="0" w:line="240" w:lineRule="auto"/>
        <w:ind w:firstLine="720"/>
        <w:rPr>
          <w:rFonts w:ascii="Times New Roman" w:eastAsia="Arial" w:hAnsi="Times New Roman" w:cs="Times New Roman"/>
          <w:sz w:val="24"/>
          <w:szCs w:val="24"/>
          <w:lang w:val="lt-LT" w:eastAsia="ar-SA"/>
        </w:rPr>
      </w:pPr>
    </w:p>
    <w:p w14:paraId="40616D4A" w14:textId="064B8A1B" w:rsidR="007C6112" w:rsidRPr="007D16E5" w:rsidRDefault="00292906" w:rsidP="00292906">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0EF93D7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BF8BF61"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A0A9C4D"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7E0F58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568868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51F30D2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400531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EAA2F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AAF0AA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45254BB"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D9C74DF"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9F53EA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D928E0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14B496E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8454775"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2C7D4257"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34F39D66"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CE1B958"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4BB70C2C"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44090BFC" w14:textId="40BFD90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sectPr w:rsidR="002B2E3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A7494" w14:textId="77777777" w:rsidR="00BF41F7" w:rsidRDefault="00BF41F7" w:rsidP="00C7623E">
      <w:pPr>
        <w:spacing w:after="0" w:line="240" w:lineRule="auto"/>
      </w:pPr>
      <w:r>
        <w:separator/>
      </w:r>
    </w:p>
  </w:endnote>
  <w:endnote w:type="continuationSeparator" w:id="0">
    <w:p w14:paraId="1B90F5C7" w14:textId="77777777" w:rsidR="00BF41F7" w:rsidRDefault="00BF41F7"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ACF3C" w14:textId="77777777" w:rsidR="00BF41F7" w:rsidRDefault="00BF41F7" w:rsidP="00C7623E">
      <w:pPr>
        <w:spacing w:after="0" w:line="240" w:lineRule="auto"/>
      </w:pPr>
      <w:r>
        <w:separator/>
      </w:r>
    </w:p>
  </w:footnote>
  <w:footnote w:type="continuationSeparator" w:id="0">
    <w:p w14:paraId="280AC4F4" w14:textId="77777777" w:rsidR="00BF41F7" w:rsidRDefault="00BF41F7"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6272D98B" w:rsidR="00C7623E" w:rsidRDefault="00C7623E">
        <w:pPr>
          <w:pStyle w:val="Header"/>
          <w:jc w:val="center"/>
        </w:pPr>
        <w:r>
          <w:fldChar w:fldCharType="begin"/>
        </w:r>
        <w:r>
          <w:instrText xml:space="preserve"> PAGE   \* MERGEFORMAT </w:instrText>
        </w:r>
        <w:r>
          <w:fldChar w:fldCharType="separate"/>
        </w:r>
        <w:r w:rsidR="00FB6275">
          <w:rPr>
            <w:noProof/>
          </w:rPr>
          <w:t>4</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51340"/>
    <w:rsid w:val="00061336"/>
    <w:rsid w:val="0006171E"/>
    <w:rsid w:val="00063EE3"/>
    <w:rsid w:val="00076D6F"/>
    <w:rsid w:val="000D111E"/>
    <w:rsid w:val="000E5818"/>
    <w:rsid w:val="000E5A4B"/>
    <w:rsid w:val="000F53DC"/>
    <w:rsid w:val="000F60B5"/>
    <w:rsid w:val="00130041"/>
    <w:rsid w:val="001466CB"/>
    <w:rsid w:val="001829E6"/>
    <w:rsid w:val="001A1258"/>
    <w:rsid w:val="001C2DE4"/>
    <w:rsid w:val="001E3EEF"/>
    <w:rsid w:val="001F1542"/>
    <w:rsid w:val="002076B4"/>
    <w:rsid w:val="00217FF6"/>
    <w:rsid w:val="00242C2A"/>
    <w:rsid w:val="00284A47"/>
    <w:rsid w:val="00292906"/>
    <w:rsid w:val="002A13B2"/>
    <w:rsid w:val="002B2E3F"/>
    <w:rsid w:val="002B7F1B"/>
    <w:rsid w:val="002E6760"/>
    <w:rsid w:val="0032754D"/>
    <w:rsid w:val="00341BC7"/>
    <w:rsid w:val="003467EC"/>
    <w:rsid w:val="00350830"/>
    <w:rsid w:val="00355986"/>
    <w:rsid w:val="00363137"/>
    <w:rsid w:val="00365B76"/>
    <w:rsid w:val="003960D0"/>
    <w:rsid w:val="003976A1"/>
    <w:rsid w:val="003B3A40"/>
    <w:rsid w:val="003B7D1D"/>
    <w:rsid w:val="003C2712"/>
    <w:rsid w:val="003C3F91"/>
    <w:rsid w:val="003C71ED"/>
    <w:rsid w:val="00416669"/>
    <w:rsid w:val="00420E15"/>
    <w:rsid w:val="00431E20"/>
    <w:rsid w:val="00454A9D"/>
    <w:rsid w:val="004774B1"/>
    <w:rsid w:val="0048546D"/>
    <w:rsid w:val="004C69D5"/>
    <w:rsid w:val="004D4517"/>
    <w:rsid w:val="00501AEA"/>
    <w:rsid w:val="005075B1"/>
    <w:rsid w:val="005177D2"/>
    <w:rsid w:val="00545C58"/>
    <w:rsid w:val="00556EA9"/>
    <w:rsid w:val="00557A7D"/>
    <w:rsid w:val="0057170D"/>
    <w:rsid w:val="005B4A14"/>
    <w:rsid w:val="005C484F"/>
    <w:rsid w:val="005C593C"/>
    <w:rsid w:val="005D300A"/>
    <w:rsid w:val="005D4E3E"/>
    <w:rsid w:val="00634724"/>
    <w:rsid w:val="00646B25"/>
    <w:rsid w:val="00693A1B"/>
    <w:rsid w:val="006A09FD"/>
    <w:rsid w:val="006C16B4"/>
    <w:rsid w:val="006F06C3"/>
    <w:rsid w:val="00717435"/>
    <w:rsid w:val="00730A90"/>
    <w:rsid w:val="0077014D"/>
    <w:rsid w:val="007736BF"/>
    <w:rsid w:val="0078393C"/>
    <w:rsid w:val="00795E56"/>
    <w:rsid w:val="007B276C"/>
    <w:rsid w:val="007C6112"/>
    <w:rsid w:val="007C77AC"/>
    <w:rsid w:val="007D0A1A"/>
    <w:rsid w:val="007D16E5"/>
    <w:rsid w:val="007D2F72"/>
    <w:rsid w:val="00833F6D"/>
    <w:rsid w:val="00854E53"/>
    <w:rsid w:val="00856D9C"/>
    <w:rsid w:val="00864A61"/>
    <w:rsid w:val="008A09D2"/>
    <w:rsid w:val="008C1274"/>
    <w:rsid w:val="008C17F0"/>
    <w:rsid w:val="008E080A"/>
    <w:rsid w:val="008E1417"/>
    <w:rsid w:val="008E78B0"/>
    <w:rsid w:val="008F11EE"/>
    <w:rsid w:val="0094660F"/>
    <w:rsid w:val="0095086A"/>
    <w:rsid w:val="009510D2"/>
    <w:rsid w:val="009B00D0"/>
    <w:rsid w:val="009B7FFB"/>
    <w:rsid w:val="009C6420"/>
    <w:rsid w:val="009D18DD"/>
    <w:rsid w:val="009D44FC"/>
    <w:rsid w:val="009E0C56"/>
    <w:rsid w:val="009F10AC"/>
    <w:rsid w:val="00A0432F"/>
    <w:rsid w:val="00A06EE4"/>
    <w:rsid w:val="00A306CD"/>
    <w:rsid w:val="00A82C8E"/>
    <w:rsid w:val="00AE628B"/>
    <w:rsid w:val="00AF3CC7"/>
    <w:rsid w:val="00B34ED1"/>
    <w:rsid w:val="00B40257"/>
    <w:rsid w:val="00B51B8D"/>
    <w:rsid w:val="00B67BD5"/>
    <w:rsid w:val="00B80294"/>
    <w:rsid w:val="00B83EA9"/>
    <w:rsid w:val="00B94CCF"/>
    <w:rsid w:val="00BF41F7"/>
    <w:rsid w:val="00BF6FC9"/>
    <w:rsid w:val="00C01ABC"/>
    <w:rsid w:val="00C0261D"/>
    <w:rsid w:val="00C35FD3"/>
    <w:rsid w:val="00C556A2"/>
    <w:rsid w:val="00C70B88"/>
    <w:rsid w:val="00C7623E"/>
    <w:rsid w:val="00C76ACA"/>
    <w:rsid w:val="00CA6639"/>
    <w:rsid w:val="00CC39A8"/>
    <w:rsid w:val="00CD776B"/>
    <w:rsid w:val="00CE26B7"/>
    <w:rsid w:val="00D62BEB"/>
    <w:rsid w:val="00D751FC"/>
    <w:rsid w:val="00DD7962"/>
    <w:rsid w:val="00DE1B43"/>
    <w:rsid w:val="00DE27C1"/>
    <w:rsid w:val="00DE6E25"/>
    <w:rsid w:val="00E042C0"/>
    <w:rsid w:val="00E073EC"/>
    <w:rsid w:val="00E431B4"/>
    <w:rsid w:val="00E523DC"/>
    <w:rsid w:val="00E54645"/>
    <w:rsid w:val="00E64A62"/>
    <w:rsid w:val="00E778D2"/>
    <w:rsid w:val="00E870F4"/>
    <w:rsid w:val="00E9330F"/>
    <w:rsid w:val="00EC34BC"/>
    <w:rsid w:val="00EF4CE0"/>
    <w:rsid w:val="00F006D8"/>
    <w:rsid w:val="00F17468"/>
    <w:rsid w:val="00F51383"/>
    <w:rsid w:val="00F51D7F"/>
    <w:rsid w:val="00F55990"/>
    <w:rsid w:val="00F70B39"/>
    <w:rsid w:val="00FA1FBA"/>
    <w:rsid w:val="00FB6275"/>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A596-CC9B-4D34-9FBB-0E26C2C7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2506</Words>
  <Characters>14288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26</cp:revision>
  <dcterms:created xsi:type="dcterms:W3CDTF">2024-01-16T13:20:00Z</dcterms:created>
  <dcterms:modified xsi:type="dcterms:W3CDTF">2025-08-28T10:43:00Z</dcterms:modified>
</cp:coreProperties>
</file>