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168956EF"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F33BAB" w:rsidRPr="00F33BAB">
        <w:rPr>
          <w:rFonts w:cs="Times New Roman"/>
          <w:b/>
          <w:bCs/>
          <w:sz w:val="24"/>
          <w:szCs w:val="24"/>
        </w:rPr>
        <w:t>LABORATORINIŲ FIZINIŲ SAVYBIŲ NUSTATYMO PRIETAISŲ (HOMOGENIZATORIUS, MIKROTŪRIŲ SPEKTROFOTOMETRAS IR VANDENS AKTYVUMO NUSTATYMO PRIETAISAS)</w:t>
      </w:r>
      <w:r w:rsidR="008E446C" w:rsidRPr="008E446C">
        <w:rPr>
          <w:rFonts w:cs="Times New Roman"/>
          <w:b/>
          <w:bC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70239298" w:rsidR="00067330" w:rsidRPr="00766C72" w:rsidRDefault="00094A2B" w:rsidP="00094A2B">
      <w:pPr>
        <w:pStyle w:val="SLONormal"/>
        <w:ind w:left="360"/>
        <w:jc w:val="center"/>
        <w:rPr>
          <w:lang w:val="lt-LT"/>
        </w:rPr>
      </w:pPr>
      <w:r w:rsidRPr="00835539">
        <w:rPr>
          <w:lang w:val="lt-LT"/>
        </w:rPr>
        <w:t>202</w:t>
      </w:r>
      <w:r w:rsidR="00A8210B" w:rsidRPr="00835539">
        <w:rPr>
          <w:lang w:val="lt-LT"/>
        </w:rPr>
        <w:t>5</w:t>
      </w:r>
      <w:r w:rsidR="00BA49D3" w:rsidRPr="00835539">
        <w:rPr>
          <w:lang w:val="lt-LT"/>
        </w:rPr>
        <w:t xml:space="preserve"> </w:t>
      </w:r>
      <w:r w:rsidR="00067330" w:rsidRPr="00835539">
        <w:rPr>
          <w:lang w:val="lt-LT"/>
        </w:rPr>
        <w:t xml:space="preserve">m. </w:t>
      </w:r>
      <w:r w:rsidR="008E446C">
        <w:rPr>
          <w:lang w:val="lt-LT"/>
        </w:rPr>
        <w:t>rugpjūčio</w:t>
      </w:r>
      <w:r w:rsidR="005B0FBE" w:rsidRPr="00835539">
        <w:rPr>
          <w:lang w:val="lt-LT"/>
        </w:rPr>
        <w:t xml:space="preserve"> </w:t>
      </w:r>
      <w:r w:rsidR="008E446C">
        <w:rPr>
          <w:lang w:val="lt-LT"/>
        </w:rPr>
        <w:t>28</w:t>
      </w:r>
      <w:r w:rsidR="00C77EE5" w:rsidRPr="00835539">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8F93DD1"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proofErr w:type="spellStart"/>
      <w:r w:rsidR="004B7585" w:rsidRPr="004B7585">
        <w:rPr>
          <w:b/>
          <w:bCs/>
        </w:rPr>
        <w:t>laboratorinių</w:t>
      </w:r>
      <w:proofErr w:type="spellEnd"/>
      <w:r w:rsidR="004B7585" w:rsidRPr="004B7585">
        <w:rPr>
          <w:b/>
          <w:bCs/>
        </w:rPr>
        <w:t xml:space="preserve"> </w:t>
      </w:r>
      <w:proofErr w:type="spellStart"/>
      <w:r w:rsidR="004B7585" w:rsidRPr="004B7585">
        <w:rPr>
          <w:b/>
          <w:bCs/>
        </w:rPr>
        <w:t>fizinių</w:t>
      </w:r>
      <w:proofErr w:type="spellEnd"/>
      <w:r w:rsidR="004B7585" w:rsidRPr="004B7585">
        <w:rPr>
          <w:b/>
          <w:bCs/>
        </w:rPr>
        <w:t xml:space="preserve"> </w:t>
      </w:r>
      <w:proofErr w:type="spellStart"/>
      <w:r w:rsidR="004B7585" w:rsidRPr="004B7585">
        <w:rPr>
          <w:b/>
          <w:bCs/>
        </w:rPr>
        <w:t>savybių</w:t>
      </w:r>
      <w:proofErr w:type="spellEnd"/>
      <w:r w:rsidR="004B7585" w:rsidRPr="004B7585">
        <w:rPr>
          <w:b/>
          <w:bCs/>
        </w:rPr>
        <w:t xml:space="preserve"> </w:t>
      </w:r>
      <w:proofErr w:type="spellStart"/>
      <w:r w:rsidR="004B7585" w:rsidRPr="004B7585">
        <w:rPr>
          <w:b/>
          <w:bCs/>
        </w:rPr>
        <w:t>nustatymo</w:t>
      </w:r>
      <w:proofErr w:type="spellEnd"/>
      <w:r w:rsidR="004B7585" w:rsidRPr="004B7585">
        <w:rPr>
          <w:b/>
          <w:bCs/>
        </w:rPr>
        <w:t xml:space="preserve"> </w:t>
      </w:r>
      <w:proofErr w:type="spellStart"/>
      <w:r w:rsidR="004B7585" w:rsidRPr="004B7585">
        <w:rPr>
          <w:b/>
          <w:bCs/>
        </w:rPr>
        <w:t>prietais</w:t>
      </w:r>
      <w:r w:rsidR="00EC51D3">
        <w:rPr>
          <w:b/>
          <w:bCs/>
        </w:rPr>
        <w:t>ų</w:t>
      </w:r>
      <w:proofErr w:type="spellEnd"/>
      <w:r w:rsidR="004B7585" w:rsidRPr="004B7585">
        <w:rPr>
          <w:b/>
          <w:bCs/>
        </w:rPr>
        <w:t xml:space="preserve"> (</w:t>
      </w:r>
      <w:proofErr w:type="spellStart"/>
      <w:r w:rsidR="004B7585" w:rsidRPr="004B7585">
        <w:rPr>
          <w:b/>
          <w:bCs/>
        </w:rPr>
        <w:t>Homogenizatorius</w:t>
      </w:r>
      <w:proofErr w:type="spellEnd"/>
      <w:r w:rsidR="004B7585" w:rsidRPr="004B7585">
        <w:rPr>
          <w:b/>
          <w:bCs/>
        </w:rPr>
        <w:t xml:space="preserve">, </w:t>
      </w:r>
      <w:proofErr w:type="spellStart"/>
      <w:r w:rsidR="004B7585" w:rsidRPr="004B7585">
        <w:rPr>
          <w:b/>
          <w:bCs/>
        </w:rPr>
        <w:t>mikrotūrių</w:t>
      </w:r>
      <w:proofErr w:type="spellEnd"/>
      <w:r w:rsidR="004B7585" w:rsidRPr="004B7585">
        <w:rPr>
          <w:b/>
          <w:bCs/>
        </w:rPr>
        <w:t xml:space="preserve"> </w:t>
      </w:r>
      <w:proofErr w:type="spellStart"/>
      <w:r w:rsidR="004B7585" w:rsidRPr="004B7585">
        <w:rPr>
          <w:b/>
          <w:bCs/>
        </w:rPr>
        <w:t>spektrofotometras</w:t>
      </w:r>
      <w:proofErr w:type="spellEnd"/>
      <w:r w:rsidR="004B7585" w:rsidRPr="004B7585">
        <w:rPr>
          <w:b/>
          <w:bCs/>
        </w:rPr>
        <w:t xml:space="preserve"> ir </w:t>
      </w:r>
      <w:proofErr w:type="spellStart"/>
      <w:r w:rsidR="004B7585" w:rsidRPr="004B7585">
        <w:rPr>
          <w:b/>
          <w:bCs/>
        </w:rPr>
        <w:t>vandens</w:t>
      </w:r>
      <w:proofErr w:type="spellEnd"/>
      <w:r w:rsidR="004B7585" w:rsidRPr="004B7585">
        <w:rPr>
          <w:b/>
          <w:bCs/>
        </w:rPr>
        <w:t xml:space="preserve"> </w:t>
      </w:r>
      <w:proofErr w:type="spellStart"/>
      <w:r w:rsidR="004B7585" w:rsidRPr="004B7585">
        <w:rPr>
          <w:b/>
          <w:bCs/>
        </w:rPr>
        <w:t>aktyvumo</w:t>
      </w:r>
      <w:proofErr w:type="spellEnd"/>
      <w:r w:rsidR="004B7585" w:rsidRPr="004B7585">
        <w:rPr>
          <w:b/>
          <w:bCs/>
        </w:rPr>
        <w:t xml:space="preserve"> </w:t>
      </w:r>
      <w:proofErr w:type="spellStart"/>
      <w:r w:rsidR="004B7585" w:rsidRPr="004B7585">
        <w:rPr>
          <w:b/>
          <w:bCs/>
        </w:rPr>
        <w:t>nustatymo</w:t>
      </w:r>
      <w:proofErr w:type="spellEnd"/>
      <w:r w:rsidR="004B7585" w:rsidRPr="004B7585">
        <w:rPr>
          <w:b/>
          <w:bCs/>
        </w:rPr>
        <w:t xml:space="preserve"> </w:t>
      </w:r>
      <w:proofErr w:type="spellStart"/>
      <w:r w:rsidR="004B7585" w:rsidRPr="004B7585">
        <w:rPr>
          <w:b/>
          <w:bCs/>
        </w:rPr>
        <w:t>prietaisas</w:t>
      </w:r>
      <w:proofErr w:type="spellEnd"/>
      <w:r w:rsidR="004B7585" w:rsidRPr="004B7585">
        <w:rPr>
          <w:b/>
          <w:bCs/>
        </w:rPr>
        <w:t>)</w:t>
      </w:r>
      <w:r w:rsidR="005232F2">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130ADD2C"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357566" w:rsidRPr="00835539">
        <w:rPr>
          <w:b/>
          <w:bCs/>
          <w:u w:val="single"/>
          <w:lang w:val="lt-LT"/>
        </w:rPr>
        <w:t xml:space="preserve">5 </w:t>
      </w:r>
      <w:r w:rsidRPr="00835539">
        <w:rPr>
          <w:b/>
          <w:bCs/>
          <w:u w:val="single"/>
          <w:lang w:val="lt-LT"/>
        </w:rPr>
        <w:t>m.</w:t>
      </w:r>
      <w:r w:rsidR="003252E7" w:rsidRPr="00835539">
        <w:rPr>
          <w:b/>
          <w:bCs/>
          <w:u w:val="single"/>
          <w:lang w:val="lt-LT"/>
        </w:rPr>
        <w:t xml:space="preserve"> </w:t>
      </w:r>
      <w:r w:rsidR="00BC5204">
        <w:rPr>
          <w:b/>
          <w:bCs/>
          <w:u w:val="single"/>
          <w:lang w:val="lt-LT"/>
        </w:rPr>
        <w:t>rugsėjo</w:t>
      </w:r>
      <w:r w:rsidR="00DB12BA" w:rsidRPr="00835539">
        <w:rPr>
          <w:b/>
          <w:bCs/>
          <w:u w:val="single"/>
          <w:lang w:val="lt-LT"/>
        </w:rPr>
        <w:t xml:space="preserve"> </w:t>
      </w:r>
      <w:r w:rsidR="00BC5204">
        <w:rPr>
          <w:b/>
          <w:bCs/>
          <w:u w:val="single"/>
          <w:lang w:val="lt-LT"/>
        </w:rPr>
        <w:t>1</w:t>
      </w:r>
      <w:r w:rsidR="00C15FC7" w:rsidRPr="00835539">
        <w:rPr>
          <w:b/>
          <w:bCs/>
          <w:u w:val="single"/>
          <w:lang w:val="lt-LT"/>
        </w:rPr>
        <w:t xml:space="preserve"> </w:t>
      </w:r>
      <w:r w:rsidR="00DB12BA" w:rsidRPr="00835539">
        <w:rPr>
          <w:b/>
          <w:bCs/>
          <w:u w:val="single"/>
          <w:lang w:val="lt-LT"/>
        </w:rPr>
        <w:t xml:space="preserve">d. </w:t>
      </w:r>
      <w:r w:rsidR="00C15FC7" w:rsidRPr="00835539">
        <w:rPr>
          <w:b/>
          <w:bCs/>
          <w:u w:val="single"/>
          <w:lang w:val="lt-LT"/>
        </w:rPr>
        <w:t>1</w:t>
      </w:r>
      <w:r w:rsidR="00EC51D3">
        <w:rPr>
          <w:b/>
          <w:bCs/>
          <w:u w:val="single"/>
          <w:lang w:val="lt-LT"/>
        </w:rPr>
        <w:t>4</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5BF18F89"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Pr>
          <w:b/>
        </w:rPr>
        <w:t xml:space="preserve"> </w:t>
      </w:r>
      <w:r w:rsidR="00EC51D3" w:rsidRPr="00EC51D3">
        <w:rPr>
          <w:b/>
          <w:bCs/>
          <w:lang w:val="lt-LT"/>
        </w:rPr>
        <w:t>laboratorinių fizinių savybių nustatymo prietais</w:t>
      </w:r>
      <w:r w:rsidR="00EC51D3">
        <w:rPr>
          <w:b/>
          <w:bCs/>
          <w:lang w:val="lt-LT"/>
        </w:rPr>
        <w:t>us</w:t>
      </w:r>
      <w:r w:rsidR="00EC51D3" w:rsidRPr="00EC51D3">
        <w:rPr>
          <w:b/>
          <w:bCs/>
          <w:lang w:val="lt-LT"/>
        </w:rPr>
        <w:t xml:space="preserve"> (Homogenizatorius, mikrotūrių spektrofotometras ir vandens aktyvumo nustatymo prietaisas)</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726835DC"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C11D34" w:rsidRPr="00C11D34">
        <w:rPr>
          <w:rFonts w:ascii="Times New Roman Bold" w:hAnsi="Times New Roman Bold" w:cs="Times New Roman"/>
          <w:b/>
          <w:bCs/>
          <w:caps/>
          <w:sz w:val="24"/>
          <w:szCs w:val="24"/>
        </w:rPr>
        <w:t>LABORATORINIŲ FIZINIŲ SAVYBIŲ NUSTATYMO PRIETAISŲ (HOMOGENIZATORIUS, MIKROTŪRIŲ SPEKTROFOTOMETRAS IR VANDENS AKTYVUMO NUSTATYMO PRIETAISAS)</w:t>
      </w:r>
      <w:r w:rsidR="00536EBE" w:rsidRPr="00536EBE">
        <w:rPr>
          <w:rFonts w:cs="Times New Roman"/>
          <w:b/>
          <w:bCs/>
          <w:sz w:val="24"/>
          <w:szCs w:val="24"/>
        </w:rPr>
        <w:t xml:space="preserve"> </w:t>
      </w:r>
      <w:r w:rsidR="002538AB"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295F8F33" w:rsidR="005656B2" w:rsidRDefault="005656B2" w:rsidP="00216493">
      <w:pPr>
        <w:pStyle w:val="SLONormal"/>
        <w:jc w:val="center"/>
        <w:rPr>
          <w:lang w:val="lt-LT"/>
        </w:rPr>
      </w:pPr>
      <w:r w:rsidRPr="00835539">
        <w:rPr>
          <w:lang w:val="lt-LT"/>
        </w:rPr>
        <w:t>202</w:t>
      </w:r>
      <w:r w:rsidR="00194C3E" w:rsidRPr="00835539">
        <w:rPr>
          <w:lang w:val="lt-LT"/>
        </w:rPr>
        <w:t>5</w:t>
      </w:r>
      <w:r w:rsidRPr="00835539">
        <w:rPr>
          <w:lang w:val="lt-LT"/>
        </w:rPr>
        <w:t xml:space="preserve"> m. </w:t>
      </w:r>
      <w:r w:rsidR="00536EBE">
        <w:rPr>
          <w:lang w:val="lt-LT"/>
        </w:rPr>
        <w:t>rugpjūčio</w:t>
      </w:r>
      <w:r w:rsidRPr="00835539">
        <w:rPr>
          <w:lang w:val="lt-LT"/>
        </w:rPr>
        <w:t xml:space="preserve"> </w:t>
      </w:r>
      <w:r w:rsidR="00536EBE">
        <w:rPr>
          <w:lang w:val="lt-LT"/>
        </w:rPr>
        <w:t>28</w:t>
      </w:r>
      <w:r w:rsidRPr="00835539">
        <w:rPr>
          <w:lang w:val="lt-LT"/>
        </w:rPr>
        <w:t xml:space="preserve"> d.</w:t>
      </w:r>
      <w:r w:rsidRPr="005656B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BE0FDA" w:rsidRDefault="00216493" w:rsidP="008D0DA3">
            <w:pPr>
              <w:jc w:val="both"/>
              <w:rPr>
                <w:rFonts w:eastAsia="Times New Roman" w:cs="Times New Roman"/>
                <w:b/>
                <w:bCs/>
                <w:sz w:val="24"/>
                <w:szCs w:val="24"/>
                <w:lang w:eastAsia="lt-LT"/>
              </w:rPr>
            </w:pPr>
            <w:r w:rsidRPr="00BE0FDA">
              <w:rPr>
                <w:rFonts w:eastAsia="Times New Roman" w:cs="Times New Roman"/>
                <w:b/>
                <w:bCs/>
                <w:sz w:val="24"/>
                <w:szCs w:val="24"/>
                <w:lang w:eastAsia="lt-LT"/>
              </w:rPr>
              <w:t xml:space="preserve">Ar pirkimo dokumentuose nurodyti reikalavimai ir sąlygos yra išsamios, konkrečios ir aiškios? </w:t>
            </w:r>
          </w:p>
          <w:p w14:paraId="6DBD0FAC" w14:textId="77777777" w:rsidR="00216493" w:rsidRPr="00826A9E" w:rsidRDefault="00216493" w:rsidP="008D0DA3">
            <w:pPr>
              <w:jc w:val="both"/>
              <w:rPr>
                <w:rFonts w:eastAsia="Times New Roman" w:cs="Times New Roman"/>
                <w:sz w:val="24"/>
                <w:szCs w:val="24"/>
                <w:lang w:eastAsia="lt-LT"/>
              </w:rPr>
            </w:pPr>
            <w:r w:rsidRPr="00BE0FDA">
              <w:rPr>
                <w:rFonts w:eastAsia="Times New Roman" w:cs="Times New Roman"/>
                <w:b/>
                <w:bCs/>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2CF7D5F8" w14:textId="7566ACFB" w:rsidR="002244B9" w:rsidRPr="002244B9" w:rsidRDefault="002244B9" w:rsidP="002244B9">
            <w:pPr>
              <w:jc w:val="both"/>
              <w:rPr>
                <w:rFonts w:eastAsia="Calibri" w:cs="Times New Roman"/>
                <w:bCs/>
                <w:sz w:val="24"/>
                <w:szCs w:val="24"/>
              </w:rPr>
            </w:pPr>
            <w:r w:rsidRPr="002244B9">
              <w:rPr>
                <w:rFonts w:eastAsia="Calibri" w:cs="Times New Roman"/>
                <w:bCs/>
                <w:sz w:val="24"/>
                <w:szCs w:val="24"/>
              </w:rPr>
              <w:t>1 pirkimo objekto daliai - ne daugiau kaip 11.652,89 EUR be PVM;</w:t>
            </w:r>
          </w:p>
          <w:p w14:paraId="3AD84E01" w14:textId="7F070E38" w:rsidR="002244B9" w:rsidRPr="002244B9" w:rsidRDefault="002244B9" w:rsidP="002244B9">
            <w:pPr>
              <w:jc w:val="both"/>
              <w:rPr>
                <w:rFonts w:eastAsia="Calibri" w:cs="Times New Roman"/>
                <w:bCs/>
                <w:sz w:val="24"/>
                <w:szCs w:val="24"/>
              </w:rPr>
            </w:pPr>
            <w:r w:rsidRPr="002244B9">
              <w:rPr>
                <w:rFonts w:eastAsia="Calibri" w:cs="Times New Roman"/>
                <w:bCs/>
                <w:sz w:val="24"/>
                <w:szCs w:val="24"/>
              </w:rPr>
              <w:t>2 pirkimo objekto daliai - ne daugiau kaip 12.479,34 EUR be PVM;</w:t>
            </w:r>
          </w:p>
          <w:p w14:paraId="2A375E3C" w14:textId="4CB9700E" w:rsidR="00CD215E" w:rsidRPr="00826A9E" w:rsidRDefault="002244B9" w:rsidP="002244B9">
            <w:pPr>
              <w:jc w:val="both"/>
              <w:rPr>
                <w:rFonts w:eastAsia="Times New Roman" w:cs="Times New Roman"/>
                <w:sz w:val="24"/>
                <w:szCs w:val="24"/>
                <w:lang w:eastAsia="lt-LT"/>
              </w:rPr>
            </w:pPr>
            <w:r w:rsidRPr="002244B9">
              <w:rPr>
                <w:rFonts w:eastAsia="Calibri" w:cs="Times New Roman"/>
                <w:bCs/>
                <w:sz w:val="24"/>
                <w:szCs w:val="24"/>
              </w:rPr>
              <w:t>3 pirkimo objekto daliai - ne daugiau kaip 11.157,02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sidRPr="00BE0FDA">
              <w:rPr>
                <w:rFonts w:eastAsia="Times New Roman" w:cs="Times New Roman"/>
                <w:b/>
                <w:bCs/>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2584" w14:textId="77777777" w:rsidR="009613B3" w:rsidRDefault="009613B3" w:rsidP="00535631">
      <w:r>
        <w:separator/>
      </w:r>
    </w:p>
  </w:endnote>
  <w:endnote w:type="continuationSeparator" w:id="0">
    <w:p w14:paraId="5BFF7FEA" w14:textId="77777777" w:rsidR="009613B3" w:rsidRDefault="009613B3"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5209" w14:textId="77777777" w:rsidR="009613B3" w:rsidRDefault="009613B3" w:rsidP="00535631">
      <w:r>
        <w:separator/>
      </w:r>
    </w:p>
  </w:footnote>
  <w:footnote w:type="continuationSeparator" w:id="0">
    <w:p w14:paraId="3C9E08E4" w14:textId="77777777" w:rsidR="009613B3" w:rsidRDefault="009613B3"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44B9"/>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576"/>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B7585"/>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13B3"/>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0FDA"/>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1D34"/>
    <w:rsid w:val="00C13E50"/>
    <w:rsid w:val="00C1495C"/>
    <w:rsid w:val="00C15FC7"/>
    <w:rsid w:val="00C175FE"/>
    <w:rsid w:val="00C214C3"/>
    <w:rsid w:val="00C22A85"/>
    <w:rsid w:val="00C24727"/>
    <w:rsid w:val="00C27477"/>
    <w:rsid w:val="00C30492"/>
    <w:rsid w:val="00C34B0B"/>
    <w:rsid w:val="00C3570E"/>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102"/>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1D3"/>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B05"/>
    <w:rsid w:val="00F11D13"/>
    <w:rsid w:val="00F16204"/>
    <w:rsid w:val="00F204BF"/>
    <w:rsid w:val="00F205D6"/>
    <w:rsid w:val="00F22EDF"/>
    <w:rsid w:val="00F26536"/>
    <w:rsid w:val="00F26DA3"/>
    <w:rsid w:val="00F27BC6"/>
    <w:rsid w:val="00F311DB"/>
    <w:rsid w:val="00F33BA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3677</Words>
  <Characters>2097</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8</cp:revision>
  <cp:lastPrinted>2024-02-09T06:29:00Z</cp:lastPrinted>
  <dcterms:created xsi:type="dcterms:W3CDTF">2025-08-28T11:06:00Z</dcterms:created>
  <dcterms:modified xsi:type="dcterms:W3CDTF">2025-08-28T11:09:00Z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