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EB" w:rsidRPr="000F13E0" w:rsidRDefault="00096D3C" w:rsidP="00413A12">
      <w:pPr>
        <w:ind w:left="6096"/>
        <w:textAlignment w:val="baseline"/>
        <w:rPr>
          <w:sz w:val="18"/>
          <w:szCs w:val="18"/>
        </w:rPr>
      </w:pPr>
      <w:r>
        <w:rPr>
          <w:szCs w:val="24"/>
        </w:rPr>
        <w:t>Konkurso specialiųjų sąlygų 10</w:t>
      </w:r>
      <w:bookmarkStart w:id="0" w:name="_GoBack"/>
      <w:bookmarkEnd w:id="0"/>
      <w:r w:rsidR="00413A12"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4E2281" w:rsidP="00A8698E">
            <w:pPr>
              <w:jc w:val="both"/>
              <w:rPr>
                <w:kern w:val="2"/>
                <w:szCs w:val="24"/>
              </w:rPr>
            </w:pPr>
            <w:r>
              <w:rPr>
                <w:kern w:val="2"/>
                <w:szCs w:val="24"/>
              </w:rPr>
              <w:t>Tarnybin</w:t>
            </w:r>
            <w:r w:rsidR="00A8698E">
              <w:rPr>
                <w:kern w:val="2"/>
                <w:szCs w:val="24"/>
              </w:rPr>
              <w:t>ių stočių dalys</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413A12">
            <w:pPr>
              <w:jc w:val="both"/>
              <w:rPr>
                <w:kern w:val="2"/>
                <w:szCs w:val="24"/>
              </w:rPr>
            </w:pPr>
            <w:r w:rsidRPr="000F13E0">
              <w:rPr>
                <w:kern w:val="2"/>
                <w:szCs w:val="24"/>
              </w:rPr>
              <w:t>2025-__-__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8B67EB">
            <w:pPr>
              <w:jc w:val="both"/>
              <w:rPr>
                <w:kern w:val="2"/>
                <w:szCs w:val="24"/>
              </w:rPr>
            </w:pP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 xml:space="preserve">ompiuterių sistemų </w:t>
            </w:r>
            <w:r w:rsidR="00317D7C">
              <w:rPr>
                <w:color w:val="000000" w:themeColor="text1"/>
                <w:kern w:val="2"/>
                <w:szCs w:val="24"/>
              </w:rPr>
              <w:t>inžinierius</w:t>
            </w:r>
            <w:r w:rsidR="009E1C90">
              <w:rPr>
                <w:color w:val="000000" w:themeColor="text1"/>
                <w:kern w:val="2"/>
                <w:szCs w:val="24"/>
              </w:rPr>
              <w:t xml:space="preserve"> Mindaugas </w:t>
            </w:r>
            <w:r w:rsidR="00317D7C">
              <w:rPr>
                <w:color w:val="000000" w:themeColor="text1"/>
                <w:kern w:val="2"/>
                <w:szCs w:val="24"/>
              </w:rPr>
              <w:t>Kavaliauskas</w:t>
            </w:r>
            <w:r w:rsidR="009E1C90">
              <w:rPr>
                <w:color w:val="000000" w:themeColor="text1"/>
                <w:kern w:val="2"/>
                <w:szCs w:val="24"/>
              </w:rPr>
              <w:t>,</w:t>
            </w:r>
          </w:p>
          <w:p w:rsidR="00685EBE" w:rsidRPr="000F13E0" w:rsidRDefault="009E1C90" w:rsidP="00685EBE">
            <w:pPr>
              <w:rPr>
                <w:color w:val="000000" w:themeColor="text1"/>
                <w:kern w:val="2"/>
                <w:szCs w:val="24"/>
              </w:rPr>
            </w:pPr>
            <w:r>
              <w:rPr>
                <w:color w:val="000000" w:themeColor="text1"/>
                <w:kern w:val="2"/>
                <w:szCs w:val="24"/>
              </w:rPr>
              <w:t xml:space="preserve">tel. </w:t>
            </w:r>
            <w:r w:rsidR="00A8698E">
              <w:rPr>
                <w:color w:val="000000" w:themeColor="text1"/>
                <w:kern w:val="2"/>
                <w:szCs w:val="24"/>
              </w:rPr>
              <w:t>+370 637 48</w:t>
            </w:r>
            <w:r w:rsidR="00A8698E" w:rsidRPr="00A8698E">
              <w:rPr>
                <w:color w:val="000000" w:themeColor="text1"/>
                <w:kern w:val="2"/>
                <w:szCs w:val="24"/>
              </w:rPr>
              <w:t>727</w:t>
            </w:r>
            <w:r>
              <w:rPr>
                <w:color w:val="000000" w:themeColor="text1"/>
                <w:kern w:val="2"/>
                <w:szCs w:val="24"/>
              </w:rPr>
              <w:t xml:space="preserve">, el. p. </w:t>
            </w:r>
            <w:r w:rsidR="00A8698E" w:rsidRPr="00A8698E">
              <w:rPr>
                <w:color w:val="000000" w:themeColor="text1"/>
                <w:kern w:val="2"/>
                <w:szCs w:val="24"/>
              </w:rPr>
              <w:t>mindaugas.kavaliauskas@nksc.lt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2.2. Tiekėjo kontaktiniai asmenys, </w:t>
            </w:r>
            <w:r w:rsidRPr="000F13E0">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lastRenderedPageBreak/>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 xml:space="preserve">Tiekėjas įsipareigoja Sutartyje numatytomis sąlygomis perduoti Pirkėjui </w:t>
            </w:r>
            <w:r w:rsidRPr="00E10FAC">
              <w:rPr>
                <w:b/>
                <w:color w:val="000000" w:themeColor="text1"/>
                <w:kern w:val="2"/>
                <w:szCs w:val="24"/>
              </w:rPr>
              <w:t>Prekes</w:t>
            </w:r>
            <w:r w:rsidR="00422DE1" w:rsidRPr="00E10FAC">
              <w:rPr>
                <w:b/>
                <w:color w:val="000000" w:themeColor="text1"/>
                <w:kern w:val="2"/>
                <w:szCs w:val="24"/>
              </w:rPr>
              <w:t xml:space="preserve"> – </w:t>
            </w:r>
            <w:r w:rsidR="00E10FAC" w:rsidRPr="00E10FAC">
              <w:rPr>
                <w:b/>
                <w:color w:val="000000" w:themeColor="text1"/>
                <w:kern w:val="2"/>
                <w:szCs w:val="24"/>
              </w:rPr>
              <w:t>tarnybinių stočių atsarginės dalys – operatyviosios atmintys ir tinklo plokštės</w:t>
            </w:r>
            <w:r w:rsidR="009E1C90" w:rsidRPr="00E10FAC">
              <w:rPr>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1C90" w:rsidP="00476A17">
            <w:pPr>
              <w:rPr>
                <w:kern w:val="2"/>
                <w:szCs w:val="24"/>
              </w:rPr>
            </w:pPr>
            <w:r w:rsidRPr="009E1C90">
              <w:rPr>
                <w:kern w:val="2"/>
                <w:szCs w:val="24"/>
              </w:rPr>
              <w:t>Kompiuteriai, tarnybinės stotys ir jų dalys</w:t>
            </w:r>
            <w:r>
              <w:rPr>
                <w:kern w:val="2"/>
                <w:szCs w:val="24"/>
              </w:rPr>
              <w:t>, I</w:t>
            </w:r>
            <w:r w:rsidR="00476A17">
              <w:rPr>
                <w:kern w:val="2"/>
                <w:szCs w:val="24"/>
              </w:rPr>
              <w:t>I</w:t>
            </w:r>
            <w:r w:rsidR="001F552A">
              <w:rPr>
                <w:kern w:val="2"/>
                <w:szCs w:val="24"/>
              </w:rPr>
              <w:t>I</w:t>
            </w:r>
            <w:r>
              <w:rPr>
                <w:kern w:val="2"/>
                <w:szCs w:val="24"/>
              </w:rPr>
              <w:t xml:space="preserve"> dalis </w:t>
            </w:r>
            <w:r w:rsidR="00476A17">
              <w:rPr>
                <w:kern w:val="2"/>
                <w:szCs w:val="24"/>
              </w:rPr>
              <w:t>„Tarnybinių stočių dalys</w:t>
            </w:r>
            <w:r>
              <w:rPr>
                <w:kern w:val="2"/>
                <w:szCs w:val="24"/>
              </w:rPr>
              <w:t>“</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A8698E">
            <w:pPr>
              <w:rPr>
                <w:kern w:val="2"/>
                <w:szCs w:val="24"/>
              </w:rPr>
            </w:pPr>
            <w:r w:rsidRPr="00A8698E">
              <w:rPr>
                <w:kern w:val="2"/>
                <w:szCs w:val="24"/>
              </w:rPr>
              <w:t>30236110-6 Laisv</w:t>
            </w:r>
            <w:r>
              <w:rPr>
                <w:kern w:val="2"/>
                <w:szCs w:val="24"/>
              </w:rPr>
              <w:t>osios kreipties atmintinė (RAM)</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A8698E" w:rsidP="00F9602E">
            <w:pPr>
              <w:rPr>
                <w:color w:val="000000" w:themeColor="text1"/>
                <w:kern w:val="2"/>
                <w:szCs w:val="24"/>
              </w:rPr>
            </w:pPr>
            <w:r>
              <w:rPr>
                <w:color w:val="000000" w:themeColor="text1"/>
                <w:kern w:val="2"/>
                <w:szCs w:val="24"/>
              </w:rPr>
              <w:t>Netaikoma.</w:t>
            </w:r>
            <w:r w:rsidR="00F9602E" w:rsidRPr="00F9602E">
              <w:rPr>
                <w:color w:val="000000" w:themeColor="text1"/>
                <w:kern w:val="2"/>
                <w:szCs w:val="24"/>
              </w:rPr>
              <w:t xml:space="preserve">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AC45A3"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F9602E">
              <w:rPr>
                <w:color w:val="000000" w:themeColor="text1"/>
                <w:kern w:val="2"/>
                <w:szCs w:val="24"/>
              </w:rPr>
              <w:t xml:space="preserve">adresu, </w:t>
            </w:r>
            <w:r w:rsidR="00E144F7">
              <w:rPr>
                <w:color w:val="000000" w:themeColor="text1"/>
                <w:kern w:val="2"/>
                <w:szCs w:val="24"/>
              </w:rPr>
              <w:t>Savanorių p</w:t>
            </w:r>
            <w:r w:rsidR="00A8698E">
              <w:rPr>
                <w:color w:val="000000" w:themeColor="text1"/>
                <w:kern w:val="2"/>
                <w:szCs w:val="24"/>
              </w:rPr>
              <w:t>r. 349</w:t>
            </w:r>
            <w:r w:rsidR="00A8698E" w:rsidRPr="00A8698E">
              <w:rPr>
                <w:color w:val="000000" w:themeColor="text1"/>
                <w:kern w:val="2"/>
                <w:szCs w:val="24"/>
              </w:rPr>
              <w:t>, Kaunas</w:t>
            </w:r>
            <w:r w:rsidR="00A8698E">
              <w:rPr>
                <w:color w:val="000000" w:themeColor="text1"/>
                <w:kern w:val="2"/>
                <w:szCs w:val="24"/>
              </w:rPr>
              <w:t xml:space="preserve"> (8 aukštas)</w:t>
            </w:r>
            <w:r w:rsidR="00F9602E" w:rsidRPr="00F9602E">
              <w:rPr>
                <w:color w:val="000000" w:themeColor="text1"/>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7747D" w:rsidRDefault="0057747D" w:rsidP="0057747D">
            <w:pPr>
              <w:rPr>
                <w:kern w:val="2"/>
                <w:szCs w:val="24"/>
              </w:rPr>
            </w:pPr>
            <w:r w:rsidRPr="0057747D">
              <w:rPr>
                <w:kern w:val="2"/>
                <w:szCs w:val="24"/>
              </w:rPr>
              <w:t>Kartu su Prekė</w:t>
            </w:r>
            <w:r>
              <w:rPr>
                <w:kern w:val="2"/>
                <w:szCs w:val="24"/>
              </w:rPr>
              <w:t>mis pateikiami šie dokumentai:</w:t>
            </w:r>
          </w:p>
          <w:p w:rsidR="0057747D" w:rsidRDefault="0057747D" w:rsidP="0057747D">
            <w:pPr>
              <w:rPr>
                <w:kern w:val="2"/>
                <w:szCs w:val="24"/>
              </w:rPr>
            </w:pPr>
            <w:r w:rsidRPr="0057747D">
              <w:rPr>
                <w:kern w:val="2"/>
                <w:szCs w:val="24"/>
              </w:rPr>
              <w:t>P</w:t>
            </w:r>
            <w:r>
              <w:rPr>
                <w:kern w:val="2"/>
                <w:szCs w:val="24"/>
              </w:rPr>
              <w:t>rekių perdavimo-priėmimo aktas;</w:t>
            </w:r>
          </w:p>
          <w:p w:rsidR="00C56E6B" w:rsidRDefault="0057747D" w:rsidP="00C56E6B">
            <w:pPr>
              <w:rPr>
                <w:kern w:val="2"/>
                <w:szCs w:val="24"/>
              </w:rPr>
            </w:pPr>
            <w:r>
              <w:rPr>
                <w:kern w:val="2"/>
                <w:szCs w:val="24"/>
              </w:rPr>
              <w:t>Gamintojo Prekių dokumentacija</w:t>
            </w:r>
            <w:r w:rsidRPr="0057747D">
              <w:rPr>
                <w:kern w:val="2"/>
                <w:szCs w:val="24"/>
              </w:rPr>
              <w:t xml:space="preserve"> (</w:t>
            </w:r>
            <w:r w:rsidR="00C56E6B">
              <w:rPr>
                <w:kern w:val="2"/>
                <w:szCs w:val="24"/>
              </w:rPr>
              <w:t xml:space="preserve">instrukcijos ir </w:t>
            </w:r>
            <w:r w:rsidRPr="0057747D">
              <w:rPr>
                <w:kern w:val="2"/>
                <w:szCs w:val="24"/>
              </w:rPr>
              <w:t>se</w:t>
            </w:r>
            <w:r w:rsidR="00C56E6B">
              <w:rPr>
                <w:kern w:val="2"/>
                <w:szCs w:val="24"/>
              </w:rPr>
              <w:t>rtifikatai)</w:t>
            </w:r>
          </w:p>
          <w:p w:rsidR="008B67EB" w:rsidRPr="000F13E0" w:rsidRDefault="0057747D" w:rsidP="00C56E6B">
            <w:pPr>
              <w:rPr>
                <w:kern w:val="2"/>
                <w:szCs w:val="24"/>
              </w:rPr>
            </w:pPr>
            <w:r w:rsidRPr="0057747D">
              <w:rPr>
                <w:kern w:val="2"/>
                <w:szCs w:val="24"/>
              </w:rPr>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t xml:space="preserve">5.2. Pradinės Sutarties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w:t>
            </w:r>
            <w:r w:rsidRPr="000F13E0">
              <w:rPr>
                <w:b/>
                <w:bCs/>
                <w:kern w:val="2"/>
                <w:szCs w:val="24"/>
              </w:rPr>
              <w:lastRenderedPageBreak/>
              <w:t xml:space="preserve">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lastRenderedPageBreak/>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Pirkėjas atsiskaito su Tiekėju ne vėliau kaip per </w:t>
            </w:r>
            <w:r w:rsidR="00CD0C03" w:rsidRPr="000F13E0">
              <w:rPr>
                <w:kern w:val="2"/>
                <w:szCs w:val="24"/>
              </w:rPr>
              <w:t>30 (trisdešimt) dienų</w:t>
            </w:r>
            <w:r w:rsidRPr="000F13E0">
              <w:rPr>
                <w:kern w:val="2"/>
                <w:szCs w:val="24"/>
              </w:rPr>
              <w:t xml:space="preserve"> nuo Sąskaitos gavimo dienos.</w:t>
            </w:r>
          </w:p>
          <w:p w:rsidR="008B67EB" w:rsidRPr="000F13E0" w:rsidRDefault="00121577" w:rsidP="003B599A">
            <w:pPr>
              <w:jc w:val="both"/>
              <w:rPr>
                <w:color w:val="000000"/>
                <w:kern w:val="2"/>
                <w:szCs w:val="24"/>
                <w:shd w:val="clear" w:color="auto" w:fill="FFFFFF"/>
              </w:rPr>
            </w:pPr>
            <w:r w:rsidRPr="000F13E0">
              <w:rPr>
                <w:kern w:val="2"/>
                <w:szCs w:val="24"/>
                <w:shd w:val="clear" w:color="auto" w:fill="FFFFFF"/>
              </w:rPr>
              <w:t>Apmokėjimo sąlygos</w:t>
            </w:r>
            <w:r w:rsidR="00413A12" w:rsidRPr="000F13E0">
              <w:rPr>
                <w:kern w:val="2"/>
                <w:szCs w:val="24"/>
                <w:shd w:val="clear" w:color="auto" w:fill="FFFFFF"/>
              </w:rPr>
              <w:t xml:space="preserve">: </w:t>
            </w:r>
            <w:r w:rsidR="00CD0C03" w:rsidRPr="000F13E0">
              <w:rPr>
                <w:kern w:val="2"/>
                <w:szCs w:val="24"/>
                <w:shd w:val="clear" w:color="auto" w:fill="FFFFFF"/>
              </w:rPr>
              <w:t xml:space="preserve">įsigaliojus </w:t>
            </w:r>
            <w:r w:rsidRPr="000F13E0">
              <w:rPr>
                <w:kern w:val="2"/>
                <w:szCs w:val="24"/>
                <w:shd w:val="clear" w:color="auto" w:fill="FFFFFF"/>
              </w:rPr>
              <w:t xml:space="preserve">Sutarčiai, Tiekėjui </w:t>
            </w:r>
            <w:r w:rsidR="00C47C9A" w:rsidRPr="000F13E0">
              <w:rPr>
                <w:kern w:val="2"/>
                <w:szCs w:val="24"/>
                <w:shd w:val="clear" w:color="auto" w:fill="FFFFFF"/>
              </w:rPr>
              <w:t xml:space="preserve">nedelsiant </w:t>
            </w:r>
            <w:r w:rsidRPr="000F13E0">
              <w:rPr>
                <w:kern w:val="2"/>
                <w:szCs w:val="24"/>
                <w:shd w:val="clear" w:color="auto" w:fill="FFFFFF"/>
              </w:rPr>
              <w:t xml:space="preserve">pateikus Sąskaitą Pirkėjui per </w:t>
            </w:r>
            <w:r w:rsidR="003B599A">
              <w:rPr>
                <w:kern w:val="2"/>
                <w:szCs w:val="24"/>
                <w:shd w:val="clear" w:color="auto" w:fill="FFFFFF"/>
              </w:rPr>
              <w:t>Sąskaitų administravimo bendrąją informacinę sistemą</w:t>
            </w:r>
            <w:r w:rsidRPr="000F13E0">
              <w:rPr>
                <w:kern w:val="2"/>
                <w:szCs w:val="24"/>
                <w:shd w:val="clear" w:color="auto" w:fill="FFFFFF"/>
              </w:rPr>
              <w:t xml:space="preserve"> – SABIS (</w:t>
            </w:r>
            <w:hyperlink r:id="rId7" w:history="1">
              <w:r w:rsidR="00C47C9A" w:rsidRPr="000F13E0">
                <w:rPr>
                  <w:rStyle w:val="Hyperlink"/>
                  <w:kern w:val="2"/>
                  <w:szCs w:val="24"/>
                  <w:shd w:val="clear" w:color="auto" w:fill="FFFFFF"/>
                </w:rPr>
                <w:t>https://sabis.nbfc.lt/</w:t>
              </w:r>
            </w:hyperlink>
            <w:r w:rsidRPr="000F13E0">
              <w:rPr>
                <w:kern w:val="2"/>
                <w:szCs w:val="24"/>
                <w:shd w:val="clear" w:color="auto" w:fill="FFFFFF"/>
              </w:rPr>
              <w:t>)</w:t>
            </w:r>
            <w:r w:rsidR="00C47C9A" w:rsidRPr="000F13E0">
              <w:rPr>
                <w:kern w:val="2"/>
                <w:szCs w:val="24"/>
                <w:shd w:val="clear" w:color="auto" w:fill="FFFFFF"/>
              </w:rPr>
              <w:t xml:space="preserve">, bet ne </w:t>
            </w:r>
            <w:r w:rsidR="003B599A">
              <w:rPr>
                <w:kern w:val="2"/>
                <w:szCs w:val="24"/>
                <w:shd w:val="clear" w:color="auto" w:fill="FFFFFF"/>
              </w:rPr>
              <w:t>vėliau</w:t>
            </w:r>
            <w:r w:rsidR="00C47C9A" w:rsidRPr="000F13E0">
              <w:rPr>
                <w:kern w:val="2"/>
                <w:szCs w:val="24"/>
                <w:shd w:val="clear" w:color="auto" w:fill="FFFFFF"/>
              </w:rPr>
              <w:t xml:space="preserve"> kaip per 14 (keturiolika) dienų</w:t>
            </w:r>
            <w:r w:rsidRPr="000F13E0">
              <w:rPr>
                <w:kern w:val="2"/>
                <w:szCs w:val="24"/>
                <w:shd w:val="clear" w:color="auto" w:fill="FFFFFF"/>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AC45A3">
            <w:pPr>
              <w:jc w:val="both"/>
              <w:rPr>
                <w:kern w:val="2"/>
                <w:szCs w:val="24"/>
              </w:rPr>
            </w:pPr>
            <w:r w:rsidRPr="000F13E0">
              <w:rPr>
                <w:kern w:val="2"/>
                <w:szCs w:val="24"/>
              </w:rPr>
              <w:t xml:space="preserve">Prekėms nustatomas Prekių gamintojo taikomas </w:t>
            </w:r>
            <w:r w:rsidRPr="0075337B">
              <w:rPr>
                <w:b/>
                <w:kern w:val="2"/>
                <w:szCs w:val="24"/>
              </w:rPr>
              <w:t xml:space="preserve">garantinis terminas, kuris yra </w:t>
            </w:r>
            <w:r w:rsidR="00121577" w:rsidRPr="0075337B">
              <w:rPr>
                <w:b/>
                <w:kern w:val="2"/>
                <w:szCs w:val="24"/>
              </w:rPr>
              <w:t>36 (trisdešimt šeši) mėnesiai</w:t>
            </w:r>
            <w:r w:rsidRPr="000F13E0">
              <w:rPr>
                <w:kern w:val="2"/>
                <w:szCs w:val="24"/>
              </w:rPr>
              <w:t xml:space="preserve">. Garantinis terminas, skaičiuojamas nuo </w:t>
            </w:r>
            <w:r w:rsidR="00121577" w:rsidRPr="000F13E0">
              <w:rPr>
                <w:kern w:val="2"/>
                <w:szCs w:val="24"/>
              </w:rPr>
              <w:t xml:space="preserve">pristatytų </w:t>
            </w:r>
            <w:r w:rsidRPr="000F13E0">
              <w:rPr>
                <w:kern w:val="2"/>
                <w:szCs w:val="24"/>
              </w:rPr>
              <w:t xml:space="preserve">Prekių </w:t>
            </w:r>
            <w:r w:rsidR="00AC45A3">
              <w:rPr>
                <w:kern w:val="2"/>
                <w:szCs w:val="24"/>
              </w:rPr>
              <w:t>perdavimo</w:t>
            </w:r>
            <w:r w:rsidR="00121577" w:rsidRPr="000F13E0">
              <w:rPr>
                <w:kern w:val="2"/>
                <w:szCs w:val="24"/>
              </w:rPr>
              <w:t xml:space="preserve"> </w:t>
            </w:r>
            <w:r w:rsidR="0075337B">
              <w:rPr>
                <w:kern w:val="2"/>
                <w:szCs w:val="24"/>
              </w:rPr>
              <w:t xml:space="preserve">Pirkėjui </w:t>
            </w:r>
            <w:r w:rsidR="00121577" w:rsidRPr="000F13E0">
              <w:rPr>
                <w:kern w:val="2"/>
                <w:szCs w:val="24"/>
              </w:rPr>
              <w:t>dienos</w:t>
            </w:r>
            <w:r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D534EA" w:rsidRDefault="00D534EA" w:rsidP="00D534EA">
            <w:pPr>
              <w:jc w:val="both"/>
            </w:pPr>
            <w:r>
              <w:t>Garantinio remonto / Prekių pakeitimų trukmė – ne ilgiau kaip 30 (trisdešimt) dienų. Jei sugedusios Prekės per šį laikotarpį pataisyti neįmanoma, ji pakeičiama ekvivalentiška nauja.</w:t>
            </w:r>
          </w:p>
          <w:p w:rsidR="00D534EA" w:rsidRDefault="00D534EA" w:rsidP="00D534EA">
            <w:pPr>
              <w:jc w:val="both"/>
            </w:pPr>
            <w:r>
              <w:t>Siūlomų Prekių techninė priežiūra turi būti atliekama tik perkančiosios organizacijos patalpose.</w:t>
            </w:r>
          </w:p>
          <w:p w:rsidR="00D534EA" w:rsidRDefault="00D534EA" w:rsidP="00D534EA">
            <w:pPr>
              <w:jc w:val="both"/>
            </w:pPr>
            <w:r>
              <w:t>Garantiniu laikotarpiu Tiekėjas privalo atlikti darbus savo lėšomis, įskaitant transportavimo išlaidas.</w:t>
            </w:r>
          </w:p>
          <w:p w:rsidR="00D534EA" w:rsidRDefault="00D534EA" w:rsidP="00D534EA">
            <w:pPr>
              <w:jc w:val="both"/>
            </w:pPr>
            <w:r>
              <w:lastRenderedPageBreak/>
              <w:t>Jei sugedusios Prekės per šį laikotarpį pataisyti neįmanoma – ji pakeičiama ekvivalentiška nauja.</w:t>
            </w:r>
          </w:p>
          <w:p w:rsidR="00D534EA" w:rsidRPr="000F13E0" w:rsidRDefault="00D534EA" w:rsidP="00D534EA">
            <w:pPr>
              <w:jc w:val="both"/>
            </w:pPr>
            <w:r>
              <w:t>Sugedę Prekių komponentai, turintys atminties, gedimo atveju turi būti keičiami naujais ir Tiekėjui nėra grąžinami.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Jei Pirkėjas, gavęs tinkamai pateiktą ir užpildytą Sąskaitą, uždelsia atsiskaityti </w:t>
            </w:r>
            <w:r w:rsidR="00AF0D8C" w:rsidRPr="000F13E0">
              <w:rPr>
                <w:kern w:val="2"/>
                <w:szCs w:val="24"/>
              </w:rPr>
              <w:t>su Tiekėju</w:t>
            </w:r>
            <w:r w:rsidRPr="000F13E0">
              <w:rPr>
                <w:kern w:val="2"/>
                <w:szCs w:val="24"/>
              </w:rPr>
              <w:t xml:space="preserve"> per Sutartyje nurodytą terminą, Tiekėjas nuo kitos nei nustatytas terminas dienos skaičiuoja Pirkėjui 0,02 (dvi šimtosios) procento dydžio delspinigius nuo neapmokėtos sumos be PVM už kiekvieną vėlavimo </w:t>
            </w:r>
            <w:r w:rsidR="00AF0D8C" w:rsidRPr="000F13E0">
              <w:rPr>
                <w:kern w:val="2"/>
                <w:szCs w:val="24"/>
              </w:rPr>
              <w:t>dieną.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rPr>
            </w:pPr>
            <w:r w:rsidRPr="000F13E0">
              <w:rPr>
                <w:kern w:val="2"/>
              </w:rPr>
              <w:t xml:space="preserve">9.2.1. Jeigu Tiekėjas vėluoja vykdyti užsakymą, </w:t>
            </w:r>
            <w:r w:rsidR="00AF0D8C" w:rsidRPr="000F13E0">
              <w:rPr>
                <w:kern w:val="2"/>
              </w:rPr>
              <w:t>pristatyti</w:t>
            </w:r>
            <w:r w:rsidRPr="000F13E0">
              <w:rPr>
                <w:kern w:val="2"/>
              </w:rPr>
              <w:t xml:space="preserve"> Prekes ar ištaisyti jų trūkumus</w:t>
            </w:r>
            <w:r w:rsidRPr="000F13E0">
              <w:t xml:space="preserve"> </w:t>
            </w:r>
            <w:r w:rsidRPr="000F13E0">
              <w:rPr>
                <w:kern w:val="2"/>
              </w:rPr>
              <w:t xml:space="preserve">arba nevykdo kitų sutartinių įsipareigojimų, Pirkėjas nuo kitos nei nustatytas terminas dienos Tiekėjui skaičiuoja </w:t>
            </w:r>
            <w:r w:rsidR="00AF0D8C" w:rsidRPr="000F13E0">
              <w:rPr>
                <w:kern w:val="2"/>
              </w:rPr>
              <w:t xml:space="preserve">0,02 (dvi šimtosios) procento </w:t>
            </w:r>
            <w:r w:rsidRPr="000F13E0">
              <w:rPr>
                <w:kern w:val="2"/>
              </w:rPr>
              <w:t>dydžio delspinigius už kiekvieną uždelstą die</w:t>
            </w:r>
            <w:r w:rsidR="00AF0D8C" w:rsidRPr="000F13E0">
              <w:rPr>
                <w:kern w:val="2"/>
              </w:rPr>
              <w:t>ną</w:t>
            </w:r>
            <w:r w:rsidRPr="000F13E0">
              <w:rPr>
                <w:kern w:val="2"/>
              </w:rPr>
              <w:t xml:space="preserve"> nuo laiku neperduotų Prekių ar Prekių, turinčių trūkumų, kainos be PVM. </w:t>
            </w:r>
          </w:p>
          <w:p w:rsidR="008B67EB" w:rsidRPr="000F13E0" w:rsidRDefault="00413A12" w:rsidP="00D61B83">
            <w:pPr>
              <w:jc w:val="both"/>
              <w:rPr>
                <w:kern w:val="2"/>
                <w:szCs w:val="24"/>
              </w:rPr>
            </w:pPr>
            <w:r w:rsidRPr="000F13E0">
              <w:rPr>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D61B83" w:rsidRPr="000F13E0">
              <w:rPr>
                <w:szCs w:val="24"/>
              </w:rPr>
              <w:t xml:space="preserve">dieną </w:t>
            </w:r>
            <w:r w:rsidRPr="000F13E0">
              <w:rPr>
                <w:szCs w:val="24"/>
              </w:rPr>
              <w:t>nuo laiku negrąžintos permokos, kainos be PVM.</w:t>
            </w:r>
          </w:p>
          <w:p w:rsidR="008B67EB" w:rsidRPr="000F13E0" w:rsidRDefault="00413A12" w:rsidP="00D61B83">
            <w:pPr>
              <w:jc w:val="both"/>
              <w:rPr>
                <w:b/>
                <w:kern w:val="2"/>
              </w:rPr>
            </w:pPr>
            <w:r w:rsidRPr="000F13E0">
              <w:rPr>
                <w:kern w:val="2"/>
              </w:rPr>
              <w:t xml:space="preserve">9.2.3. Tiekėjas privalo sumokėti Pirkėjui netesybas per </w:t>
            </w:r>
            <w:r w:rsidR="00D61B83" w:rsidRPr="000F13E0">
              <w:rPr>
                <w:kern w:val="2"/>
              </w:rPr>
              <w:t>30 (trisdešimt)</w:t>
            </w:r>
            <w:r w:rsidRPr="000F13E0">
              <w:rPr>
                <w:kern w:val="2"/>
              </w:rPr>
              <w:t xml:space="preserve"> dienų nuo Pirkėjo pareikalavimo, jeigu netesybų suma nėra </w:t>
            </w:r>
            <w:r w:rsidRPr="000F13E0">
              <w:t>išskaitoma iš Tiekėjui mokėtinos sumos.</w:t>
            </w:r>
            <w:r w:rsidRPr="000F13E0">
              <w:rPr>
                <w:kern w:val="2"/>
              </w:rPr>
              <w:t xml:space="preserve"> </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 xml:space="preserve">ar </w:t>
            </w:r>
            <w:r w:rsidRPr="000F13E0">
              <w:rPr>
                <w:b/>
                <w:kern w:val="2"/>
                <w:szCs w:val="24"/>
              </w:rPr>
              <w:lastRenderedPageBreak/>
              <w:t>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lastRenderedPageBreak/>
              <w:t xml:space="preserve">9.3.1. Nutraukus Sutartį dėl esminio Sutarties pažeidimo, nustatyto Sutarties Specialiosiose sąlygose, mokama </w:t>
            </w:r>
            <w:r w:rsidR="00D61B83" w:rsidRPr="000F13E0">
              <w:rPr>
                <w:kern w:val="2"/>
                <w:szCs w:val="24"/>
              </w:rPr>
              <w:t>1 (vieno) procento</w:t>
            </w:r>
            <w:r w:rsidRPr="000F13E0">
              <w:rPr>
                <w:kern w:val="2"/>
                <w:szCs w:val="24"/>
              </w:rPr>
              <w:t xml:space="preserve"> dydžio bauda nuo Pradinės Sutarties vertės be PVM, nurodytos</w:t>
            </w:r>
            <w:r w:rsidR="00D61B83" w:rsidRPr="000F13E0">
              <w:rPr>
                <w:kern w:val="2"/>
                <w:szCs w:val="24"/>
              </w:rPr>
              <w:t xml:space="preserve"> Specialiųjų sąlygų 5.2 punkte.</w:t>
            </w:r>
          </w:p>
          <w:p w:rsidR="008B67EB" w:rsidRPr="000F13E0" w:rsidRDefault="00413A12" w:rsidP="00D61B83">
            <w:pPr>
              <w:jc w:val="both"/>
              <w:rPr>
                <w:szCs w:val="24"/>
              </w:rPr>
            </w:pPr>
            <w:r w:rsidRPr="000F13E0">
              <w:rPr>
                <w:kern w:val="2"/>
                <w:szCs w:val="24"/>
              </w:rPr>
              <w:lastRenderedPageBreak/>
              <w:t>9.3.2. </w:t>
            </w:r>
            <w:r w:rsidRPr="000F13E0">
              <w:rPr>
                <w:szCs w:val="24"/>
              </w:rPr>
              <w:t xml:space="preserve">Nepagrįstai nutraukus Sutarties vykdymą ne Sutartyje nustatyta tvarka, mokama </w:t>
            </w:r>
            <w:r w:rsidR="00D61B83" w:rsidRPr="000F13E0">
              <w:rPr>
                <w:kern w:val="2"/>
                <w:szCs w:val="24"/>
              </w:rPr>
              <w:t>1 (vieno) procento</w:t>
            </w:r>
            <w:r w:rsidRPr="000F13E0">
              <w:rPr>
                <w:kern w:val="2"/>
                <w:szCs w:val="24"/>
              </w:rPr>
              <w:t xml:space="preserve"> dydžio bauda nuo Pradinės Sutarties vertės, nurodytos Specialiųjų sąlygų 5.2 punkte.</w:t>
            </w:r>
          </w:p>
          <w:p w:rsidR="008B67EB" w:rsidRPr="000F13E0" w:rsidRDefault="00413A12" w:rsidP="00D61B83">
            <w:pPr>
              <w:jc w:val="both"/>
              <w:rPr>
                <w:kern w:val="2"/>
                <w:szCs w:val="24"/>
              </w:rPr>
            </w:pPr>
            <w:r w:rsidRPr="000F13E0">
              <w:rPr>
                <w:kern w:val="2"/>
                <w:szCs w:val="24"/>
              </w:rPr>
              <w:t>9.3.2. </w:t>
            </w:r>
            <w:r w:rsidRPr="000F13E0">
              <w:rPr>
                <w:szCs w:val="24"/>
              </w:rPr>
              <w:t>Nepagrįstai nutraukus Sutarties vykdymą ne Sutartyje nustatyta tvarka, mokama</w:t>
            </w:r>
            <w:r w:rsidRPr="000F13E0">
              <w:rPr>
                <w:kern w:val="2"/>
                <w:szCs w:val="24"/>
              </w:rPr>
              <w:t xml:space="preserve"> </w:t>
            </w:r>
            <w:r w:rsidR="00D61B83" w:rsidRPr="000F13E0">
              <w:rPr>
                <w:kern w:val="2"/>
                <w:szCs w:val="24"/>
              </w:rPr>
              <w:t>1 (vieno) procento</w:t>
            </w:r>
            <w:r w:rsidRPr="000F13E0">
              <w:rPr>
                <w:kern w:val="2"/>
                <w:szCs w:val="24"/>
              </w:rPr>
              <w:t xml:space="preserve"> Eur dydžio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220F7D">
            <w:pPr>
              <w:rPr>
                <w:kern w:val="2"/>
                <w:szCs w:val="24"/>
              </w:rPr>
            </w:pPr>
            <w:r w:rsidRPr="00220F7D">
              <w:rPr>
                <w:kern w:val="2"/>
                <w:szCs w:val="24"/>
              </w:rPr>
              <w:t>Nesilaikymas Specialiųjų sąlygų 13.1 punkte ir 1 priede nustatytiems aplinkosauginiams ir energijos efektyvumo reikalavimams, užtraukia Tiekėjui baudą 1 (vieną) procentą nuo Pradinės Sutarties vertės.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lastRenderedPageBreak/>
              <w:t>10. ESMINĖS SUTARTIES SĄLYGOS</w:t>
            </w:r>
          </w:p>
        </w:tc>
      </w:tr>
      <w:tr w:rsidR="008B67EB" w:rsidRPr="000F13E0" w:rsidTr="004531EA">
        <w:trPr>
          <w:trHeight w:val="300"/>
        </w:trPr>
        <w:tc>
          <w:tcPr>
            <w:tcW w:w="2707" w:type="dxa"/>
            <w:gridSpan w:val="3"/>
          </w:tcPr>
          <w:p w:rsidR="008B67EB" w:rsidRPr="000F13E0" w:rsidRDefault="00413A12">
            <w:pPr>
              <w:rPr>
                <w:b/>
                <w:bCs/>
                <w:kern w:val="2"/>
              </w:rPr>
            </w:pPr>
            <w:r w:rsidRPr="000F13E0">
              <w:rPr>
                <w:b/>
                <w:bCs/>
              </w:rPr>
              <w:t>10.1. Esminės Sutarties sąlygos</w:t>
            </w:r>
          </w:p>
        </w:tc>
        <w:tc>
          <w:tcPr>
            <w:tcW w:w="7353" w:type="dxa"/>
            <w:gridSpan w:val="2"/>
          </w:tcPr>
          <w:p w:rsidR="008B67EB" w:rsidRPr="000F13E0" w:rsidRDefault="008A4746">
            <w:pPr>
              <w:rPr>
                <w:kern w:val="2"/>
                <w:szCs w:val="24"/>
              </w:rPr>
            </w:pPr>
            <w:r w:rsidRPr="000F13E0">
              <w:rPr>
                <w:kern w:val="2"/>
                <w:szCs w:val="24"/>
              </w:rPr>
              <w:t xml:space="preserve">Sutarties Specialiųjų sąlygų </w:t>
            </w:r>
            <w:r w:rsidR="0075337B">
              <w:rPr>
                <w:kern w:val="2"/>
                <w:szCs w:val="24"/>
              </w:rPr>
              <w:t xml:space="preserve">3.1 ir </w:t>
            </w:r>
            <w:r w:rsidRPr="000F13E0">
              <w:rPr>
                <w:kern w:val="2"/>
                <w:szCs w:val="24"/>
              </w:rPr>
              <w:t xml:space="preserve"> 4.1 punktų nuostatos.</w:t>
            </w:r>
          </w:p>
        </w:tc>
      </w:tr>
      <w:tr w:rsidR="008B67EB" w:rsidRPr="000F13E0" w:rsidTr="004531EA">
        <w:trPr>
          <w:trHeight w:val="300"/>
        </w:trPr>
        <w:tc>
          <w:tcPr>
            <w:tcW w:w="2700" w:type="dxa"/>
            <w:gridSpan w:val="2"/>
          </w:tcPr>
          <w:p w:rsidR="008B67EB" w:rsidRPr="000F13E0" w:rsidRDefault="00413A12">
            <w:pPr>
              <w:rPr>
                <w:b/>
                <w:bCs/>
                <w:kern w:val="2"/>
                <w:szCs w:val="24"/>
              </w:rPr>
            </w:pPr>
            <w:r w:rsidRPr="000F13E0">
              <w:rPr>
                <w:b/>
                <w:bCs/>
                <w:kern w:val="2"/>
                <w:szCs w:val="24"/>
              </w:rPr>
              <w:t>10.2. Dideli arba nuolatiniai esminės Sutarties sąlygos vykdymo trūkumai</w:t>
            </w:r>
          </w:p>
        </w:tc>
        <w:tc>
          <w:tcPr>
            <w:tcW w:w="7360" w:type="dxa"/>
            <w:gridSpan w:val="3"/>
          </w:tcPr>
          <w:p w:rsidR="008B67EB" w:rsidRPr="000F13E0" w:rsidRDefault="008A4746" w:rsidP="00700D6C">
            <w:pPr>
              <w:rPr>
                <w:kern w:val="2"/>
                <w:szCs w:val="24"/>
              </w:rPr>
            </w:pPr>
            <w:r w:rsidRPr="000F13E0">
              <w:rPr>
                <w:kern w:val="2"/>
                <w:szCs w:val="24"/>
              </w:rPr>
              <w:t xml:space="preserve">Daugiau nei 5 (penkias) darbo dienas vėlavimas </w:t>
            </w:r>
            <w:r w:rsidR="009508CD" w:rsidRPr="000F13E0">
              <w:rPr>
                <w:kern w:val="2"/>
                <w:szCs w:val="24"/>
              </w:rPr>
              <w:t>pristatyti Prekes</w:t>
            </w:r>
            <w:r w:rsidRPr="000F13E0">
              <w:rPr>
                <w:kern w:val="2"/>
                <w:szCs w:val="24"/>
              </w:rPr>
              <w:t xml:space="preserve"> </w:t>
            </w:r>
            <w:r w:rsidR="009508CD" w:rsidRPr="000F13E0">
              <w:rPr>
                <w:kern w:val="2"/>
                <w:szCs w:val="24"/>
              </w:rPr>
              <w:t xml:space="preserve">Sutarties Specialiųjų sąlygų </w:t>
            </w:r>
            <w:r w:rsidR="00700D6C" w:rsidRPr="000F13E0">
              <w:rPr>
                <w:kern w:val="2"/>
                <w:szCs w:val="24"/>
              </w:rPr>
              <w:t>4.1 punkte nuostatais terminais.</w:t>
            </w:r>
          </w:p>
          <w:p w:rsidR="00C47C9A" w:rsidRPr="000F13E0" w:rsidRDefault="00C47C9A" w:rsidP="00C47C9A">
            <w:pPr>
              <w:rPr>
                <w:kern w:val="2"/>
                <w:szCs w:val="24"/>
              </w:rPr>
            </w:pPr>
            <w:r w:rsidRPr="000F13E0">
              <w:rPr>
                <w:kern w:val="2"/>
                <w:szCs w:val="24"/>
              </w:rPr>
              <w:t>Daugiau nei 5 (penkias) darbo dienas vėlavimas pateikti Sąskaitą Sutarties Specialiųjų sąlygų 5.5 punkte nuostatais terminais.</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Ši Sutartis laikoma sudaryta ir įsigalioja nuo Sutarties pasirašymo dienos (antrosios Šalies pasirašymo dieną).</w:t>
            </w:r>
          </w:p>
          <w:p w:rsidR="008B67EB" w:rsidRPr="000F13E0" w:rsidRDefault="00413A12">
            <w:pPr>
              <w:rPr>
                <w:color w:val="000000" w:themeColor="text1"/>
                <w:kern w:val="2"/>
                <w:szCs w:val="24"/>
              </w:rPr>
            </w:pPr>
            <w:r w:rsidRPr="000F13E0">
              <w:rPr>
                <w:color w:val="000000"/>
                <w:kern w:val="2"/>
                <w:szCs w:val="24"/>
              </w:rPr>
              <w:t>Sutartis galioja iki visiško prievolių įvykdymo (kol bus išnaudota Pradinės Sutarties vertė, bet jos terminas negali būti ilge</w:t>
            </w:r>
            <w:r w:rsidR="009508CD" w:rsidRPr="000F13E0">
              <w:rPr>
                <w:color w:val="000000"/>
                <w:kern w:val="2"/>
                <w:szCs w:val="24"/>
              </w:rPr>
              <w:t>snis kaip 36 (trisdešimt šeši) mėnesiai.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8B67EB" w:rsidRPr="000F13E0" w:rsidRDefault="00413A12">
            <w:pPr>
              <w:rPr>
                <w:kern w:val="2"/>
                <w:szCs w:val="24"/>
              </w:rPr>
            </w:pPr>
            <w:r w:rsidRPr="000F13E0">
              <w:rPr>
                <w:kern w:val="2"/>
                <w:szCs w:val="24"/>
              </w:rPr>
              <w:t>Sutartis gali būti nutraukiama rašytiniu Šalių susitarimu arba vienašališkai, Bendrosiose sąlygose nustatyta tvarka.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12.2. Esminiai Sutarties pažeidimai</w:t>
            </w:r>
          </w:p>
        </w:tc>
        <w:tc>
          <w:tcPr>
            <w:tcW w:w="7528" w:type="dxa"/>
            <w:gridSpan w:val="4"/>
          </w:tcPr>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 jeigu Tie</w:t>
            </w:r>
            <w:r w:rsidR="009508CD" w:rsidRPr="000F13E0">
              <w:rPr>
                <w:rFonts w:eastAsia="Arial"/>
                <w:kern w:val="2"/>
                <w:szCs w:val="24"/>
              </w:rPr>
              <w:t>kėjas nevykdo prisiimtų įsipareigojimų už Sutartyje nustatytą Sutarties kainą;</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12.2.2. </w:t>
            </w:r>
            <w:r w:rsidR="00243408" w:rsidRPr="000F13E0">
              <w:rPr>
                <w:rFonts w:eastAsia="Arial"/>
                <w:kern w:val="2"/>
                <w:szCs w:val="24"/>
              </w:rPr>
              <w:t>jeigu Tie</w:t>
            </w:r>
            <w:r w:rsidR="00FF23A9" w:rsidRPr="000F13E0">
              <w:rPr>
                <w:rFonts w:eastAsia="Arial"/>
                <w:kern w:val="2"/>
                <w:szCs w:val="24"/>
              </w:rPr>
              <w:t>kėjas nesilaiko Sutartyje nustatytų Prekių tiekimo terminų 2 (du) kartus iš eilės arba vėluoja pristatyti Prekes daugiau nei 5 (penkias) darbo dienos nuo Sutartyje nustatyto Prekių pristatymo termino</w:t>
            </w:r>
            <w:r w:rsidRPr="000F13E0">
              <w:rPr>
                <w:rFonts w:eastAsia="Arial"/>
                <w:kern w:val="2"/>
                <w:szCs w:val="24"/>
              </w:rPr>
              <w:t>;</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12.2.3. jeigu Tie</w:t>
            </w:r>
            <w:r w:rsidR="009508CD" w:rsidRPr="000F13E0">
              <w:rPr>
                <w:rFonts w:eastAsia="Arial"/>
                <w:kern w:val="2"/>
                <w:szCs w:val="24"/>
              </w:rPr>
              <w:t xml:space="preserve">kėjas pažeidžia </w:t>
            </w:r>
            <w:r w:rsidR="00FF23A9" w:rsidRPr="000F13E0">
              <w:rPr>
                <w:rFonts w:eastAsia="Arial"/>
                <w:kern w:val="2"/>
                <w:szCs w:val="24"/>
              </w:rPr>
              <w:t>Prekių pristatymo terminą</w:t>
            </w:r>
            <w:r w:rsidR="009508CD" w:rsidRPr="000F13E0">
              <w:rPr>
                <w:rFonts w:eastAsia="Arial"/>
                <w:kern w:val="2"/>
                <w:szCs w:val="24"/>
              </w:rPr>
              <w:t xml:space="preserve"> ir priskaičiuotų netesybų</w:t>
            </w:r>
            <w:r w:rsidR="00FF23A9" w:rsidRPr="000F13E0">
              <w:rPr>
                <w:rFonts w:eastAsia="Arial"/>
                <w:kern w:val="2"/>
                <w:szCs w:val="24"/>
              </w:rPr>
              <w:t xml:space="preserve"> už vėlavimą suma viršija 1</w:t>
            </w:r>
            <w:r w:rsidR="009508CD" w:rsidRPr="000F13E0">
              <w:rPr>
                <w:rFonts w:eastAsia="Arial"/>
                <w:kern w:val="2"/>
                <w:szCs w:val="24"/>
              </w:rPr>
              <w:t xml:space="preserve"> (vieną</w:t>
            </w:r>
            <w:r w:rsidR="00FF23A9" w:rsidRPr="000F13E0">
              <w:rPr>
                <w:rFonts w:eastAsia="Arial"/>
                <w:kern w:val="2"/>
                <w:szCs w:val="24"/>
              </w:rPr>
              <w:t>) procentą nuo</w:t>
            </w:r>
            <w:r w:rsidR="009508CD" w:rsidRPr="000F13E0">
              <w:rPr>
                <w:rFonts w:eastAsia="Arial"/>
                <w:kern w:val="2"/>
                <w:szCs w:val="24"/>
              </w:rPr>
              <w:t xml:space="preserve"> Pradinės sutarties vertės;</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12.2.4. </w:t>
            </w:r>
            <w:r w:rsidR="00FF23A9" w:rsidRPr="000F13E0">
              <w:rPr>
                <w:rFonts w:eastAsia="Arial"/>
                <w:kern w:val="2"/>
                <w:szCs w:val="24"/>
              </w:rPr>
              <w:t>Tiekėjas pažeidžia Prekių pristatymo terminą ir dėl Prekių pristatymo vėlavimo Prekės tampa nebereikalingos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12.2.5. </w:t>
            </w:r>
            <w:r w:rsidR="00243408" w:rsidRPr="000F13E0">
              <w:rPr>
                <w:rFonts w:eastAsia="Arial"/>
                <w:kern w:val="2"/>
                <w:szCs w:val="24"/>
              </w:rPr>
              <w:t>Tiekėjas daugiau kaip 2 (du) kartus pristato Prekes, kurios neatitinka Sutartyje ir (ar) Įstatymuose nustatytų reikalavimų Prekėms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12.2.6. </w:t>
            </w:r>
            <w:r w:rsidR="00243408" w:rsidRPr="000F13E0">
              <w:rPr>
                <w:rFonts w:eastAsia="Arial"/>
                <w:kern w:val="2"/>
                <w:szCs w:val="24"/>
              </w:rPr>
              <w:t>Tiekėjas 2 (du) kartus pažeidžia esminę Sutarties sąlygą</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12.2.7. jeigu </w:t>
            </w:r>
            <w:r w:rsidR="00243408" w:rsidRPr="000F13E0">
              <w:rPr>
                <w:rFonts w:eastAsia="Arial"/>
                <w:kern w:val="2"/>
                <w:szCs w:val="24"/>
              </w:rPr>
              <w:t>Pirkėjui</w:t>
            </w:r>
            <w:r w:rsidRPr="000F13E0">
              <w:rPr>
                <w:rFonts w:eastAsia="Arial"/>
                <w:kern w:val="2"/>
                <w:szCs w:val="24"/>
              </w:rPr>
              <w:t xml:space="preserve"> paaiškėja, kad </w:t>
            </w:r>
            <w:r w:rsidR="00243408" w:rsidRPr="000F13E0">
              <w:rPr>
                <w:rFonts w:eastAsia="Arial"/>
                <w:kern w:val="2"/>
                <w:szCs w:val="24"/>
              </w:rPr>
              <w:t>yra aplinkybės susijusios su Tie</w:t>
            </w:r>
            <w:r w:rsidRPr="000F13E0">
              <w:rPr>
                <w:rFonts w:eastAsia="Arial"/>
                <w:kern w:val="2"/>
                <w:szCs w:val="24"/>
              </w:rPr>
              <w:t>kėju, atitinkančios bent vieną iš nurodytų VPĮ 45 straipsnio 2</w:t>
            </w:r>
            <w:r w:rsidRPr="000F13E0">
              <w:rPr>
                <w:rFonts w:eastAsia="Arial"/>
                <w:kern w:val="2"/>
                <w:szCs w:val="24"/>
                <w:vertAlign w:val="superscript"/>
              </w:rPr>
              <w:t>1</w:t>
            </w:r>
            <w:r w:rsidRPr="000F13E0">
              <w:rPr>
                <w:rFonts w:eastAsia="Arial"/>
                <w:kern w:val="2"/>
                <w:szCs w:val="24"/>
              </w:rPr>
              <w:t xml:space="preserve"> dalyje sąlygų (pagrindų);</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12.2.8. paaiškėja, kad Tiekėjas, jo ūkio subjektai, subtie</w:t>
            </w:r>
            <w:r w:rsidR="009508CD" w:rsidRPr="000F13E0">
              <w:rPr>
                <w:rFonts w:eastAsia="Arial"/>
                <w:kern w:val="2"/>
                <w:szCs w:val="24"/>
              </w:rPr>
              <w:t>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w:t>
            </w:r>
            <w:r w:rsidRPr="000F13E0">
              <w:rPr>
                <w:rFonts w:eastAsia="Arial"/>
                <w:kern w:val="2"/>
                <w:szCs w:val="24"/>
              </w:rPr>
              <w:t xml:space="preserve"> (turintys) teisę atstovauti tiekėjui, subtie</w:t>
            </w:r>
            <w:r w:rsidR="009508CD" w:rsidRPr="000F13E0">
              <w:rPr>
                <w:rFonts w:eastAsia="Arial"/>
                <w:kern w:val="2"/>
                <w:szCs w:val="24"/>
              </w:rPr>
              <w:t>kėjui, ūkio subjektui, kurio pajėgumais remiamasi, jungtinės veiklos partneriui ar jį kontroliuoti, jo vardu priimti sprendimą, sudaryti sandorį, ir tokiu būdu dalyvauja tokių ūkio subjektų grupių ir (ar) ūkio subjektų veikloje;</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lastRenderedPageBreak/>
              <w:t>12.2.9. paaiškėja, kad Tie</w:t>
            </w:r>
            <w:r w:rsidR="009508CD" w:rsidRPr="000F13E0">
              <w:rPr>
                <w:rFonts w:eastAsia="Arial"/>
                <w:kern w:val="2"/>
                <w:szCs w:val="24"/>
              </w:rPr>
              <w:t>kėjas vykdant Sutartyje numatytus įsipareigojimus pasitelkia priešiškų valsty</w:t>
            </w:r>
            <w:r w:rsidRPr="000F13E0">
              <w:rPr>
                <w:rFonts w:eastAsia="Arial"/>
                <w:kern w:val="2"/>
                <w:szCs w:val="24"/>
              </w:rPr>
              <w:t>bių piliečių (darbuotojų, subtie</w:t>
            </w:r>
            <w:r w:rsidR="009508CD" w:rsidRPr="000F13E0">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0F13E0">
              <w:rPr>
                <w:rFonts w:eastAsia="Arial"/>
                <w:kern w:val="2"/>
                <w:szCs w:val="24"/>
              </w:rPr>
              <w:t>lstybių ar teritorijų, kurių tie</w:t>
            </w:r>
            <w:r w:rsidR="009508CD" w:rsidRPr="000F13E0">
              <w:rPr>
                <w:rFonts w:eastAsia="Arial"/>
                <w:kern w:val="2"/>
                <w:szCs w:val="24"/>
              </w:rPr>
              <w:t>kėjai, jų sub</w:t>
            </w:r>
            <w:r w:rsidRPr="000F13E0">
              <w:rPr>
                <w:rFonts w:eastAsia="Arial"/>
                <w:kern w:val="2"/>
                <w:szCs w:val="24"/>
              </w:rPr>
              <w:t>tie</w:t>
            </w:r>
            <w:r w:rsidR="009508CD" w:rsidRPr="000F13E0">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12.2.10. jeigu randama</w:t>
            </w:r>
            <w:r w:rsidR="00243408" w:rsidRPr="000F13E0">
              <w:rPr>
                <w:rFonts w:eastAsia="Arial"/>
                <w:kern w:val="2"/>
                <w:szCs w:val="24"/>
              </w:rPr>
              <w:t>, kad Sutarties galiojimo metu Tie</w:t>
            </w:r>
            <w:r w:rsidRPr="000F13E0">
              <w:rPr>
                <w:rFonts w:eastAsia="Arial"/>
                <w:kern w:val="2"/>
                <w:szCs w:val="24"/>
              </w:rPr>
              <w:t xml:space="preserve">kėjas naudojo ar nurodė </w:t>
            </w:r>
            <w:r w:rsidR="00243408" w:rsidRPr="000F13E0">
              <w:rPr>
                <w:rFonts w:eastAsia="Arial"/>
                <w:kern w:val="2"/>
                <w:szCs w:val="24"/>
              </w:rPr>
              <w:t>Pirkėjui</w:t>
            </w:r>
            <w:r w:rsidRPr="000F13E0">
              <w:rPr>
                <w:rFonts w:eastAsia="Arial"/>
                <w:kern w:val="2"/>
                <w:szCs w:val="24"/>
              </w:rPr>
              <w:t xml:space="preserve"> naudoti papildoma [programinė] įranga, kuri nėra būtina tokios įrangos funkcionalumui užtikrinti, t. y. </w:t>
            </w:r>
            <w:r w:rsidR="00243408" w:rsidRPr="000F13E0">
              <w:rPr>
                <w:rFonts w:eastAsia="Arial"/>
                <w:kern w:val="2"/>
                <w:szCs w:val="24"/>
              </w:rPr>
              <w:t xml:space="preserve">[Prekėse] </w:t>
            </w:r>
            <w:r w:rsidRPr="000F13E0">
              <w:rPr>
                <w:rFonts w:eastAsia="Arial"/>
                <w:kern w:val="2"/>
                <w:szCs w:val="24"/>
              </w:rPr>
              <w:t>įdiegta kenkimo programinė įranga arba nėra saugi;</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12.2.11. jeig</w:t>
            </w:r>
            <w:r w:rsidR="00243408" w:rsidRPr="000F13E0">
              <w:rPr>
                <w:rFonts w:eastAsia="Arial"/>
                <w:kern w:val="2"/>
                <w:szCs w:val="24"/>
              </w:rPr>
              <w:t>u Tie</w:t>
            </w:r>
            <w:r w:rsidRPr="000F13E0">
              <w:rPr>
                <w:rFonts w:eastAsia="Arial"/>
                <w:kern w:val="2"/>
                <w:szCs w:val="24"/>
              </w:rPr>
              <w:t>kėjas dėl savo kaltės negali ir (arba) atsisako vykdyti Sutartyje numatytus įsipareigojimus ar bet kurią jų dalį, nepriklausomai nuo tokios dalies vertės.</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31357D" w:rsidRPr="0031357D" w:rsidRDefault="0031357D" w:rsidP="00E82B7D">
            <w:pPr>
              <w:jc w:val="both"/>
              <w:rPr>
                <w:color w:val="000000"/>
                <w:kern w:val="2"/>
                <w:szCs w:val="24"/>
                <w:shd w:val="clear" w:color="auto" w:fill="FFFFFF"/>
              </w:rPr>
            </w:pPr>
            <w:r w:rsidRPr="0031357D">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w:t>
            </w:r>
            <w:r w:rsidR="00E82B7D">
              <w:rPr>
                <w:color w:val="000000"/>
                <w:kern w:val="2"/>
                <w:szCs w:val="24"/>
                <w:shd w:val="clear" w:color="auto" w:fill="FFFFFF"/>
              </w:rPr>
              <w:t>ašas) 4.1 ir 4.4.4 papunkčiais (</w:t>
            </w:r>
            <w:r w:rsidR="00E82B7D" w:rsidRPr="00E82B7D">
              <w:rPr>
                <w:color w:val="000000"/>
                <w:kern w:val="2"/>
                <w:szCs w:val="24"/>
                <w:shd w:val="clear" w:color="auto" w:fill="FFFFFF"/>
              </w:rPr>
              <w:t xml:space="preserve">Tvarkos aprašo 1 priedo </w:t>
            </w:r>
            <w:r w:rsidR="00E82B7D">
              <w:rPr>
                <w:color w:val="000000"/>
                <w:kern w:val="2"/>
                <w:szCs w:val="24"/>
                <w:shd w:val="clear" w:color="auto" w:fill="FFFFFF"/>
              </w:rPr>
              <w:t>2 punktas</w:t>
            </w:r>
            <w:r w:rsidR="00E82B7D" w:rsidRPr="00E82B7D">
              <w:rPr>
                <w:color w:val="000000"/>
                <w:kern w:val="2"/>
                <w:szCs w:val="24"/>
                <w:shd w:val="clear" w:color="auto" w:fill="FFFFFF"/>
              </w:rPr>
              <w:t xml:space="preserve"> bei 2 priedo </w:t>
            </w:r>
            <w:r w:rsidR="00E82B7D">
              <w:rPr>
                <w:color w:val="000000"/>
                <w:kern w:val="2"/>
                <w:szCs w:val="24"/>
                <w:shd w:val="clear" w:color="auto" w:fill="FFFFFF"/>
              </w:rPr>
              <w:t>II</w:t>
            </w:r>
            <w:r w:rsidR="00E82B7D" w:rsidRPr="00E82B7D">
              <w:rPr>
                <w:color w:val="000000"/>
                <w:kern w:val="2"/>
                <w:szCs w:val="24"/>
                <w:shd w:val="clear" w:color="auto" w:fill="FFFFFF"/>
              </w:rPr>
              <w:t xml:space="preserve"> </w:t>
            </w:r>
            <w:r w:rsidR="00E82B7D">
              <w:rPr>
                <w:color w:val="000000"/>
                <w:kern w:val="2"/>
                <w:szCs w:val="24"/>
                <w:shd w:val="clear" w:color="auto" w:fill="FFFFFF"/>
              </w:rPr>
              <w:t>skyrius</w:t>
            </w:r>
            <w:r w:rsidR="00954BA8">
              <w:rPr>
                <w:color w:val="000000"/>
                <w:kern w:val="2"/>
                <w:szCs w:val="24"/>
                <w:shd w:val="clear" w:color="auto" w:fill="FFFFFF"/>
              </w:rPr>
              <w:t xml:space="preserve">. Taip pat Specialiųjų sąlygų 1 priedo </w:t>
            </w:r>
            <w:r w:rsidR="00476A17">
              <w:rPr>
                <w:color w:val="000000"/>
                <w:kern w:val="2"/>
                <w:szCs w:val="24"/>
                <w:shd w:val="clear" w:color="auto" w:fill="FFFFFF"/>
              </w:rPr>
              <w:t>1.4 ir 1.5 papunkčiai</w:t>
            </w:r>
            <w:r w:rsidR="00E82B7D" w:rsidRPr="00E82B7D">
              <w:rPr>
                <w:color w:val="000000"/>
                <w:kern w:val="2"/>
                <w:szCs w:val="24"/>
                <w:shd w:val="clear" w:color="auto" w:fill="FFFFFF"/>
              </w:rPr>
              <w:t>).</w:t>
            </w:r>
          </w:p>
          <w:p w:rsidR="008B67EB" w:rsidRPr="000F13E0" w:rsidRDefault="0031357D" w:rsidP="00E82B7D">
            <w:pPr>
              <w:jc w:val="both"/>
              <w:rPr>
                <w:color w:val="000000"/>
                <w:kern w:val="2"/>
                <w:szCs w:val="24"/>
                <w:shd w:val="clear" w:color="auto" w:fill="FFFFFF"/>
              </w:rPr>
            </w:pPr>
            <w:r w:rsidRPr="0031357D">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75337B" w:rsidRPr="000F13E0" w:rsidTr="004531EA">
        <w:trPr>
          <w:trHeight w:val="300"/>
        </w:trPr>
        <w:tc>
          <w:tcPr>
            <w:tcW w:w="2532" w:type="dxa"/>
          </w:tcPr>
          <w:p w:rsidR="0075337B" w:rsidRPr="000F13E0" w:rsidRDefault="0075337B" w:rsidP="0075337B">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75337B" w:rsidRPr="000F13E0" w:rsidRDefault="0075337B" w:rsidP="009508CD">
            <w:pPr>
              <w:rPr>
                <w:bCs/>
                <w:kern w:val="2"/>
                <w:szCs w:val="24"/>
              </w:rPr>
            </w:pPr>
            <w:r>
              <w:rPr>
                <w:bCs/>
                <w:kern w:val="2"/>
                <w:szCs w:val="24"/>
              </w:rPr>
              <w:t>Prekių perdavimo-priėmimo aktas</w:t>
            </w:r>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C86" w:rsidRDefault="003B7C86">
      <w:r>
        <w:separator/>
      </w:r>
    </w:p>
  </w:endnote>
  <w:endnote w:type="continuationSeparator" w:id="0">
    <w:p w:rsidR="003B7C86" w:rsidRDefault="003B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C86" w:rsidRDefault="003B7C86">
      <w:r>
        <w:separator/>
      </w:r>
    </w:p>
  </w:footnote>
  <w:footnote w:type="continuationSeparator" w:id="0">
    <w:p w:rsidR="003B7C86" w:rsidRDefault="003B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391C"/>
    <w:rsid w:val="00096D3C"/>
    <w:rsid w:val="000B6335"/>
    <w:rsid w:val="000F13E0"/>
    <w:rsid w:val="00121577"/>
    <w:rsid w:val="00132114"/>
    <w:rsid w:val="0019083D"/>
    <w:rsid w:val="001B10E3"/>
    <w:rsid w:val="001F552A"/>
    <w:rsid w:val="00220F7D"/>
    <w:rsid w:val="00243408"/>
    <w:rsid w:val="002F0B5F"/>
    <w:rsid w:val="0031357D"/>
    <w:rsid w:val="00317D7C"/>
    <w:rsid w:val="00324DBF"/>
    <w:rsid w:val="003B599A"/>
    <w:rsid w:val="003B7C86"/>
    <w:rsid w:val="00413A12"/>
    <w:rsid w:val="00422DE1"/>
    <w:rsid w:val="00435059"/>
    <w:rsid w:val="0044435B"/>
    <w:rsid w:val="004531EA"/>
    <w:rsid w:val="00476A17"/>
    <w:rsid w:val="004E2281"/>
    <w:rsid w:val="00560B83"/>
    <w:rsid w:val="0057747D"/>
    <w:rsid w:val="005C606A"/>
    <w:rsid w:val="0062491E"/>
    <w:rsid w:val="00626C52"/>
    <w:rsid w:val="006322AD"/>
    <w:rsid w:val="00685EBE"/>
    <w:rsid w:val="006F6CC8"/>
    <w:rsid w:val="00700D6C"/>
    <w:rsid w:val="0075337B"/>
    <w:rsid w:val="008A4746"/>
    <w:rsid w:val="008A5C8A"/>
    <w:rsid w:val="008A794A"/>
    <w:rsid w:val="008B67EB"/>
    <w:rsid w:val="0093498F"/>
    <w:rsid w:val="009508CD"/>
    <w:rsid w:val="00954BA8"/>
    <w:rsid w:val="009D12B8"/>
    <w:rsid w:val="009E1C90"/>
    <w:rsid w:val="00A75580"/>
    <w:rsid w:val="00A8698E"/>
    <w:rsid w:val="00AC45A3"/>
    <w:rsid w:val="00AF0D8C"/>
    <w:rsid w:val="00C13211"/>
    <w:rsid w:val="00C34286"/>
    <w:rsid w:val="00C47C9A"/>
    <w:rsid w:val="00C56E6B"/>
    <w:rsid w:val="00C7711D"/>
    <w:rsid w:val="00CD0C03"/>
    <w:rsid w:val="00D534EA"/>
    <w:rsid w:val="00D61B83"/>
    <w:rsid w:val="00DA4E00"/>
    <w:rsid w:val="00E10FAC"/>
    <w:rsid w:val="00E144F7"/>
    <w:rsid w:val="00E31D74"/>
    <w:rsid w:val="00E82B7D"/>
    <w:rsid w:val="00E850AB"/>
    <w:rsid w:val="00E86A12"/>
    <w:rsid w:val="00E91A78"/>
    <w:rsid w:val="00F0338E"/>
    <w:rsid w:val="00F9602E"/>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923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1F08C-67F5-4802-80A3-2329731C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10108</Words>
  <Characters>5762</Characters>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2025-08-27T07:54:00Z</dcterms:modified>
</cp:coreProperties>
</file>