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B129E5C" w:rsidR="006F3CFE" w:rsidRPr="00A93A10" w:rsidRDefault="00A17262" w:rsidP="006203F4">
            <w:pPr>
              <w:widowControl w:val="0"/>
              <w:rPr>
                <w:b/>
                <w:bCs/>
              </w:rPr>
            </w:pPr>
            <w:r>
              <w:rPr>
                <w:b/>
                <w:bCs/>
              </w:rPr>
              <w:t>4</w:t>
            </w:r>
            <w:r w:rsidR="006F3CFE" w:rsidRPr="00A93A10">
              <w:rPr>
                <w:b/>
                <w:bCs/>
              </w:rPr>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6DD15048" w:rsidR="006F3CFE" w:rsidRDefault="006F3CFE" w:rsidP="006F3CFE">
      <w:pPr>
        <w:tabs>
          <w:tab w:val="left" w:pos="6425"/>
        </w:tabs>
        <w:ind w:firstLine="709"/>
        <w:jc w:val="both"/>
        <w:rPr>
          <w:b/>
          <w:i/>
          <w:iCs/>
          <w:sz w:val="20"/>
          <w:szCs w:val="20"/>
        </w:rPr>
      </w:pPr>
      <w:r w:rsidRPr="00B5491B">
        <w:rPr>
          <w:bCs/>
          <w:i/>
          <w:iCs/>
          <w:sz w:val="20"/>
          <w:szCs w:val="20"/>
        </w:rPr>
        <w:t xml:space="preserve">Taip pat atkreipiamas dėmesys, kad </w:t>
      </w:r>
      <w:r w:rsidRPr="00F731BB">
        <w:rPr>
          <w:b/>
          <w:i/>
          <w:iCs/>
          <w:sz w:val="20"/>
          <w:szCs w:val="20"/>
        </w:rPr>
        <w:t>jeigu tiekėjo pradiniuose kvalifikacijos duomenyse nurodytas specialistas yra tiekėjo darbuotojas ir jis neatitinka</w:t>
      </w:r>
      <w:r w:rsidRPr="00B5491B">
        <w:rPr>
          <w:bCs/>
          <w:i/>
          <w:iCs/>
          <w:sz w:val="20"/>
          <w:szCs w:val="20"/>
        </w:rPr>
        <w:t xml:space="preserve">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w:t>
      </w:r>
      <w:r w:rsidRPr="00F731BB">
        <w:rPr>
          <w:b/>
          <w:i/>
          <w:iCs/>
          <w:sz w:val="20"/>
          <w:szCs w:val="20"/>
        </w:rPr>
        <w:t>atmetimo.</w:t>
      </w:r>
    </w:p>
    <w:p w14:paraId="1201C5FB" w14:textId="3256D842" w:rsidR="00D15963" w:rsidRPr="00D15963" w:rsidRDefault="00D15963" w:rsidP="006F3CFE">
      <w:pPr>
        <w:tabs>
          <w:tab w:val="left" w:pos="6425"/>
        </w:tabs>
        <w:ind w:firstLine="709"/>
        <w:jc w:val="both"/>
        <w:rPr>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konkurso sąlygų aprašo 18.</w:t>
      </w:r>
      <w:r w:rsidR="00710EDE">
        <w:rPr>
          <w:b/>
          <w:bCs/>
          <w:sz w:val="20"/>
          <w:szCs w:val="20"/>
        </w:rPr>
        <w:t>1</w:t>
      </w:r>
      <w:r w:rsidR="00A17262">
        <w:rPr>
          <w:b/>
          <w:bCs/>
          <w:sz w:val="20"/>
          <w:szCs w:val="20"/>
        </w:rPr>
        <w:t>.</w:t>
      </w:r>
      <w:r w:rsidRPr="00D15963">
        <w:rPr>
          <w:b/>
          <w:bCs/>
          <w:sz w:val="20"/>
          <w:szCs w:val="20"/>
        </w:rPr>
        <w:t xml:space="preserve"> p.:</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467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544"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(kvazisutbiekėjas);</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686"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F1560D" w:rsidRPr="00CE4266" w14:paraId="51545EDC" w14:textId="77777777" w:rsidTr="003A3BDD">
        <w:trPr>
          <w:trHeight w:val="45"/>
        </w:trPr>
        <w:tc>
          <w:tcPr>
            <w:tcW w:w="3256" w:type="dxa"/>
            <w:shd w:val="clear" w:color="auto" w:fill="auto"/>
            <w:vAlign w:val="center"/>
          </w:tcPr>
          <w:p w14:paraId="3B2E40C5" w14:textId="1FC03459" w:rsidR="00F1560D" w:rsidRPr="00C24DA7" w:rsidRDefault="00F1560D" w:rsidP="00F1560D">
            <w:pPr>
              <w:pStyle w:val="Komentarotekstas"/>
              <w:jc w:val="center"/>
              <w:rPr>
                <w:sz w:val="22"/>
                <w:szCs w:val="22"/>
              </w:rPr>
            </w:pPr>
            <w:r w:rsidRPr="00F1560D">
              <w:rPr>
                <w:color w:val="0070C0"/>
                <w:sz w:val="22"/>
                <w:szCs w:val="22"/>
              </w:rPr>
              <w:t>[Įrašyti]</w:t>
            </w:r>
          </w:p>
        </w:tc>
        <w:tc>
          <w:tcPr>
            <w:tcW w:w="4677" w:type="dxa"/>
            <w:shd w:val="clear" w:color="auto" w:fill="auto"/>
          </w:tcPr>
          <w:p w14:paraId="7877A1CD" w14:textId="5829E327" w:rsidR="00F1560D" w:rsidRPr="00F217E9" w:rsidRDefault="00F1560D" w:rsidP="00F1560D">
            <w:pPr>
              <w:pStyle w:val="Komentarotekstas"/>
              <w:jc w:val="center"/>
            </w:pPr>
            <w:r>
              <w:t>K</w:t>
            </w:r>
            <w:r w:rsidRPr="00EE75A8">
              <w:t>valifikuot</w:t>
            </w:r>
            <w:r>
              <w:t>as</w:t>
            </w:r>
            <w:r w:rsidRPr="00EE75A8">
              <w:t xml:space="preserve"> statinio projekto vadov</w:t>
            </w:r>
            <w:r>
              <w:t xml:space="preserve">as, </w:t>
            </w:r>
            <w:r w:rsidRPr="00091233">
              <w:t>turint</w:t>
            </w:r>
            <w:r>
              <w:t>is</w:t>
            </w:r>
            <w:r w:rsidRPr="00091233">
              <w:t xml:space="preserve"> teisę eiti projekto vadovo pareigas (statinio kategorija </w:t>
            </w:r>
            <w:r>
              <w:t>–</w:t>
            </w:r>
            <w:r w:rsidRPr="00091233">
              <w:t xml:space="preserve"> </w:t>
            </w:r>
            <w:r>
              <w:t>ne</w:t>
            </w:r>
            <w:r w:rsidRPr="00091233">
              <w:t xml:space="preserve">ypatingas statinys, </w:t>
            </w:r>
            <w:r>
              <w:t>inžinerinių statinių grupė – inžineriniai tinklai; inžinerinių statinių pogrupis – nuotekų šalinimo tinklai</w:t>
            </w:r>
            <w:r w:rsidRPr="00EE75A8">
              <w:t>)</w:t>
            </w:r>
          </w:p>
        </w:tc>
        <w:tc>
          <w:tcPr>
            <w:tcW w:w="3544" w:type="dxa"/>
            <w:shd w:val="clear" w:color="auto" w:fill="auto"/>
            <w:vAlign w:val="center"/>
          </w:tcPr>
          <w:p w14:paraId="20872651" w14:textId="4886636B" w:rsidR="00F1560D" w:rsidRPr="00CE4266" w:rsidRDefault="00F1560D" w:rsidP="00F1560D">
            <w:pPr>
              <w:jc w:val="center"/>
              <w:rPr>
                <w:rFonts w:eastAsia="Calibri"/>
                <w:b/>
                <w:bCs/>
              </w:rPr>
            </w:pPr>
            <w:r w:rsidRPr="00F1560D">
              <w:rPr>
                <w:color w:val="0070C0"/>
                <w:sz w:val="22"/>
                <w:szCs w:val="22"/>
              </w:rPr>
              <w:t>[Įrašyti]</w:t>
            </w:r>
          </w:p>
        </w:tc>
        <w:tc>
          <w:tcPr>
            <w:tcW w:w="3686" w:type="dxa"/>
            <w:shd w:val="clear" w:color="auto" w:fill="auto"/>
            <w:vAlign w:val="center"/>
          </w:tcPr>
          <w:p w14:paraId="7BD5BA2E" w14:textId="6A7F30DE" w:rsidR="00F1560D" w:rsidRDefault="00F1560D" w:rsidP="00F1560D">
            <w:pPr>
              <w:jc w:val="center"/>
              <w:rPr>
                <w:b/>
                <w:bCs/>
              </w:rPr>
            </w:pPr>
            <w:r w:rsidRPr="00F1560D">
              <w:rPr>
                <w:color w:val="0070C0"/>
                <w:sz w:val="22"/>
                <w:szCs w:val="22"/>
              </w:rPr>
              <w:t>[Įrašyti]</w:t>
            </w:r>
          </w:p>
        </w:tc>
      </w:tr>
      <w:tr w:rsidR="00F1560D" w:rsidRPr="00CE4266" w14:paraId="31F5AD69" w14:textId="77777777" w:rsidTr="003A3BDD">
        <w:trPr>
          <w:trHeight w:val="45"/>
        </w:trPr>
        <w:tc>
          <w:tcPr>
            <w:tcW w:w="3256" w:type="dxa"/>
            <w:shd w:val="clear" w:color="auto" w:fill="auto"/>
          </w:tcPr>
          <w:p w14:paraId="2CC80A58" w14:textId="6D98E630" w:rsidR="00F1560D" w:rsidRPr="00C24DA7" w:rsidRDefault="00F1560D" w:rsidP="00F1560D">
            <w:pPr>
              <w:pStyle w:val="Komentarotekstas"/>
              <w:jc w:val="center"/>
              <w:rPr>
                <w:sz w:val="22"/>
                <w:szCs w:val="22"/>
              </w:rPr>
            </w:pPr>
            <w:r w:rsidRPr="00F1560D">
              <w:rPr>
                <w:color w:val="0070C0"/>
                <w:sz w:val="22"/>
                <w:szCs w:val="22"/>
              </w:rPr>
              <w:t>[Įrašyti]</w:t>
            </w:r>
          </w:p>
        </w:tc>
        <w:tc>
          <w:tcPr>
            <w:tcW w:w="4677" w:type="dxa"/>
            <w:shd w:val="clear" w:color="auto" w:fill="auto"/>
          </w:tcPr>
          <w:p w14:paraId="1141A571" w14:textId="4001C1AF" w:rsidR="00F1560D" w:rsidRPr="00F217E9" w:rsidRDefault="00F1560D" w:rsidP="00F1560D">
            <w:pPr>
              <w:pStyle w:val="Komentarotekstas"/>
              <w:jc w:val="center"/>
            </w:pPr>
            <w:r>
              <w:t>K</w:t>
            </w:r>
            <w:r w:rsidRPr="00EE75A8">
              <w:t>valifikuot</w:t>
            </w:r>
            <w:r>
              <w:t>as</w:t>
            </w:r>
            <w:r w:rsidRPr="00EE75A8">
              <w:t xml:space="preserve"> statinio projekto vykdymo priežiūros vadov</w:t>
            </w:r>
            <w:r>
              <w:t>as, turintis teisę eiti projekto vykdymo priežiūros vadovo pareigas</w:t>
            </w:r>
            <w:r>
              <w:rPr>
                <w:b/>
                <w:bCs/>
              </w:rPr>
              <w:t xml:space="preserve"> </w:t>
            </w:r>
            <w:r>
              <w:t xml:space="preserve"> (statinio kategorija – neypatingas statinys, </w:t>
            </w:r>
            <w:r w:rsidRPr="00EE75A8">
              <w:t xml:space="preserve"> </w:t>
            </w:r>
            <w:r>
              <w:t>inžinerinių statinių grupė – inžineriniai tinklai; inžinerinių statinių pogrupis – nuotekų šalinimo tinklai)</w:t>
            </w:r>
          </w:p>
        </w:tc>
        <w:tc>
          <w:tcPr>
            <w:tcW w:w="3544" w:type="dxa"/>
            <w:shd w:val="clear" w:color="auto" w:fill="auto"/>
          </w:tcPr>
          <w:p w14:paraId="1E74A0DE" w14:textId="66A0DDC1" w:rsidR="00F1560D" w:rsidRPr="00CE4266" w:rsidRDefault="00F1560D" w:rsidP="00F1560D">
            <w:pPr>
              <w:jc w:val="center"/>
              <w:rPr>
                <w:rFonts w:eastAsia="Calibri"/>
                <w:b/>
                <w:bCs/>
              </w:rPr>
            </w:pPr>
            <w:r w:rsidRPr="00F1560D">
              <w:rPr>
                <w:color w:val="0070C0"/>
                <w:sz w:val="22"/>
                <w:szCs w:val="22"/>
              </w:rPr>
              <w:t>[Įrašyti]</w:t>
            </w:r>
          </w:p>
        </w:tc>
        <w:tc>
          <w:tcPr>
            <w:tcW w:w="3686" w:type="dxa"/>
            <w:shd w:val="clear" w:color="auto" w:fill="auto"/>
          </w:tcPr>
          <w:p w14:paraId="7B4C1CB1" w14:textId="2C82971B" w:rsidR="00F1560D" w:rsidRDefault="00F1560D" w:rsidP="00F1560D">
            <w:pPr>
              <w:jc w:val="center"/>
              <w:rPr>
                <w:b/>
                <w:bCs/>
              </w:rPr>
            </w:pPr>
            <w:r w:rsidRPr="00F1560D">
              <w:rPr>
                <w:color w:val="0070C0"/>
                <w:sz w:val="22"/>
                <w:szCs w:val="22"/>
              </w:rPr>
              <w:t>[Įrašyti]</w:t>
            </w:r>
          </w:p>
        </w:tc>
      </w:tr>
      <w:tr w:rsidR="00F1560D" w:rsidRPr="00CE4266" w14:paraId="6D0E0429" w14:textId="77777777" w:rsidTr="003A3BDD">
        <w:trPr>
          <w:trHeight w:val="45"/>
        </w:trPr>
        <w:tc>
          <w:tcPr>
            <w:tcW w:w="3256" w:type="dxa"/>
            <w:shd w:val="clear" w:color="auto" w:fill="auto"/>
          </w:tcPr>
          <w:p w14:paraId="390A5968" w14:textId="1DC3C137" w:rsidR="00F1560D" w:rsidRPr="00C24DA7" w:rsidRDefault="00F1560D" w:rsidP="00F1560D">
            <w:pPr>
              <w:pStyle w:val="Komentarotekstas"/>
              <w:jc w:val="center"/>
              <w:rPr>
                <w:sz w:val="22"/>
                <w:szCs w:val="22"/>
              </w:rPr>
            </w:pPr>
            <w:r w:rsidRPr="00F1560D">
              <w:rPr>
                <w:color w:val="0070C0"/>
                <w:sz w:val="22"/>
                <w:szCs w:val="22"/>
              </w:rPr>
              <w:t>[Įrašyti]</w:t>
            </w:r>
          </w:p>
        </w:tc>
        <w:tc>
          <w:tcPr>
            <w:tcW w:w="4677" w:type="dxa"/>
            <w:shd w:val="clear" w:color="auto" w:fill="auto"/>
          </w:tcPr>
          <w:p w14:paraId="5D14B077" w14:textId="4003453E" w:rsidR="00F1560D" w:rsidRPr="00F217E9" w:rsidRDefault="00F1560D" w:rsidP="00F1560D">
            <w:pPr>
              <w:pStyle w:val="Komentarotekstas"/>
              <w:jc w:val="center"/>
            </w:pPr>
            <w:r>
              <w:t>K</w:t>
            </w:r>
            <w:r w:rsidRPr="00EE75A8">
              <w:t>valifikuot</w:t>
            </w:r>
            <w:r>
              <w:t>as</w:t>
            </w:r>
            <w:r w:rsidRPr="00EE75A8">
              <w:t xml:space="preserve"> statinio projekto dalies vadov</w:t>
            </w:r>
            <w:r>
              <w:t>as, turintis teisę eiti projekto dalies vadovo pareigas</w:t>
            </w:r>
            <w:r>
              <w:rPr>
                <w:b/>
                <w:bCs/>
              </w:rPr>
              <w:t xml:space="preserve"> </w:t>
            </w:r>
            <w:r w:rsidRPr="00EE75A8">
              <w:t>(</w:t>
            </w:r>
            <w:r>
              <w:t xml:space="preserve">statinio kategorija –   neypatingas statinys, inžinerinių statinių grupė – inžineriniai tinklai; inžinerinių statinių </w:t>
            </w:r>
            <w:r>
              <w:lastRenderedPageBreak/>
              <w:t>pogrupis – nuotekų šalinimo tinklai;</w:t>
            </w:r>
            <w:r w:rsidRPr="00EE75A8">
              <w:t xml:space="preserve"> projekto dalis: </w:t>
            </w:r>
            <w:r>
              <w:t>nuotekų šalinimo</w:t>
            </w:r>
            <w:r w:rsidRPr="00EE75A8">
              <w:t>)</w:t>
            </w:r>
          </w:p>
        </w:tc>
        <w:tc>
          <w:tcPr>
            <w:tcW w:w="3544" w:type="dxa"/>
            <w:shd w:val="clear" w:color="auto" w:fill="auto"/>
          </w:tcPr>
          <w:p w14:paraId="7DC29C38" w14:textId="446825CE" w:rsidR="00F1560D" w:rsidRPr="00CE4266" w:rsidRDefault="00F1560D" w:rsidP="00F1560D">
            <w:pPr>
              <w:jc w:val="center"/>
              <w:rPr>
                <w:rFonts w:eastAsia="Calibri"/>
                <w:b/>
                <w:bCs/>
              </w:rPr>
            </w:pPr>
            <w:r w:rsidRPr="00F1560D">
              <w:rPr>
                <w:color w:val="0070C0"/>
                <w:sz w:val="22"/>
                <w:szCs w:val="22"/>
              </w:rPr>
              <w:lastRenderedPageBreak/>
              <w:t>[Įrašyti]</w:t>
            </w:r>
          </w:p>
        </w:tc>
        <w:tc>
          <w:tcPr>
            <w:tcW w:w="3686" w:type="dxa"/>
            <w:shd w:val="clear" w:color="auto" w:fill="auto"/>
          </w:tcPr>
          <w:p w14:paraId="2DF00C20" w14:textId="28EBB436" w:rsidR="00F1560D" w:rsidRDefault="00F1560D" w:rsidP="00F1560D">
            <w:pPr>
              <w:jc w:val="center"/>
              <w:rPr>
                <w:b/>
                <w:bCs/>
              </w:rPr>
            </w:pPr>
            <w:r w:rsidRPr="00F1560D">
              <w:rPr>
                <w:color w:val="0070C0"/>
                <w:sz w:val="22"/>
                <w:szCs w:val="22"/>
              </w:rPr>
              <w:t>[Įrašyti]</w:t>
            </w:r>
          </w:p>
        </w:tc>
      </w:tr>
    </w:tbl>
    <w:p w14:paraId="2661912B" w14:textId="77777777"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080ADC37" w14:textId="77777777" w:rsidR="006F3CFE" w:rsidRPr="0083509B" w:rsidRDefault="006F3CFE" w:rsidP="006F3CFE">
      <w:pPr>
        <w:pStyle w:val="xmsonormal"/>
        <w:ind w:firstLine="709"/>
        <w:jc w:val="both"/>
        <w:rPr>
          <w:rFonts w:ascii="Times New Roman" w:hAnsi="Times New Roman" w:cs="Times New Roman"/>
          <w:i/>
          <w:sz w:val="20"/>
          <w:szCs w:val="20"/>
        </w:rPr>
      </w:pPr>
      <w:r w:rsidRPr="0083509B">
        <w:rPr>
          <w:rFonts w:ascii="Times New Roman" w:hAnsi="Times New Roman" w:cs="Times New Roman"/>
          <w:i/>
          <w:sz w:val="20"/>
          <w:szCs w:val="20"/>
        </w:rPr>
        <w:t xml:space="preserve">- tas pats specialistas gali būti siūlomas kelioms arba visoms pozicijoms, </w:t>
      </w:r>
      <w:r w:rsidRPr="0083509B">
        <w:rPr>
          <w:rFonts w:ascii="Times New Roman" w:hAnsi="Times New Roman" w:cs="Times New Roman"/>
          <w:i/>
          <w:iCs/>
          <w:sz w:val="20"/>
          <w:szCs w:val="20"/>
        </w:rPr>
        <w:t>jeigu atitinka tam specialistui nustatytus</w:t>
      </w:r>
      <w:r w:rsidRPr="0083509B">
        <w:rPr>
          <w:rFonts w:ascii="Times New Roman" w:hAnsi="Times New Roman" w:cs="Times New Roman"/>
          <w:i/>
          <w:sz w:val="20"/>
          <w:szCs w:val="20"/>
        </w:rPr>
        <w:t xml:space="preserve"> reikalavimus;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tokiu atveju specialistas turi būti išviešintas pasiūlyme kaip kvazisubtiekėjas.</w:t>
      </w:r>
    </w:p>
    <w:p w14:paraId="0B24A0F6" w14:textId="77777777" w:rsidR="00DD2A6E" w:rsidRDefault="00DD2A6E"/>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1541EC"/>
    <w:rsid w:val="002711F4"/>
    <w:rsid w:val="00386EB1"/>
    <w:rsid w:val="003D5273"/>
    <w:rsid w:val="006F3CFE"/>
    <w:rsid w:val="00710EDE"/>
    <w:rsid w:val="00A17262"/>
    <w:rsid w:val="00A93A10"/>
    <w:rsid w:val="00BC161A"/>
    <w:rsid w:val="00D15963"/>
    <w:rsid w:val="00DD2A6E"/>
    <w:rsid w:val="00F1560D"/>
    <w:rsid w:val="00F217E9"/>
    <w:rsid w:val="00F73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2501</Words>
  <Characters>1427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5</cp:revision>
  <dcterms:created xsi:type="dcterms:W3CDTF">2025-08-12T13:35:00Z</dcterms:created>
  <dcterms:modified xsi:type="dcterms:W3CDTF">2025-08-26T10:39:00Z</dcterms:modified>
</cp:coreProperties>
</file>