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RPr="009601E3" w14:paraId="23B69B93" w14:textId="77777777" w:rsidTr="00C17AF1">
        <w:tc>
          <w:tcPr>
            <w:tcW w:w="9628" w:type="dxa"/>
            <w:shd w:val="clear" w:color="auto" w:fill="FFF2CC" w:themeFill="accent4" w:themeFillTint="33"/>
          </w:tcPr>
          <w:p w14:paraId="23B69B92" w14:textId="77777777" w:rsidR="00253801" w:rsidRPr="009601E3" w:rsidRDefault="00253801" w:rsidP="00253801">
            <w:pPr>
              <w:jc w:val="center"/>
              <w:rPr>
                <w:rFonts w:ascii="Times New Roman" w:hAnsi="Times New Roman" w:cs="Times New Roman"/>
                <w:b/>
              </w:rPr>
            </w:pPr>
            <w:r w:rsidRPr="009601E3">
              <w:rPr>
                <w:rFonts w:ascii="Times New Roman" w:hAnsi="Times New Roman" w:cs="Times New Roman"/>
                <w:b/>
              </w:rPr>
              <w:t>PRANEŠIMAS</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RPr="009601E3" w14:paraId="23B69B97" w14:textId="77777777" w:rsidTr="00253801">
        <w:tc>
          <w:tcPr>
            <w:tcW w:w="2122" w:type="dxa"/>
            <w:shd w:val="clear" w:color="auto" w:fill="FFF2CC" w:themeFill="accent4" w:themeFillTint="33"/>
          </w:tcPr>
          <w:p w14:paraId="23B69B95" w14:textId="77777777" w:rsidR="0009172A" w:rsidRPr="009601E3" w:rsidRDefault="0009172A" w:rsidP="0009172A">
            <w:pPr>
              <w:rPr>
                <w:rFonts w:ascii="Times New Roman" w:hAnsi="Times New Roman" w:cs="Times New Roman"/>
              </w:rPr>
            </w:pPr>
            <w:r w:rsidRPr="009601E3">
              <w:rPr>
                <w:rFonts w:ascii="Times New Roman" w:hAnsi="Times New Roman" w:cs="Times New Roman"/>
              </w:rPr>
              <w:t>Pirkimo pavadinimas</w:t>
            </w:r>
          </w:p>
        </w:tc>
        <w:tc>
          <w:tcPr>
            <w:tcW w:w="7648" w:type="dxa"/>
          </w:tcPr>
          <w:p w14:paraId="23B69B96" w14:textId="6D8ABC7B" w:rsidR="0009172A" w:rsidRPr="00F720B5" w:rsidRDefault="00586CFD" w:rsidP="00EB3E44">
            <w:pPr>
              <w:jc w:val="both"/>
              <w:rPr>
                <w:rFonts w:ascii="Times New Roman" w:hAnsi="Times New Roman" w:cs="Times New Roman"/>
                <w:b/>
                <w:highlight w:val="yellow"/>
              </w:rPr>
            </w:pPr>
            <w:bookmarkStart w:id="0" w:name="tekstoAntraste"/>
            <w:r w:rsidRPr="00586CFD">
              <w:rPr>
                <w:rFonts w:ascii="Times New Roman" w:eastAsia="Times New Roman" w:hAnsi="Times New Roman" w:cs="Times New Roman"/>
                <w:b/>
                <w:bCs/>
                <w:iCs/>
                <w:lang w:eastAsia="lt-LT"/>
              </w:rPr>
              <w:t>Vaizdo klipo apie pasirengimą ekstremaliosioms situacijoms transliacijos socialiniuose tinkluose paslaugos</w:t>
            </w:r>
            <w:bookmarkEnd w:id="0"/>
            <w:r w:rsidRPr="00586CFD">
              <w:rPr>
                <w:rFonts w:ascii="Times New Roman" w:eastAsia="Times New Roman" w:hAnsi="Times New Roman" w:cs="Times New Roman"/>
                <w:b/>
                <w:bCs/>
                <w:iCs/>
                <w:lang w:eastAsia="lt-LT"/>
              </w:rPr>
              <w:t xml:space="preserve"> (PPR-653)</w:t>
            </w:r>
          </w:p>
        </w:tc>
      </w:tr>
      <w:tr w:rsidR="0009172A" w:rsidRPr="009601E3" w14:paraId="23B69B9A" w14:textId="77777777" w:rsidTr="00253801">
        <w:tc>
          <w:tcPr>
            <w:tcW w:w="2122" w:type="dxa"/>
            <w:shd w:val="clear" w:color="auto" w:fill="FFF2CC" w:themeFill="accent4" w:themeFillTint="33"/>
          </w:tcPr>
          <w:p w14:paraId="23B69B98" w14:textId="575191F8" w:rsidR="0009172A" w:rsidRPr="009601E3" w:rsidRDefault="006B60F0" w:rsidP="0009172A">
            <w:pPr>
              <w:rPr>
                <w:rFonts w:ascii="Times New Roman" w:hAnsi="Times New Roman" w:cs="Times New Roman"/>
              </w:rPr>
            </w:pPr>
            <w:r w:rsidRPr="006B60F0">
              <w:rPr>
                <w:rFonts w:ascii="Times New Roman" w:hAnsi="Times New Roman" w:cs="Times New Roman"/>
              </w:rPr>
              <w:t>Pirkimo ID CVPIS</w:t>
            </w:r>
          </w:p>
        </w:tc>
        <w:tc>
          <w:tcPr>
            <w:tcW w:w="7648" w:type="dxa"/>
          </w:tcPr>
          <w:p w14:paraId="23B69B99" w14:textId="0EF597E3" w:rsidR="0009172A" w:rsidRPr="00F720B5" w:rsidRDefault="00F86184" w:rsidP="0009172A">
            <w:pPr>
              <w:rPr>
                <w:rFonts w:ascii="Times New Roman" w:hAnsi="Times New Roman" w:cs="Times New Roman"/>
                <w:b/>
                <w:highlight w:val="yellow"/>
              </w:rPr>
            </w:pPr>
            <w:r w:rsidRPr="00F86184">
              <w:rPr>
                <w:rFonts w:ascii="Times New Roman" w:eastAsia="Calibri" w:hAnsi="Times New Roman" w:cs="Times New Roman"/>
                <w:b/>
                <w:bCs/>
              </w:rPr>
              <w:t>4191575</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1ECF6FDF" w14:textId="3190BFE6" w:rsidR="004D598E" w:rsidRPr="00176850" w:rsidRDefault="00176850" w:rsidP="00176850">
      <w:pPr>
        <w:tabs>
          <w:tab w:val="left" w:pos="1276"/>
        </w:tabs>
        <w:spacing w:after="0" w:line="240" w:lineRule="auto"/>
        <w:jc w:val="both"/>
        <w:rPr>
          <w:rFonts w:ascii="Times New Roman" w:eastAsia="Times New Roman" w:hAnsi="Times New Roman" w:cs="Times New Roman"/>
          <w:bCs/>
        </w:rPr>
      </w:pPr>
      <w:r w:rsidRPr="00176850">
        <w:rPr>
          <w:rFonts w:ascii="Times New Roman" w:eastAsia="Times New Roman" w:hAnsi="Times New Roman" w:cs="Times New Roman"/>
          <w:b/>
          <w:bCs/>
          <w:color w:val="000000"/>
          <w:lang w:eastAsia="lt-LT"/>
        </w:rPr>
        <w:t>DĖL ATSAKYMO Į PAKLAUSIMĄ</w:t>
      </w:r>
    </w:p>
    <w:p w14:paraId="269F6B07" w14:textId="77777777" w:rsidR="00176850" w:rsidRDefault="00176850" w:rsidP="00176850">
      <w:pPr>
        <w:tabs>
          <w:tab w:val="left" w:pos="1276"/>
        </w:tabs>
        <w:spacing w:after="0" w:line="240" w:lineRule="auto"/>
        <w:ind w:firstLine="567"/>
        <w:jc w:val="both"/>
        <w:rPr>
          <w:rFonts w:ascii="Times New Roman" w:eastAsia="Times New Roman" w:hAnsi="Times New Roman" w:cs="Times New Roman"/>
          <w:bCs/>
        </w:rPr>
      </w:pPr>
    </w:p>
    <w:p w14:paraId="635EEF58" w14:textId="77777777" w:rsidR="00200C05" w:rsidRPr="00200C05" w:rsidRDefault="00200C05" w:rsidP="00200C05">
      <w:pPr>
        <w:tabs>
          <w:tab w:val="left" w:pos="993"/>
        </w:tabs>
        <w:spacing w:after="120" w:line="240" w:lineRule="auto"/>
        <w:ind w:firstLine="567"/>
        <w:jc w:val="both"/>
        <w:rPr>
          <w:rFonts w:ascii="Times New Roman" w:eastAsia="Calibri" w:hAnsi="Times New Roman" w:cs="Times New Roman"/>
          <w:i/>
        </w:rPr>
      </w:pPr>
      <w:r w:rsidRPr="00200C05">
        <w:rPr>
          <w:rFonts w:ascii="Times New Roman" w:eastAsia="Calibri" w:hAnsi="Times New Roman" w:cs="Times New Roman"/>
          <w:i/>
        </w:rPr>
        <w:t>Informuojame, kad Pirkime gautas tiekėjo paklausimas:</w:t>
      </w:r>
    </w:p>
    <w:p w14:paraId="4C10DBAF"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
          <w:i/>
        </w:rPr>
      </w:pPr>
      <w:r w:rsidRPr="00200C05">
        <w:rPr>
          <w:rFonts w:ascii="Times New Roman" w:eastAsia="Calibri" w:hAnsi="Times New Roman" w:cs="Times New Roman"/>
          <w:b/>
          <w:i/>
        </w:rPr>
        <w:t xml:space="preserve">Tiekėjo paklausimas </w:t>
      </w:r>
      <w:r w:rsidRPr="00200C05">
        <w:rPr>
          <w:rFonts w:ascii="Times New Roman" w:eastAsia="Calibri" w:hAnsi="Times New Roman" w:cs="Times New Roman"/>
          <w:i/>
        </w:rPr>
        <w:t>(tekstas neredaguotas)</w:t>
      </w:r>
    </w:p>
    <w:p w14:paraId="3DC8A4D0"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i/>
        </w:rPr>
        <w:t>„</w:t>
      </w:r>
      <w:r w:rsidRPr="00200C05">
        <w:rPr>
          <w:rFonts w:ascii="Times New Roman" w:eastAsia="Calibri" w:hAnsi="Times New Roman" w:cs="Times New Roman"/>
          <w:bCs/>
          <w:i/>
        </w:rPr>
        <w:t xml:space="preserve">Susipažinome su Jūsų pateiktu atsakymu, tačiau turime atkreipti dėmesį, jog jis nėra pagrįstas faktiniais duomenimis ar „Google </w:t>
      </w:r>
      <w:proofErr w:type="spellStart"/>
      <w:r w:rsidRPr="00200C05">
        <w:rPr>
          <w:rFonts w:ascii="Times New Roman" w:eastAsia="Calibri" w:hAnsi="Times New Roman" w:cs="Times New Roman"/>
          <w:bCs/>
          <w:i/>
        </w:rPr>
        <w:t>Ads</w:t>
      </w:r>
      <w:proofErr w:type="spellEnd"/>
      <w:r w:rsidRPr="00200C05">
        <w:rPr>
          <w:rFonts w:ascii="Times New Roman" w:eastAsia="Calibri" w:hAnsi="Times New Roman" w:cs="Times New Roman"/>
          <w:bCs/>
          <w:i/>
        </w:rPr>
        <w:t xml:space="preserve">“ ir „Meta </w:t>
      </w:r>
      <w:proofErr w:type="spellStart"/>
      <w:r w:rsidRPr="00200C05">
        <w:rPr>
          <w:rFonts w:ascii="Times New Roman" w:eastAsia="Calibri" w:hAnsi="Times New Roman" w:cs="Times New Roman"/>
          <w:bCs/>
          <w:i/>
        </w:rPr>
        <w:t>Ads</w:t>
      </w:r>
      <w:proofErr w:type="spellEnd"/>
      <w:r w:rsidRPr="00200C05">
        <w:rPr>
          <w:rFonts w:ascii="Times New Roman" w:eastAsia="Calibri" w:hAnsi="Times New Roman" w:cs="Times New Roman"/>
          <w:bCs/>
          <w:i/>
        </w:rPr>
        <w:t>“ platformų kainodaros principais.</w:t>
      </w:r>
    </w:p>
    <w:p w14:paraId="55678A0A"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Mūsų siūlymas mažinti „YouTube“ tikslą buvo paremtas objektyvia analize:</w:t>
      </w:r>
    </w:p>
    <w:p w14:paraId="0027909B"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 „YouTube“ rodikliai (</w:t>
      </w:r>
      <w:proofErr w:type="spellStart"/>
      <w:r w:rsidRPr="00200C05">
        <w:rPr>
          <w:rFonts w:ascii="Times New Roman" w:eastAsia="Calibri" w:hAnsi="Times New Roman" w:cs="Times New Roman"/>
          <w:bCs/>
          <w:i/>
        </w:rPr>
        <w:t>views</w:t>
      </w:r>
      <w:proofErr w:type="spellEnd"/>
      <w:r w:rsidRPr="00200C05">
        <w:rPr>
          <w:rFonts w:ascii="Times New Roman" w:eastAsia="Calibri" w:hAnsi="Times New Roman" w:cs="Times New Roman"/>
          <w:bCs/>
          <w:i/>
        </w:rPr>
        <w:t xml:space="preserve">, </w:t>
      </w:r>
      <w:proofErr w:type="spellStart"/>
      <w:r w:rsidRPr="00200C05">
        <w:rPr>
          <w:rFonts w:ascii="Times New Roman" w:eastAsia="Calibri" w:hAnsi="Times New Roman" w:cs="Times New Roman"/>
          <w:bCs/>
          <w:i/>
        </w:rPr>
        <w:t>reach</w:t>
      </w:r>
      <w:proofErr w:type="spellEnd"/>
      <w:r w:rsidRPr="00200C05">
        <w:rPr>
          <w:rFonts w:ascii="Times New Roman" w:eastAsia="Calibri" w:hAnsi="Times New Roman" w:cs="Times New Roman"/>
          <w:bCs/>
          <w:i/>
        </w:rPr>
        <w:t>) yra ženkliai brangesni nei „Meta“ (Facebook/Instagram), ką patvirtina tiek rinkos praktika, tiek mūsų turimi analitiniai duomenys.</w:t>
      </w:r>
    </w:p>
    <w:p w14:paraId="08E33E2A"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 Nei „Google“, nei „Meta“ nesuteikia galimybės tiekėjui ar užsakovui savavališkai keisti paspaudimo, pasiekiamumo ar kitų rodiklių kainos – šiuos skaičiavimus atlieka pačios platformos.</w:t>
      </w:r>
    </w:p>
    <w:p w14:paraId="10D4790D"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Todėl Jūsų pateiktas atsakymas, jog mažinimas nėra pagrįstas ar reikalingas, kelia klausimą:</w:t>
      </w:r>
    </w:p>
    <w:p w14:paraId="42349485"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1. Kokiais konkrečiais analitiniais duomenimis ir metodikomis rėmėtės teigdami, kad mūsų siūlymas nėra racionalus?</w:t>
      </w:r>
    </w:p>
    <w:p w14:paraId="763294BB"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2. Kokiais duomenimis pagrindžiate teiginį, kad „YouTube“ reklama yra tinkamiausia Jūsų kampanijai? Ar atlikote auditorijos analizę, palyginamąjį CPM/CPC/CPV vertinimą su „Meta“ kanalais, ar turite kitų patikimų šaltinių?</w:t>
      </w:r>
    </w:p>
    <w:p w14:paraId="0D80CD5C"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Cs/>
          <w:i/>
        </w:rPr>
      </w:pPr>
      <w:r w:rsidRPr="00200C05">
        <w:rPr>
          <w:rFonts w:ascii="Times New Roman" w:eastAsia="Calibri" w:hAnsi="Times New Roman" w:cs="Times New Roman"/>
          <w:bCs/>
          <w:i/>
        </w:rPr>
        <w:t>Be šių atsakymų Jūsų pateikta pozicija yra subjektyvi ir nepagrįsta.</w:t>
      </w:r>
    </w:p>
    <w:p w14:paraId="21530CFA"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i/>
        </w:rPr>
      </w:pPr>
      <w:r w:rsidRPr="00200C05">
        <w:rPr>
          <w:rFonts w:ascii="Times New Roman" w:eastAsia="Calibri" w:hAnsi="Times New Roman" w:cs="Times New Roman"/>
          <w:bCs/>
          <w:i/>
        </w:rPr>
        <w:t>Dar kartą akcentuojame – mūsų siūlymas grindžiamas siekiu racionaliai paskirstyti biudžetą ir pasiekti auditoriją efektyviausiais kanalais, vengiant perteklinių kaštų.</w:t>
      </w:r>
      <w:r w:rsidRPr="00200C05">
        <w:rPr>
          <w:rFonts w:ascii="Times New Roman" w:eastAsia="Calibri" w:hAnsi="Times New Roman" w:cs="Times New Roman"/>
          <w:i/>
        </w:rPr>
        <w:t>“</w:t>
      </w:r>
    </w:p>
    <w:p w14:paraId="0A25A266"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
          <w:i/>
        </w:rPr>
      </w:pPr>
    </w:p>
    <w:p w14:paraId="60D3D2C8"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b/>
          <w:i/>
        </w:rPr>
      </w:pPr>
      <w:r w:rsidRPr="00200C05">
        <w:rPr>
          <w:rFonts w:ascii="Times New Roman" w:eastAsia="Calibri" w:hAnsi="Times New Roman" w:cs="Times New Roman"/>
          <w:b/>
          <w:i/>
        </w:rPr>
        <w:t>Atsakymas</w:t>
      </w:r>
    </w:p>
    <w:p w14:paraId="394A378C"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i/>
          <w:iCs/>
        </w:rPr>
      </w:pPr>
      <w:r w:rsidRPr="00200C05">
        <w:rPr>
          <w:rFonts w:ascii="Times New Roman" w:eastAsia="Calibri" w:hAnsi="Times New Roman" w:cs="Times New Roman"/>
          <w:i/>
          <w:iCs/>
        </w:rPr>
        <w:t xml:space="preserve">Atsakydami į papildomą Paslaugos teikėjo paklausimą, dar kartą atkreipiame dėmesį, kad vaizdo klipo transliacijomis socialinių tinklų platformose siekiame maksimalios ir efektyvios sklaidos Lietuvos visuomenei, siekiant ugdyti gyventojų savisaugos kultūrą, skatinti pasirengimą ekstremaliosioms situacijoms ir didinti mobilios aplikacijos LT72 vartotojų skaičių. </w:t>
      </w:r>
    </w:p>
    <w:p w14:paraId="6F41B71F"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i/>
          <w:iCs/>
        </w:rPr>
      </w:pPr>
      <w:r w:rsidRPr="00200C05">
        <w:rPr>
          <w:rFonts w:ascii="Times New Roman" w:eastAsia="Calibri" w:hAnsi="Times New Roman" w:cs="Times New Roman"/>
          <w:i/>
          <w:iCs/>
        </w:rPr>
        <w:t xml:space="preserve">Šis viešasis pirkimas vykdomas iš Europos Komisijos finansuojamo projekto I-SPREAD, kuriame įtvirtinti šie paminėti Vidaus reikalų ministerijos įsipareigojimai dėl visuomenės informuotumo didinimo civilinės saugos srityje. </w:t>
      </w:r>
    </w:p>
    <w:p w14:paraId="471B021E" w14:textId="77777777" w:rsidR="00200C05" w:rsidRPr="00200C05" w:rsidRDefault="00200C05" w:rsidP="00200C05">
      <w:pPr>
        <w:tabs>
          <w:tab w:val="left" w:pos="993"/>
        </w:tabs>
        <w:spacing w:after="0" w:line="240" w:lineRule="auto"/>
        <w:ind w:firstLine="567"/>
        <w:jc w:val="both"/>
        <w:rPr>
          <w:rFonts w:ascii="Times New Roman" w:eastAsia="Calibri" w:hAnsi="Times New Roman" w:cs="Times New Roman"/>
          <w:i/>
          <w:iCs/>
        </w:rPr>
      </w:pPr>
      <w:r w:rsidRPr="00200C05">
        <w:rPr>
          <w:rFonts w:ascii="Times New Roman" w:eastAsia="Calibri" w:hAnsi="Times New Roman" w:cs="Times New Roman"/>
          <w:i/>
          <w:iCs/>
        </w:rPr>
        <w:t xml:space="preserve">Taip pat pažymime, kad Perkančioji organizacija nei kvestionuoja Paslaugos teikėjo profesinės patirties, nei neigia, kad to paties vaizdo klipo transliacijos kainodara gali skirtis skirtinguose socialinių tinkluose, juo labiau Perkančioji organizacija neturi ir tikslo išskirti kurią nors vieną iš trijų į pirkimą įtrauktų socialinių tinklų (Facebook, Instagram ir </w:t>
      </w:r>
      <w:proofErr w:type="spellStart"/>
      <w:r w:rsidRPr="00200C05">
        <w:rPr>
          <w:rFonts w:ascii="Times New Roman" w:eastAsia="Calibri" w:hAnsi="Times New Roman" w:cs="Times New Roman"/>
          <w:i/>
          <w:iCs/>
        </w:rPr>
        <w:t>Youtube</w:t>
      </w:r>
      <w:proofErr w:type="spellEnd"/>
      <w:r w:rsidRPr="00200C05">
        <w:rPr>
          <w:rFonts w:ascii="Times New Roman" w:eastAsia="Calibri" w:hAnsi="Times New Roman" w:cs="Times New Roman"/>
          <w:i/>
          <w:iCs/>
        </w:rPr>
        <w:t xml:space="preserve">) platformų, kaip tinkamiausią savo tikslinei auditorijai pasiekti, nors nuneigti </w:t>
      </w:r>
      <w:proofErr w:type="spellStart"/>
      <w:r w:rsidRPr="00200C05">
        <w:rPr>
          <w:rFonts w:ascii="Times New Roman" w:eastAsia="Calibri" w:hAnsi="Times New Roman" w:cs="Times New Roman"/>
          <w:i/>
          <w:iCs/>
        </w:rPr>
        <w:t>Youtube</w:t>
      </w:r>
      <w:proofErr w:type="spellEnd"/>
      <w:r w:rsidRPr="00200C05">
        <w:rPr>
          <w:rFonts w:ascii="Times New Roman" w:eastAsia="Calibri" w:hAnsi="Times New Roman" w:cs="Times New Roman"/>
          <w:i/>
          <w:iCs/>
        </w:rPr>
        <w:t xml:space="preserve"> socialinio tinklo svarbos negalima vien dėl paprastos priežasties, nes tai yra vaizdo įrašų platforma, turinti didžiulį populiarumą tiek Lietuvoje, tiek pasaulyje. </w:t>
      </w:r>
    </w:p>
    <w:p w14:paraId="06ABC3BD" w14:textId="77777777" w:rsidR="00200C05" w:rsidRDefault="00200C05" w:rsidP="00200C05">
      <w:pPr>
        <w:spacing w:after="0" w:line="240" w:lineRule="auto"/>
        <w:ind w:firstLine="567"/>
        <w:jc w:val="both"/>
        <w:rPr>
          <w:rFonts w:ascii="Times New Roman" w:eastAsia="Calibri" w:hAnsi="Times New Roman" w:cs="Times New Roman"/>
          <w:i/>
          <w:iCs/>
        </w:rPr>
      </w:pPr>
      <w:r w:rsidRPr="00200C05">
        <w:rPr>
          <w:rFonts w:ascii="Times New Roman" w:eastAsia="Calibri" w:hAnsi="Times New Roman" w:cs="Times New Roman"/>
          <w:i/>
          <w:iCs/>
        </w:rPr>
        <w:t>Atsižvelgus į šio viešojo pirkimo tikslus, pateiktus argumentus bei atliktą rinkos tyrimą, kurio metu nebuvo gauta pastabų ar pasiūlymų dėl viešojo pirkimo paslaugų apimties, manome, kad pirkimo techninėje specifikacijoje numatytos priemonės ir auditorijos pasiekimo rodikliai yra atsakingai pamatuoti, o suplanuotas biudžetas yra pakankamas šio pirkimo tikslams pasiekti ir užtikrinantis maksimalią pirkimo dalyvių konkurenciją.</w:t>
      </w:r>
    </w:p>
    <w:p w14:paraId="23B69BDD" w14:textId="232968F2" w:rsidR="00F878BF" w:rsidRPr="000C20BA" w:rsidRDefault="00F878BF" w:rsidP="00200C05">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A209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832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109E"/>
    <w:rsid w:val="000907CD"/>
    <w:rsid w:val="0009172A"/>
    <w:rsid w:val="000C20BA"/>
    <w:rsid w:val="000C6049"/>
    <w:rsid w:val="00142E66"/>
    <w:rsid w:val="00176850"/>
    <w:rsid w:val="001C3A6C"/>
    <w:rsid w:val="00200C05"/>
    <w:rsid w:val="00243372"/>
    <w:rsid w:val="00253801"/>
    <w:rsid w:val="00272E3E"/>
    <w:rsid w:val="002A12FF"/>
    <w:rsid w:val="0031276B"/>
    <w:rsid w:val="0035290D"/>
    <w:rsid w:val="00362AAC"/>
    <w:rsid w:val="0038121A"/>
    <w:rsid w:val="003B244A"/>
    <w:rsid w:val="003E36B1"/>
    <w:rsid w:val="00434EB9"/>
    <w:rsid w:val="0046342D"/>
    <w:rsid w:val="00483677"/>
    <w:rsid w:val="004B7C44"/>
    <w:rsid w:val="004D598E"/>
    <w:rsid w:val="00533AAF"/>
    <w:rsid w:val="005431DA"/>
    <w:rsid w:val="00586CFD"/>
    <w:rsid w:val="00596923"/>
    <w:rsid w:val="005B1A05"/>
    <w:rsid w:val="00646124"/>
    <w:rsid w:val="00662C77"/>
    <w:rsid w:val="00671204"/>
    <w:rsid w:val="00682ACF"/>
    <w:rsid w:val="006B60F0"/>
    <w:rsid w:val="006D4379"/>
    <w:rsid w:val="006E0F75"/>
    <w:rsid w:val="006E491D"/>
    <w:rsid w:val="006F0FEA"/>
    <w:rsid w:val="007745D1"/>
    <w:rsid w:val="00776B99"/>
    <w:rsid w:val="0078535C"/>
    <w:rsid w:val="007B6D50"/>
    <w:rsid w:val="00815A76"/>
    <w:rsid w:val="008163E1"/>
    <w:rsid w:val="008415E0"/>
    <w:rsid w:val="00847266"/>
    <w:rsid w:val="0084742B"/>
    <w:rsid w:val="00884C85"/>
    <w:rsid w:val="008A0B5A"/>
    <w:rsid w:val="008C59DD"/>
    <w:rsid w:val="008D1D68"/>
    <w:rsid w:val="008F22CE"/>
    <w:rsid w:val="00935465"/>
    <w:rsid w:val="009601E3"/>
    <w:rsid w:val="009A0C60"/>
    <w:rsid w:val="009A130E"/>
    <w:rsid w:val="009B5553"/>
    <w:rsid w:val="009C4B34"/>
    <w:rsid w:val="009E695A"/>
    <w:rsid w:val="00A04C82"/>
    <w:rsid w:val="00A11F2C"/>
    <w:rsid w:val="00A20935"/>
    <w:rsid w:val="00A530AA"/>
    <w:rsid w:val="00A53443"/>
    <w:rsid w:val="00A705A9"/>
    <w:rsid w:val="00AD1558"/>
    <w:rsid w:val="00B23D7C"/>
    <w:rsid w:val="00B27465"/>
    <w:rsid w:val="00B27513"/>
    <w:rsid w:val="00B4374F"/>
    <w:rsid w:val="00BA4B54"/>
    <w:rsid w:val="00BA61A2"/>
    <w:rsid w:val="00BF4732"/>
    <w:rsid w:val="00C17AF1"/>
    <w:rsid w:val="00C75407"/>
    <w:rsid w:val="00CD198C"/>
    <w:rsid w:val="00D034F3"/>
    <w:rsid w:val="00D14BE7"/>
    <w:rsid w:val="00E04F23"/>
    <w:rsid w:val="00E517CB"/>
    <w:rsid w:val="00EB3E44"/>
    <w:rsid w:val="00EC65E1"/>
    <w:rsid w:val="00EC7589"/>
    <w:rsid w:val="00EC7662"/>
    <w:rsid w:val="00F4713F"/>
    <w:rsid w:val="00F566DA"/>
    <w:rsid w:val="00F56BD5"/>
    <w:rsid w:val="00F720B5"/>
    <w:rsid w:val="00F77211"/>
    <w:rsid w:val="00F86184"/>
    <w:rsid w:val="00F878BF"/>
    <w:rsid w:val="00F92552"/>
    <w:rsid w:val="00F950DC"/>
    <w:rsid w:val="00FA4012"/>
    <w:rsid w:val="00FC5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59DD"/>
    <w:pPr>
      <w:ind w:left="720"/>
      <w:contextualSpacing/>
    </w:pPr>
  </w:style>
  <w:style w:type="table" w:customStyle="1" w:styleId="Lentelstinklelis21">
    <w:name w:val="Lentelės tinklelis21"/>
    <w:basedOn w:val="prastojilentel"/>
    <w:uiPriority w:val="99"/>
    <w:rsid w:val="00FC57E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99"/>
    <w:rsid w:val="0035290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2070</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Živilė Šakalienė</cp:lastModifiedBy>
  <cp:revision>103</cp:revision>
  <dcterms:created xsi:type="dcterms:W3CDTF">2019-12-16T07:06:00Z</dcterms:created>
  <dcterms:modified xsi:type="dcterms:W3CDTF">2025-08-29T11:48:00Z</dcterms:modified>
</cp:coreProperties>
</file>