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6846" w14:textId="531B37FE" w:rsidR="00322D95" w:rsidRPr="006D5026" w:rsidRDefault="00CD203D" w:rsidP="000F42F9">
      <w:pPr>
        <w:jc w:val="right"/>
        <w:rPr>
          <w:szCs w:val="24"/>
        </w:rPr>
      </w:pPr>
      <w:r>
        <w:rPr>
          <w:szCs w:val="24"/>
        </w:rPr>
        <w:t>Pirkimo sąlygų 2</w:t>
      </w:r>
      <w:r w:rsidR="000F42F9">
        <w:rPr>
          <w:szCs w:val="24"/>
        </w:rPr>
        <w:t xml:space="preserve"> priedas</w:t>
      </w:r>
    </w:p>
    <w:p w14:paraId="5A6A2723" w14:textId="77777777" w:rsidR="00322D95" w:rsidRPr="006D5026" w:rsidRDefault="00322D95" w:rsidP="00322D95">
      <w:pPr>
        <w:jc w:val="center"/>
        <w:rPr>
          <w:rFonts w:eastAsia="Calibri"/>
          <w:b/>
          <w:szCs w:val="24"/>
          <w:lang w:eastAsia="lt-LT"/>
        </w:rPr>
      </w:pPr>
    </w:p>
    <w:p w14:paraId="356C3E29" w14:textId="10E8E17D" w:rsidR="00322D95" w:rsidRPr="006D5026" w:rsidRDefault="00322D95" w:rsidP="00322D95">
      <w:pPr>
        <w:jc w:val="center"/>
        <w:rPr>
          <w:b/>
          <w:bCs/>
          <w:szCs w:val="24"/>
        </w:rPr>
      </w:pPr>
      <w:r>
        <w:rPr>
          <w:rFonts w:eastAsia="Calibri"/>
          <w:b/>
          <w:szCs w:val="24"/>
          <w:lang w:eastAsia="lt-LT"/>
        </w:rPr>
        <w:t xml:space="preserve"> </w:t>
      </w:r>
      <w:r w:rsidRPr="006D5026">
        <w:rPr>
          <w:b/>
          <w:bCs/>
          <w:szCs w:val="24"/>
        </w:rPr>
        <w:t xml:space="preserve">TECHNINĖ SPECIFIKACIJA </w:t>
      </w:r>
    </w:p>
    <w:p w14:paraId="14997992" w14:textId="77777777" w:rsidR="00322D95" w:rsidRPr="006D5026" w:rsidRDefault="00322D95" w:rsidP="00322D95">
      <w:pPr>
        <w:jc w:val="center"/>
        <w:rPr>
          <w:b/>
          <w:bCs/>
          <w:szCs w:val="24"/>
        </w:rPr>
      </w:pPr>
    </w:p>
    <w:p w14:paraId="5ED9A53D" w14:textId="276422F9" w:rsidR="00322D95" w:rsidRPr="006D5026" w:rsidRDefault="00322D95" w:rsidP="00322D95">
      <w:pPr>
        <w:tabs>
          <w:tab w:val="left" w:pos="1350"/>
          <w:tab w:val="left" w:pos="1440"/>
        </w:tabs>
        <w:suppressAutoHyphens/>
        <w:ind w:hanging="90"/>
        <w:jc w:val="right"/>
        <w:rPr>
          <w:b/>
          <w:bCs/>
          <w:szCs w:val="24"/>
          <w:lang w:eastAsia="ar-SA"/>
        </w:rPr>
      </w:pPr>
    </w:p>
    <w:tbl>
      <w:tblPr>
        <w:tblStyle w:val="Lentelstinklelis"/>
        <w:tblW w:w="15559" w:type="dxa"/>
        <w:tblInd w:w="-815" w:type="dxa"/>
        <w:tblLayout w:type="fixed"/>
        <w:tblLook w:val="04A0" w:firstRow="1" w:lastRow="0" w:firstColumn="1" w:lastColumn="0" w:noHBand="0" w:noVBand="1"/>
      </w:tblPr>
      <w:tblGrid>
        <w:gridCol w:w="990"/>
        <w:gridCol w:w="3364"/>
        <w:gridCol w:w="5110"/>
        <w:gridCol w:w="2880"/>
        <w:gridCol w:w="3215"/>
      </w:tblGrid>
      <w:tr w:rsidR="00322D95" w:rsidRPr="006D5026" w14:paraId="20DE2A78" w14:textId="77777777" w:rsidTr="00446CF4">
        <w:tc>
          <w:tcPr>
            <w:tcW w:w="990" w:type="dxa"/>
          </w:tcPr>
          <w:p w14:paraId="5EA4EEC6" w14:textId="77777777" w:rsidR="00322D95" w:rsidRPr="006D5026" w:rsidRDefault="00322D95" w:rsidP="00446CF4">
            <w:pPr>
              <w:jc w:val="center"/>
              <w:rPr>
                <w:rFonts w:eastAsia="Calibri"/>
                <w:b/>
                <w:szCs w:val="24"/>
              </w:rPr>
            </w:pPr>
            <w:r w:rsidRPr="006D5026">
              <w:rPr>
                <w:rFonts w:eastAsia="Calibri"/>
                <w:b/>
                <w:szCs w:val="24"/>
              </w:rPr>
              <w:t>Eil.</w:t>
            </w:r>
          </w:p>
          <w:p w14:paraId="7869050F" w14:textId="77777777" w:rsidR="00322D95" w:rsidRPr="006D5026" w:rsidRDefault="00322D95" w:rsidP="00446CF4">
            <w:pPr>
              <w:jc w:val="center"/>
              <w:rPr>
                <w:szCs w:val="24"/>
              </w:rPr>
            </w:pPr>
            <w:r w:rsidRPr="006D5026">
              <w:rPr>
                <w:rFonts w:eastAsia="Calibri"/>
                <w:b/>
                <w:szCs w:val="24"/>
              </w:rPr>
              <w:t>Nr.</w:t>
            </w:r>
          </w:p>
        </w:tc>
        <w:tc>
          <w:tcPr>
            <w:tcW w:w="3364" w:type="dxa"/>
          </w:tcPr>
          <w:p w14:paraId="6FF3F633" w14:textId="77777777" w:rsidR="00322D95" w:rsidRPr="006D5026" w:rsidRDefault="00322D95" w:rsidP="00446CF4">
            <w:pPr>
              <w:jc w:val="center"/>
              <w:rPr>
                <w:b/>
                <w:szCs w:val="24"/>
              </w:rPr>
            </w:pPr>
            <w:r w:rsidRPr="006D5026">
              <w:rPr>
                <w:b/>
                <w:szCs w:val="24"/>
              </w:rPr>
              <w:t>Techniniai parametrai arba reikalavimai</w:t>
            </w:r>
          </w:p>
        </w:tc>
        <w:tc>
          <w:tcPr>
            <w:tcW w:w="5110" w:type="dxa"/>
          </w:tcPr>
          <w:p w14:paraId="7D38F623" w14:textId="77777777" w:rsidR="00322D95" w:rsidRPr="006D5026" w:rsidRDefault="00322D95" w:rsidP="00446CF4">
            <w:pPr>
              <w:jc w:val="center"/>
              <w:rPr>
                <w:b/>
                <w:szCs w:val="24"/>
              </w:rPr>
            </w:pPr>
            <w:r w:rsidRPr="006D5026">
              <w:rPr>
                <w:b/>
                <w:szCs w:val="24"/>
              </w:rPr>
              <w:t>Techninio parametro reikšmė arba reikalavimų aprašymas</w:t>
            </w:r>
          </w:p>
        </w:tc>
        <w:tc>
          <w:tcPr>
            <w:tcW w:w="2880" w:type="dxa"/>
          </w:tcPr>
          <w:p w14:paraId="1B04434F" w14:textId="77777777" w:rsidR="00642F79" w:rsidRPr="002941F4" w:rsidRDefault="00642F79" w:rsidP="00642F79">
            <w:pPr>
              <w:spacing w:before="120" w:after="120"/>
              <w:jc w:val="center"/>
              <w:rPr>
                <w:b/>
                <w:szCs w:val="24"/>
              </w:rPr>
            </w:pPr>
            <w:r w:rsidRPr="002941F4">
              <w:rPr>
                <w:b/>
                <w:szCs w:val="24"/>
              </w:rPr>
              <w:t>Siūlomi techniniai parametrai</w:t>
            </w:r>
          </w:p>
          <w:p w14:paraId="10EE2304" w14:textId="250DAE2E" w:rsidR="00322D95" w:rsidRPr="006D5026" w:rsidRDefault="001B0A8C" w:rsidP="00446CF4">
            <w:pPr>
              <w:jc w:val="center"/>
              <w:rPr>
                <w:b/>
                <w:bCs/>
                <w:szCs w:val="24"/>
              </w:rPr>
            </w:pPr>
            <w:r w:rsidRPr="00746FB1">
              <w:rPr>
                <w:i/>
                <w:iCs/>
                <w:color w:val="FF0000"/>
                <w:szCs w:val="24"/>
              </w:rPr>
              <w:t>(</w:t>
            </w:r>
            <w:r w:rsidR="00EF49E6" w:rsidRPr="00746FB1">
              <w:rPr>
                <w:i/>
                <w:iCs/>
                <w:color w:val="FF0000"/>
                <w:szCs w:val="24"/>
              </w:rPr>
              <w:t>privaloma užpildyti</w:t>
            </w:r>
            <w:r w:rsidR="0057742B">
              <w:rPr>
                <w:i/>
                <w:iCs/>
                <w:color w:val="FF0000"/>
                <w:szCs w:val="24"/>
              </w:rPr>
              <w:t>. T</w:t>
            </w:r>
            <w:r w:rsidR="00322D95" w:rsidRPr="00746FB1">
              <w:rPr>
                <w:i/>
                <w:iCs/>
                <w:color w:val="FF0000"/>
                <w:szCs w:val="24"/>
              </w:rPr>
              <w:t xml:space="preserve">iekėjas </w:t>
            </w:r>
            <w:r w:rsidR="00F51D8C">
              <w:rPr>
                <w:i/>
                <w:iCs/>
                <w:color w:val="FF0000"/>
                <w:szCs w:val="24"/>
                <w:u w:val="single"/>
              </w:rPr>
              <w:t>turi</w:t>
            </w:r>
            <w:r w:rsidR="00F51D8C" w:rsidRPr="00746FB1">
              <w:rPr>
                <w:i/>
                <w:iCs/>
                <w:color w:val="FF0000"/>
                <w:szCs w:val="24"/>
              </w:rPr>
              <w:t xml:space="preserve"> </w:t>
            </w:r>
            <w:r w:rsidR="00322D95" w:rsidRPr="00746FB1">
              <w:rPr>
                <w:i/>
                <w:iCs/>
                <w:color w:val="FF0000"/>
                <w:szCs w:val="24"/>
              </w:rPr>
              <w:t>aprašyti siūlomos prekės atitiktį reikalaujamiems parametrams, nurodant konkrečias reikšmes</w:t>
            </w:r>
            <w:r w:rsidR="00CD203D">
              <w:rPr>
                <w:i/>
                <w:iCs/>
                <w:color w:val="FF0000"/>
                <w:szCs w:val="24"/>
              </w:rPr>
              <w:t>)</w:t>
            </w:r>
          </w:p>
        </w:tc>
        <w:tc>
          <w:tcPr>
            <w:tcW w:w="3215" w:type="dxa"/>
          </w:tcPr>
          <w:p w14:paraId="498A941E" w14:textId="77777777" w:rsidR="007A1503" w:rsidRDefault="001D4955" w:rsidP="00446CF4">
            <w:pPr>
              <w:jc w:val="center"/>
              <w:rPr>
                <w:b/>
                <w:bCs/>
                <w:szCs w:val="24"/>
                <w:bdr w:val="nil"/>
              </w:rPr>
            </w:pPr>
            <w:r w:rsidRPr="002941F4">
              <w:rPr>
                <w:b/>
                <w:bCs/>
                <w:iCs/>
                <w:szCs w:val="24"/>
              </w:rPr>
              <w:t>Nuoroda į nurodytą parametrą, patvirtinantį gamintojo dokumento lietuvių kalba (</w:t>
            </w:r>
            <w:r w:rsidRPr="002941F4">
              <w:rPr>
                <w:b/>
                <w:bCs/>
                <w:i/>
                <w:iCs/>
                <w:szCs w:val="24"/>
                <w:bdr w:val="nil"/>
              </w:rPr>
              <w:t>katalogo/ bukleto/brošiūros/instrukcijos</w:t>
            </w:r>
            <w:r w:rsidRPr="002941F4">
              <w:rPr>
                <w:b/>
                <w:bCs/>
                <w:szCs w:val="24"/>
                <w:bdr w:val="nil"/>
              </w:rPr>
              <w:t xml:space="preserve">) puslapį, kuriame yra atžyma apie siūlomos įrangos atitikimą reikalavimui </w:t>
            </w:r>
          </w:p>
          <w:p w14:paraId="1AC208F4" w14:textId="2EA51D19" w:rsidR="00322D95" w:rsidRPr="006D5026" w:rsidRDefault="001D4955" w:rsidP="00446CF4">
            <w:pPr>
              <w:jc w:val="center"/>
              <w:rPr>
                <w:b/>
                <w:bCs/>
                <w:szCs w:val="24"/>
              </w:rPr>
            </w:pPr>
            <w:r w:rsidRPr="002941F4">
              <w:rPr>
                <w:bCs/>
                <w:i/>
                <w:iCs/>
                <w:color w:val="FF0000"/>
                <w:szCs w:val="24"/>
              </w:rPr>
              <w:t>(privaloma užpildyti)</w:t>
            </w:r>
          </w:p>
        </w:tc>
      </w:tr>
      <w:tr w:rsidR="00322D95" w:rsidRPr="006D5026" w14:paraId="252B33C7" w14:textId="77777777" w:rsidTr="00446CF4">
        <w:tc>
          <w:tcPr>
            <w:tcW w:w="990" w:type="dxa"/>
          </w:tcPr>
          <w:p w14:paraId="06100F6B" w14:textId="77777777" w:rsidR="00322D95" w:rsidRPr="006D5026" w:rsidRDefault="00322D95" w:rsidP="00446CF4">
            <w:pPr>
              <w:jc w:val="center"/>
              <w:rPr>
                <w:szCs w:val="24"/>
              </w:rPr>
            </w:pPr>
            <w:r w:rsidRPr="006D5026">
              <w:rPr>
                <w:szCs w:val="24"/>
              </w:rPr>
              <w:t>1.</w:t>
            </w:r>
          </w:p>
        </w:tc>
        <w:tc>
          <w:tcPr>
            <w:tcW w:w="3364" w:type="dxa"/>
          </w:tcPr>
          <w:p w14:paraId="312C3CD6" w14:textId="68E3D0A6" w:rsidR="00322D95" w:rsidRPr="006D5026" w:rsidRDefault="002B1763" w:rsidP="00446CF4">
            <w:pPr>
              <w:jc w:val="both"/>
              <w:rPr>
                <w:rFonts w:eastAsia="Calibri"/>
                <w:szCs w:val="24"/>
              </w:rPr>
            </w:pPr>
            <w:r w:rsidRPr="002B1763">
              <w:rPr>
                <w:szCs w:val="24"/>
              </w:rPr>
              <w:t>Automatinis</w:t>
            </w:r>
            <w:r w:rsidR="00A568AD">
              <w:rPr>
                <w:rStyle w:val="Puslapioinaosnuoroda"/>
                <w:szCs w:val="24"/>
              </w:rPr>
              <w:footnoteReference w:id="1"/>
            </w:r>
            <w:r w:rsidRPr="002B1763">
              <w:rPr>
                <w:szCs w:val="24"/>
              </w:rPr>
              <w:t xml:space="preserve"> hematologinių tyrimų analizatorius (1 vnt.) (toliau - įranga) </w:t>
            </w:r>
          </w:p>
        </w:tc>
        <w:tc>
          <w:tcPr>
            <w:tcW w:w="5110" w:type="dxa"/>
          </w:tcPr>
          <w:p w14:paraId="0926A3BB" w14:textId="11352BAF" w:rsidR="00322D95" w:rsidRPr="006D5026" w:rsidRDefault="0086650E" w:rsidP="00446CF4">
            <w:pPr>
              <w:jc w:val="both"/>
              <w:rPr>
                <w:szCs w:val="24"/>
              </w:rPr>
            </w:pPr>
            <w:r>
              <w:rPr>
                <w:szCs w:val="24"/>
              </w:rPr>
              <w:t>P</w:t>
            </w:r>
            <w:r w:rsidRPr="006D5026">
              <w:rPr>
                <w:szCs w:val="24"/>
              </w:rPr>
              <w:t>avadinimas, tipas / modelis, gamintojas</w:t>
            </w:r>
            <w:r>
              <w:rPr>
                <w:szCs w:val="24"/>
              </w:rPr>
              <w:t>, kilmės šalis</w:t>
            </w:r>
          </w:p>
        </w:tc>
        <w:tc>
          <w:tcPr>
            <w:tcW w:w="2880" w:type="dxa"/>
          </w:tcPr>
          <w:p w14:paraId="2A63E313" w14:textId="77777777" w:rsidR="00322D95" w:rsidRPr="006D5026" w:rsidRDefault="00322D95" w:rsidP="00446CF4">
            <w:pPr>
              <w:jc w:val="center"/>
              <w:rPr>
                <w:i/>
                <w:iCs/>
                <w:szCs w:val="24"/>
              </w:rPr>
            </w:pPr>
          </w:p>
        </w:tc>
        <w:tc>
          <w:tcPr>
            <w:tcW w:w="3215" w:type="dxa"/>
          </w:tcPr>
          <w:p w14:paraId="550B14D6" w14:textId="77777777" w:rsidR="00322D95" w:rsidRPr="006D5026" w:rsidRDefault="00322D95" w:rsidP="00446CF4">
            <w:pPr>
              <w:rPr>
                <w:szCs w:val="24"/>
              </w:rPr>
            </w:pPr>
          </w:p>
        </w:tc>
      </w:tr>
      <w:tr w:rsidR="00322D95" w:rsidRPr="006D5026" w14:paraId="44A6C672" w14:textId="77777777" w:rsidTr="00446CF4">
        <w:tc>
          <w:tcPr>
            <w:tcW w:w="990" w:type="dxa"/>
          </w:tcPr>
          <w:p w14:paraId="056E3190" w14:textId="77777777" w:rsidR="00322D95" w:rsidRPr="006D5026" w:rsidRDefault="00322D95" w:rsidP="00446CF4">
            <w:pPr>
              <w:jc w:val="center"/>
              <w:rPr>
                <w:szCs w:val="24"/>
              </w:rPr>
            </w:pPr>
            <w:r w:rsidRPr="006D5026">
              <w:rPr>
                <w:szCs w:val="24"/>
              </w:rPr>
              <w:t>2.</w:t>
            </w:r>
          </w:p>
        </w:tc>
        <w:tc>
          <w:tcPr>
            <w:tcW w:w="3364" w:type="dxa"/>
          </w:tcPr>
          <w:p w14:paraId="6F7013BD" w14:textId="0301DA17" w:rsidR="00322D95" w:rsidRPr="006D5026" w:rsidRDefault="007A5F78" w:rsidP="00446CF4">
            <w:pPr>
              <w:jc w:val="both"/>
              <w:rPr>
                <w:szCs w:val="24"/>
              </w:rPr>
            </w:pPr>
            <w:r>
              <w:rPr>
                <w:bCs/>
                <w:szCs w:val="24"/>
              </w:rPr>
              <w:t>Analizatoriaus</w:t>
            </w:r>
            <w:r w:rsidR="00322D95" w:rsidRPr="006D5026">
              <w:rPr>
                <w:bCs/>
                <w:szCs w:val="24"/>
              </w:rPr>
              <w:t xml:space="preserve"> pagaminimo data</w:t>
            </w:r>
          </w:p>
        </w:tc>
        <w:tc>
          <w:tcPr>
            <w:tcW w:w="5110" w:type="dxa"/>
          </w:tcPr>
          <w:p w14:paraId="39B21CDE" w14:textId="5BBBD83A" w:rsidR="00322D95" w:rsidRPr="006D5026" w:rsidRDefault="007A5F78" w:rsidP="00446CF4">
            <w:pPr>
              <w:jc w:val="both"/>
              <w:rPr>
                <w:szCs w:val="24"/>
              </w:rPr>
            </w:pPr>
            <w:r>
              <w:rPr>
                <w:szCs w:val="24"/>
              </w:rPr>
              <w:t xml:space="preserve">Ne senesnis kaip </w:t>
            </w:r>
            <w:r w:rsidR="00461614">
              <w:rPr>
                <w:szCs w:val="24"/>
              </w:rPr>
              <w:t>2022</w:t>
            </w:r>
            <w:r>
              <w:rPr>
                <w:szCs w:val="24"/>
              </w:rPr>
              <w:t xml:space="preserve"> metų, techniškai tvarkingas</w:t>
            </w:r>
          </w:p>
        </w:tc>
        <w:tc>
          <w:tcPr>
            <w:tcW w:w="2880" w:type="dxa"/>
          </w:tcPr>
          <w:p w14:paraId="010A3703" w14:textId="77777777" w:rsidR="00322D95" w:rsidRPr="006D5026" w:rsidRDefault="00322D95" w:rsidP="00446CF4">
            <w:pPr>
              <w:jc w:val="center"/>
              <w:rPr>
                <w:i/>
                <w:iCs/>
                <w:szCs w:val="24"/>
              </w:rPr>
            </w:pPr>
          </w:p>
        </w:tc>
        <w:tc>
          <w:tcPr>
            <w:tcW w:w="3215" w:type="dxa"/>
          </w:tcPr>
          <w:p w14:paraId="6A2FA1DF" w14:textId="77777777" w:rsidR="00DA7561" w:rsidRPr="008E0AE8" w:rsidRDefault="00DA7561" w:rsidP="00DA7561">
            <w:pPr>
              <w:rPr>
                <w:szCs w:val="24"/>
              </w:rPr>
            </w:pPr>
            <w:r w:rsidRPr="008E0AE8">
              <w:rPr>
                <w:szCs w:val="24"/>
              </w:rPr>
              <w:t xml:space="preserve">Jei siūloma </w:t>
            </w:r>
            <w:r w:rsidRPr="000B05A0">
              <w:rPr>
                <w:b/>
                <w:bCs/>
                <w:szCs w:val="24"/>
              </w:rPr>
              <w:t>nauja įranga</w:t>
            </w:r>
            <w:r w:rsidRPr="008E0AE8">
              <w:rPr>
                <w:szCs w:val="24"/>
              </w:rPr>
              <w:t xml:space="preserve"> pagaminimo metus pagrindžiančios nuorodos nebūtina pateikti. Atitiktis tikrinama įrangos pristatymo metu.        </w:t>
            </w:r>
          </w:p>
          <w:p w14:paraId="7FED10B4" w14:textId="4061E478" w:rsidR="00322D95" w:rsidRPr="006D5026" w:rsidRDefault="00DA7561" w:rsidP="00DA7561">
            <w:pPr>
              <w:rPr>
                <w:szCs w:val="24"/>
              </w:rPr>
            </w:pPr>
            <w:r w:rsidRPr="008E0AE8">
              <w:rPr>
                <w:szCs w:val="24"/>
              </w:rPr>
              <w:t xml:space="preserve">Jei siūloma </w:t>
            </w:r>
            <w:r w:rsidRPr="000B05A0">
              <w:rPr>
                <w:b/>
                <w:bCs/>
                <w:szCs w:val="24"/>
              </w:rPr>
              <w:t>naudota įranga</w:t>
            </w:r>
            <w:r w:rsidRPr="008E0AE8">
              <w:rPr>
                <w:szCs w:val="24"/>
              </w:rPr>
              <w:t xml:space="preserve">, kartu su pasiūlymu pateikiama tiekėjo laisvos formos pažyma (aktas), kad įranga yra techniškai tvarkinga, tinkama naudoti, nurodyti pagaminimo </w:t>
            </w:r>
            <w:r w:rsidRPr="008E0AE8">
              <w:rPr>
                <w:szCs w:val="24"/>
              </w:rPr>
              <w:lastRenderedPageBreak/>
              <w:t>metus. Atitiktis pakartotinai bus tikrinama įrangos pristatymo metu.</w:t>
            </w:r>
          </w:p>
        </w:tc>
      </w:tr>
      <w:tr w:rsidR="00322D95" w:rsidRPr="006D5026" w14:paraId="5044EACB" w14:textId="77777777" w:rsidTr="00446CF4">
        <w:tc>
          <w:tcPr>
            <w:tcW w:w="990" w:type="dxa"/>
          </w:tcPr>
          <w:p w14:paraId="4D17EEF0" w14:textId="77777777" w:rsidR="00322D95" w:rsidRPr="006D5026" w:rsidRDefault="00322D95" w:rsidP="00446CF4">
            <w:pPr>
              <w:jc w:val="center"/>
              <w:rPr>
                <w:szCs w:val="24"/>
              </w:rPr>
            </w:pPr>
            <w:r w:rsidRPr="006D5026">
              <w:rPr>
                <w:szCs w:val="24"/>
              </w:rPr>
              <w:lastRenderedPageBreak/>
              <w:t>3.</w:t>
            </w:r>
          </w:p>
        </w:tc>
        <w:tc>
          <w:tcPr>
            <w:tcW w:w="3364" w:type="dxa"/>
          </w:tcPr>
          <w:p w14:paraId="2A3639C4" w14:textId="437E013B" w:rsidR="00322D95" w:rsidRPr="006D5026" w:rsidRDefault="007A5F78" w:rsidP="00446CF4">
            <w:pPr>
              <w:jc w:val="both"/>
              <w:rPr>
                <w:szCs w:val="24"/>
              </w:rPr>
            </w:pPr>
            <w:r>
              <w:rPr>
                <w:szCs w:val="24"/>
              </w:rPr>
              <w:t>Analizatoriaus komplektacija</w:t>
            </w:r>
          </w:p>
        </w:tc>
        <w:tc>
          <w:tcPr>
            <w:tcW w:w="5110" w:type="dxa"/>
          </w:tcPr>
          <w:p w14:paraId="6463342C" w14:textId="50DD42FF" w:rsidR="00322D95" w:rsidRPr="006D5026" w:rsidRDefault="007A5F78" w:rsidP="00446CF4">
            <w:pPr>
              <w:jc w:val="both"/>
              <w:rPr>
                <w:szCs w:val="24"/>
              </w:rPr>
            </w:pPr>
            <w:r>
              <w:rPr>
                <w:szCs w:val="24"/>
              </w:rPr>
              <w:t xml:space="preserve">Analizatorius su lietimu valdomu monitoriumi, išoriniu (rankiniu) </w:t>
            </w:r>
            <w:proofErr w:type="spellStart"/>
            <w:r>
              <w:rPr>
                <w:szCs w:val="24"/>
              </w:rPr>
              <w:t>barkodų</w:t>
            </w:r>
            <w:proofErr w:type="spellEnd"/>
            <w:r>
              <w:rPr>
                <w:szCs w:val="24"/>
              </w:rPr>
              <w:t xml:space="preserve"> skaitytuvu ir išoriniu spausdintuvu.</w:t>
            </w:r>
          </w:p>
        </w:tc>
        <w:tc>
          <w:tcPr>
            <w:tcW w:w="2880" w:type="dxa"/>
          </w:tcPr>
          <w:p w14:paraId="4CD577EA" w14:textId="77777777" w:rsidR="00322D95" w:rsidRPr="006D5026" w:rsidRDefault="00322D95" w:rsidP="00446CF4">
            <w:pPr>
              <w:jc w:val="center"/>
              <w:rPr>
                <w:i/>
                <w:iCs/>
                <w:szCs w:val="24"/>
              </w:rPr>
            </w:pPr>
          </w:p>
        </w:tc>
        <w:tc>
          <w:tcPr>
            <w:tcW w:w="3215" w:type="dxa"/>
          </w:tcPr>
          <w:p w14:paraId="3466367B" w14:textId="77777777" w:rsidR="00322D95" w:rsidRPr="006D5026" w:rsidRDefault="00322D95" w:rsidP="00446CF4">
            <w:pPr>
              <w:rPr>
                <w:szCs w:val="24"/>
              </w:rPr>
            </w:pPr>
          </w:p>
        </w:tc>
      </w:tr>
      <w:tr w:rsidR="00322D95" w:rsidRPr="006D5026" w14:paraId="2F7C7FB3" w14:textId="77777777" w:rsidTr="00446CF4">
        <w:tc>
          <w:tcPr>
            <w:tcW w:w="990" w:type="dxa"/>
          </w:tcPr>
          <w:p w14:paraId="7EF04CFA" w14:textId="77777777" w:rsidR="00322D95" w:rsidRPr="006D5026" w:rsidRDefault="00322D95" w:rsidP="00446CF4">
            <w:pPr>
              <w:jc w:val="center"/>
              <w:rPr>
                <w:szCs w:val="24"/>
              </w:rPr>
            </w:pPr>
            <w:r w:rsidRPr="006D5026">
              <w:rPr>
                <w:szCs w:val="24"/>
              </w:rPr>
              <w:t>4.</w:t>
            </w:r>
          </w:p>
        </w:tc>
        <w:tc>
          <w:tcPr>
            <w:tcW w:w="3364" w:type="dxa"/>
          </w:tcPr>
          <w:p w14:paraId="63C60DDA" w14:textId="430A56BA" w:rsidR="00322D95" w:rsidRPr="006D5026" w:rsidRDefault="007A5F78" w:rsidP="00446CF4">
            <w:pPr>
              <w:jc w:val="both"/>
              <w:rPr>
                <w:rFonts w:eastAsia="Calibri"/>
                <w:szCs w:val="24"/>
              </w:rPr>
            </w:pPr>
            <w:r>
              <w:rPr>
                <w:bCs/>
                <w:szCs w:val="24"/>
              </w:rPr>
              <w:t>Leukocitų diferencijavimas</w:t>
            </w:r>
          </w:p>
        </w:tc>
        <w:tc>
          <w:tcPr>
            <w:tcW w:w="5110" w:type="dxa"/>
          </w:tcPr>
          <w:p w14:paraId="7EEA1FDE" w14:textId="4A2D1D98" w:rsidR="00322D95" w:rsidRPr="006D5026" w:rsidRDefault="007A5F78" w:rsidP="007A5F78">
            <w:pPr>
              <w:jc w:val="both"/>
              <w:rPr>
                <w:szCs w:val="24"/>
              </w:rPr>
            </w:pPr>
            <w:r>
              <w:rPr>
                <w:szCs w:val="24"/>
              </w:rPr>
              <w:t xml:space="preserve">Į penkias populiacijas: limfocitus, </w:t>
            </w:r>
            <w:proofErr w:type="spellStart"/>
            <w:r>
              <w:rPr>
                <w:szCs w:val="24"/>
              </w:rPr>
              <w:t>monocitus</w:t>
            </w:r>
            <w:proofErr w:type="spellEnd"/>
            <w:r>
              <w:rPr>
                <w:szCs w:val="24"/>
              </w:rPr>
              <w:t xml:space="preserve">, </w:t>
            </w:r>
            <w:proofErr w:type="spellStart"/>
            <w:r>
              <w:rPr>
                <w:szCs w:val="24"/>
              </w:rPr>
              <w:t>neutrofilus</w:t>
            </w:r>
            <w:proofErr w:type="spellEnd"/>
            <w:r>
              <w:rPr>
                <w:szCs w:val="24"/>
              </w:rPr>
              <w:t xml:space="preserve">, </w:t>
            </w:r>
            <w:proofErr w:type="spellStart"/>
            <w:r>
              <w:rPr>
                <w:szCs w:val="24"/>
              </w:rPr>
              <w:t>eozinofilus</w:t>
            </w:r>
            <w:proofErr w:type="spellEnd"/>
            <w:r>
              <w:rPr>
                <w:szCs w:val="24"/>
              </w:rPr>
              <w:t xml:space="preserve"> ir </w:t>
            </w:r>
            <w:proofErr w:type="spellStart"/>
            <w:r>
              <w:rPr>
                <w:szCs w:val="24"/>
              </w:rPr>
              <w:t>bazofilus</w:t>
            </w:r>
            <w:proofErr w:type="spellEnd"/>
            <w:r>
              <w:rPr>
                <w:szCs w:val="24"/>
              </w:rPr>
              <w:t>. Leukocitų populiacijos turi būti matuojamos tiesiogiai, o ne išskaičiuojamos.</w:t>
            </w:r>
          </w:p>
        </w:tc>
        <w:tc>
          <w:tcPr>
            <w:tcW w:w="2880" w:type="dxa"/>
          </w:tcPr>
          <w:p w14:paraId="76D58081" w14:textId="77777777" w:rsidR="00322D95" w:rsidRPr="006D5026" w:rsidRDefault="00322D95" w:rsidP="00446CF4">
            <w:pPr>
              <w:rPr>
                <w:szCs w:val="24"/>
              </w:rPr>
            </w:pPr>
          </w:p>
        </w:tc>
        <w:tc>
          <w:tcPr>
            <w:tcW w:w="3215" w:type="dxa"/>
          </w:tcPr>
          <w:p w14:paraId="77AFD49D" w14:textId="77777777" w:rsidR="00322D95" w:rsidRPr="006D5026" w:rsidRDefault="00322D95" w:rsidP="00446CF4">
            <w:pPr>
              <w:rPr>
                <w:szCs w:val="24"/>
              </w:rPr>
            </w:pPr>
          </w:p>
        </w:tc>
      </w:tr>
      <w:tr w:rsidR="00322D95" w:rsidRPr="006D5026" w14:paraId="30B9DC53" w14:textId="77777777" w:rsidTr="00446CF4">
        <w:tc>
          <w:tcPr>
            <w:tcW w:w="990" w:type="dxa"/>
          </w:tcPr>
          <w:p w14:paraId="563BC8D2" w14:textId="77777777" w:rsidR="00322D95" w:rsidRPr="006D5026" w:rsidRDefault="00322D95" w:rsidP="00446CF4">
            <w:pPr>
              <w:jc w:val="center"/>
              <w:rPr>
                <w:szCs w:val="24"/>
              </w:rPr>
            </w:pPr>
            <w:r w:rsidRPr="006D5026">
              <w:rPr>
                <w:szCs w:val="24"/>
              </w:rPr>
              <w:t>5.</w:t>
            </w:r>
          </w:p>
        </w:tc>
        <w:tc>
          <w:tcPr>
            <w:tcW w:w="3364" w:type="dxa"/>
          </w:tcPr>
          <w:p w14:paraId="4E94157A" w14:textId="50A1B92A" w:rsidR="00322D95" w:rsidRPr="006D5026" w:rsidRDefault="000A37DC" w:rsidP="00446CF4">
            <w:pPr>
              <w:jc w:val="both"/>
              <w:rPr>
                <w:szCs w:val="24"/>
              </w:rPr>
            </w:pPr>
            <w:r>
              <w:rPr>
                <w:bCs/>
                <w:szCs w:val="24"/>
              </w:rPr>
              <w:t>Našumas</w:t>
            </w:r>
          </w:p>
        </w:tc>
        <w:tc>
          <w:tcPr>
            <w:tcW w:w="5110" w:type="dxa"/>
          </w:tcPr>
          <w:p w14:paraId="2208C675" w14:textId="2D5FAAFE" w:rsidR="00322D95" w:rsidRPr="006D5026" w:rsidRDefault="000A37DC" w:rsidP="00446CF4">
            <w:pPr>
              <w:jc w:val="both"/>
              <w:rPr>
                <w:szCs w:val="24"/>
              </w:rPr>
            </w:pPr>
            <w:r>
              <w:rPr>
                <w:szCs w:val="24"/>
              </w:rPr>
              <w:t>Ne mažiau kaip 60 tyrimų per valandą.</w:t>
            </w:r>
            <w:r w:rsidR="00322D95" w:rsidRPr="006D5026">
              <w:rPr>
                <w:szCs w:val="24"/>
              </w:rPr>
              <w:t xml:space="preserve"> </w:t>
            </w:r>
          </w:p>
        </w:tc>
        <w:tc>
          <w:tcPr>
            <w:tcW w:w="2880" w:type="dxa"/>
          </w:tcPr>
          <w:p w14:paraId="45B247E0" w14:textId="77777777" w:rsidR="00322D95" w:rsidRPr="006D5026" w:rsidRDefault="00322D95" w:rsidP="00446CF4">
            <w:pPr>
              <w:rPr>
                <w:szCs w:val="24"/>
              </w:rPr>
            </w:pPr>
          </w:p>
        </w:tc>
        <w:tc>
          <w:tcPr>
            <w:tcW w:w="3215" w:type="dxa"/>
          </w:tcPr>
          <w:p w14:paraId="637C4041" w14:textId="77777777" w:rsidR="00322D95" w:rsidRPr="006D5026" w:rsidRDefault="00322D95" w:rsidP="00446CF4">
            <w:pPr>
              <w:rPr>
                <w:szCs w:val="24"/>
              </w:rPr>
            </w:pPr>
          </w:p>
        </w:tc>
      </w:tr>
      <w:tr w:rsidR="00322D95" w:rsidRPr="006D5026" w14:paraId="0C901C9E" w14:textId="77777777" w:rsidTr="00446CF4">
        <w:tc>
          <w:tcPr>
            <w:tcW w:w="990" w:type="dxa"/>
          </w:tcPr>
          <w:p w14:paraId="65462668" w14:textId="77777777" w:rsidR="00322D95" w:rsidRPr="006D5026" w:rsidRDefault="00322D95" w:rsidP="00446CF4">
            <w:pPr>
              <w:jc w:val="center"/>
              <w:rPr>
                <w:szCs w:val="24"/>
              </w:rPr>
            </w:pPr>
            <w:r w:rsidRPr="006D5026">
              <w:rPr>
                <w:szCs w:val="24"/>
              </w:rPr>
              <w:t>6.</w:t>
            </w:r>
          </w:p>
        </w:tc>
        <w:tc>
          <w:tcPr>
            <w:tcW w:w="3364" w:type="dxa"/>
          </w:tcPr>
          <w:p w14:paraId="4F3C3DD8" w14:textId="2173CCC4" w:rsidR="00322D95" w:rsidRPr="006D5026" w:rsidRDefault="000A37DC" w:rsidP="00446CF4">
            <w:pPr>
              <w:jc w:val="both"/>
              <w:rPr>
                <w:szCs w:val="24"/>
              </w:rPr>
            </w:pPr>
            <w:r>
              <w:rPr>
                <w:bCs/>
                <w:szCs w:val="24"/>
              </w:rPr>
              <w:t>Mėginio kiekis</w:t>
            </w:r>
          </w:p>
        </w:tc>
        <w:tc>
          <w:tcPr>
            <w:tcW w:w="5110" w:type="dxa"/>
          </w:tcPr>
          <w:p w14:paraId="551D6E0B" w14:textId="1E35F651" w:rsidR="00322D95" w:rsidRPr="006D5026" w:rsidRDefault="000A37DC" w:rsidP="00446CF4">
            <w:pPr>
              <w:jc w:val="both"/>
              <w:rPr>
                <w:szCs w:val="24"/>
              </w:rPr>
            </w:pPr>
            <w:r>
              <w:rPr>
                <w:szCs w:val="24"/>
              </w:rPr>
              <w:t xml:space="preserve">Ne daugiau kaip 16 µl veninio </w:t>
            </w:r>
            <w:r w:rsidR="004D4154">
              <w:rPr>
                <w:szCs w:val="24"/>
              </w:rPr>
              <w:t>a</w:t>
            </w:r>
            <w:r w:rsidR="00F51D8C">
              <w:rPr>
                <w:szCs w:val="24"/>
              </w:rPr>
              <w:t>r</w:t>
            </w:r>
            <w:r w:rsidR="000B51FA">
              <w:rPr>
                <w:szCs w:val="24"/>
              </w:rPr>
              <w:t>ba</w:t>
            </w:r>
            <w:r>
              <w:rPr>
                <w:szCs w:val="24"/>
              </w:rPr>
              <w:t xml:space="preserve"> kapiliarinio kraujo</w:t>
            </w:r>
            <w:r w:rsidR="00322D95" w:rsidRPr="006D5026">
              <w:rPr>
                <w:szCs w:val="24"/>
              </w:rPr>
              <w:t xml:space="preserve"> </w:t>
            </w:r>
          </w:p>
        </w:tc>
        <w:tc>
          <w:tcPr>
            <w:tcW w:w="2880" w:type="dxa"/>
          </w:tcPr>
          <w:p w14:paraId="65138F62" w14:textId="77777777" w:rsidR="00322D95" w:rsidRPr="006D5026" w:rsidRDefault="00322D95" w:rsidP="00446CF4">
            <w:pPr>
              <w:rPr>
                <w:szCs w:val="24"/>
              </w:rPr>
            </w:pPr>
          </w:p>
        </w:tc>
        <w:tc>
          <w:tcPr>
            <w:tcW w:w="3215" w:type="dxa"/>
          </w:tcPr>
          <w:p w14:paraId="3A709851" w14:textId="77777777" w:rsidR="00322D95" w:rsidRPr="006D5026" w:rsidRDefault="00322D95" w:rsidP="00446CF4">
            <w:pPr>
              <w:rPr>
                <w:szCs w:val="24"/>
              </w:rPr>
            </w:pPr>
          </w:p>
        </w:tc>
      </w:tr>
      <w:tr w:rsidR="00322D95" w:rsidRPr="006D5026" w14:paraId="3FD88912" w14:textId="77777777" w:rsidTr="00446CF4">
        <w:tc>
          <w:tcPr>
            <w:tcW w:w="990" w:type="dxa"/>
          </w:tcPr>
          <w:p w14:paraId="0FA68DED" w14:textId="77777777" w:rsidR="00322D95" w:rsidRPr="006D5026" w:rsidRDefault="00322D95" w:rsidP="00446CF4">
            <w:pPr>
              <w:jc w:val="center"/>
              <w:rPr>
                <w:szCs w:val="24"/>
              </w:rPr>
            </w:pPr>
            <w:r w:rsidRPr="006D5026">
              <w:rPr>
                <w:szCs w:val="24"/>
              </w:rPr>
              <w:t>7.</w:t>
            </w:r>
          </w:p>
        </w:tc>
        <w:tc>
          <w:tcPr>
            <w:tcW w:w="3364" w:type="dxa"/>
          </w:tcPr>
          <w:p w14:paraId="039F7D3E" w14:textId="25C2C19E" w:rsidR="00322D95" w:rsidRPr="006D5026" w:rsidRDefault="000A37DC" w:rsidP="00446CF4">
            <w:pPr>
              <w:jc w:val="both"/>
              <w:rPr>
                <w:szCs w:val="24"/>
              </w:rPr>
            </w:pPr>
            <w:r>
              <w:rPr>
                <w:bCs/>
                <w:szCs w:val="24"/>
              </w:rPr>
              <w:t>Reagentai</w:t>
            </w:r>
          </w:p>
        </w:tc>
        <w:tc>
          <w:tcPr>
            <w:tcW w:w="5110" w:type="dxa"/>
          </w:tcPr>
          <w:p w14:paraId="18945339" w14:textId="1D96B889" w:rsidR="00322D95" w:rsidRPr="006D5026" w:rsidRDefault="000A37DC" w:rsidP="00446CF4">
            <w:pPr>
              <w:jc w:val="both"/>
              <w:rPr>
                <w:szCs w:val="24"/>
              </w:rPr>
            </w:pPr>
            <w:r>
              <w:rPr>
                <w:szCs w:val="24"/>
              </w:rPr>
              <w:t xml:space="preserve">Ne daugiau kaip 3 (neįskaitant kontrolės ir </w:t>
            </w:r>
            <w:proofErr w:type="spellStart"/>
            <w:r>
              <w:rPr>
                <w:szCs w:val="24"/>
              </w:rPr>
              <w:t>kalibratoriaus</w:t>
            </w:r>
            <w:proofErr w:type="spellEnd"/>
            <w:r>
              <w:rPr>
                <w:szCs w:val="24"/>
              </w:rPr>
              <w:t>)</w:t>
            </w:r>
          </w:p>
        </w:tc>
        <w:tc>
          <w:tcPr>
            <w:tcW w:w="2880" w:type="dxa"/>
          </w:tcPr>
          <w:p w14:paraId="0D495ED1" w14:textId="77777777" w:rsidR="00322D95" w:rsidRPr="006D5026" w:rsidRDefault="00322D95" w:rsidP="00446CF4">
            <w:pPr>
              <w:rPr>
                <w:szCs w:val="24"/>
              </w:rPr>
            </w:pPr>
          </w:p>
        </w:tc>
        <w:tc>
          <w:tcPr>
            <w:tcW w:w="3215" w:type="dxa"/>
          </w:tcPr>
          <w:p w14:paraId="52C738BD" w14:textId="77777777" w:rsidR="00322D95" w:rsidRPr="006D5026" w:rsidRDefault="00322D95" w:rsidP="00446CF4">
            <w:pPr>
              <w:rPr>
                <w:szCs w:val="24"/>
              </w:rPr>
            </w:pPr>
          </w:p>
        </w:tc>
      </w:tr>
      <w:tr w:rsidR="00322D95" w:rsidRPr="006D5026" w14:paraId="72F0CC76" w14:textId="77777777" w:rsidTr="00446CF4">
        <w:tc>
          <w:tcPr>
            <w:tcW w:w="990" w:type="dxa"/>
          </w:tcPr>
          <w:p w14:paraId="710F4C48" w14:textId="77777777" w:rsidR="00322D95" w:rsidRPr="006D5026" w:rsidRDefault="00322D95" w:rsidP="00446CF4">
            <w:pPr>
              <w:jc w:val="center"/>
              <w:rPr>
                <w:szCs w:val="24"/>
              </w:rPr>
            </w:pPr>
            <w:r w:rsidRPr="006D5026">
              <w:rPr>
                <w:szCs w:val="24"/>
              </w:rPr>
              <w:t>8.</w:t>
            </w:r>
          </w:p>
        </w:tc>
        <w:tc>
          <w:tcPr>
            <w:tcW w:w="3364" w:type="dxa"/>
          </w:tcPr>
          <w:p w14:paraId="72EE50B4" w14:textId="6B330B9D" w:rsidR="00322D95" w:rsidRPr="006D5026" w:rsidRDefault="000A37DC" w:rsidP="00446CF4">
            <w:pPr>
              <w:jc w:val="both"/>
              <w:rPr>
                <w:szCs w:val="24"/>
              </w:rPr>
            </w:pPr>
            <w:r>
              <w:rPr>
                <w:bCs/>
                <w:szCs w:val="24"/>
              </w:rPr>
              <w:t>Programinė įranga ir duomenų valdymas</w:t>
            </w:r>
            <w:r w:rsidR="00B7047D">
              <w:rPr>
                <w:bCs/>
                <w:szCs w:val="24"/>
              </w:rPr>
              <w:t xml:space="preserve"> </w:t>
            </w:r>
            <w:r w:rsidR="00B7047D" w:rsidRPr="000B7883">
              <w:rPr>
                <w:i/>
                <w:iCs/>
                <w:szCs w:val="24"/>
              </w:rPr>
              <w:t>(BVPŽ kodas 48900000-7</w:t>
            </w:r>
            <w:r w:rsidR="00B7047D">
              <w:rPr>
                <w:i/>
                <w:iCs/>
                <w:szCs w:val="24"/>
              </w:rPr>
              <w:t xml:space="preserve"> </w:t>
            </w:r>
            <w:r w:rsidR="00B7047D" w:rsidRPr="0093223F">
              <w:rPr>
                <w:i/>
                <w:iCs/>
                <w:szCs w:val="24"/>
              </w:rPr>
              <w:t>Įvairūs programinės įrangos paketai ir kompiuterių sistemos</w:t>
            </w:r>
            <w:r w:rsidR="00B7047D" w:rsidRPr="000B7883">
              <w:rPr>
                <w:i/>
                <w:iCs/>
                <w:szCs w:val="24"/>
              </w:rPr>
              <w:t>)</w:t>
            </w:r>
          </w:p>
        </w:tc>
        <w:tc>
          <w:tcPr>
            <w:tcW w:w="5110" w:type="dxa"/>
          </w:tcPr>
          <w:p w14:paraId="3B9AEE9F" w14:textId="285F44F2" w:rsidR="00322D95" w:rsidRPr="006D5026" w:rsidRDefault="0058014D" w:rsidP="00446CF4">
            <w:pPr>
              <w:jc w:val="both"/>
              <w:rPr>
                <w:szCs w:val="24"/>
              </w:rPr>
            </w:pPr>
            <w:r>
              <w:rPr>
                <w:szCs w:val="24"/>
              </w:rPr>
              <w:t xml:space="preserve">Išorinis, delninis brūkšninių kodų skaitytuvas, leidžiantis nuskaityti reagentų, kontrolių, </w:t>
            </w:r>
            <w:proofErr w:type="spellStart"/>
            <w:r>
              <w:rPr>
                <w:szCs w:val="24"/>
              </w:rPr>
              <w:t>kalibratorių</w:t>
            </w:r>
            <w:proofErr w:type="spellEnd"/>
            <w:r>
              <w:rPr>
                <w:szCs w:val="24"/>
              </w:rPr>
              <w:t xml:space="preserve"> partijos numerius ir galiojimo datas, mėginio ID. Galimybė prijungti prie LIS. Atmintyje saugoma ne mažiau  kaip 30 000 tyrimų rezultatų su visais grafikais, vėliavėlėmis, kodais, žinutėmis.</w:t>
            </w:r>
          </w:p>
        </w:tc>
        <w:tc>
          <w:tcPr>
            <w:tcW w:w="2880" w:type="dxa"/>
          </w:tcPr>
          <w:p w14:paraId="41C10C86" w14:textId="77777777" w:rsidR="00322D95" w:rsidRPr="006D5026" w:rsidRDefault="00322D95" w:rsidP="00446CF4">
            <w:pPr>
              <w:rPr>
                <w:szCs w:val="24"/>
              </w:rPr>
            </w:pPr>
          </w:p>
        </w:tc>
        <w:tc>
          <w:tcPr>
            <w:tcW w:w="3215" w:type="dxa"/>
          </w:tcPr>
          <w:p w14:paraId="260A4474" w14:textId="77777777" w:rsidR="00322D95" w:rsidRPr="006D5026" w:rsidRDefault="00322D95" w:rsidP="00446CF4">
            <w:pPr>
              <w:rPr>
                <w:szCs w:val="24"/>
              </w:rPr>
            </w:pPr>
          </w:p>
        </w:tc>
      </w:tr>
      <w:tr w:rsidR="00F5387D" w:rsidRPr="006D5026" w14:paraId="0F7F9148" w14:textId="77777777" w:rsidTr="00437B2D">
        <w:tc>
          <w:tcPr>
            <w:tcW w:w="990" w:type="dxa"/>
          </w:tcPr>
          <w:p w14:paraId="230F8E5A" w14:textId="082A9964" w:rsidR="00F5387D" w:rsidRPr="0059610B" w:rsidRDefault="00F5387D" w:rsidP="00F5387D">
            <w:pPr>
              <w:jc w:val="center"/>
              <w:rPr>
                <w:szCs w:val="24"/>
              </w:rPr>
            </w:pPr>
            <w:r w:rsidRPr="0059610B">
              <w:rPr>
                <w:szCs w:val="24"/>
              </w:rPr>
              <w:t>9.</w:t>
            </w:r>
          </w:p>
        </w:tc>
        <w:tc>
          <w:tcPr>
            <w:tcW w:w="3364" w:type="dxa"/>
            <w:vAlign w:val="center"/>
          </w:tcPr>
          <w:p w14:paraId="26D4E4F8" w14:textId="34E264B4" w:rsidR="00F5387D" w:rsidRPr="0059610B" w:rsidRDefault="00F5387D" w:rsidP="00F5387D">
            <w:pPr>
              <w:jc w:val="both"/>
              <w:rPr>
                <w:bCs/>
                <w:szCs w:val="24"/>
              </w:rPr>
            </w:pPr>
            <w:r w:rsidRPr="0059610B">
              <w:rPr>
                <w:rStyle w:val="normaltextrun"/>
                <w:rFonts w:eastAsiaTheme="majorEastAsia"/>
                <w:color w:val="222222"/>
                <w:shd w:val="clear" w:color="auto" w:fill="FFFFFF"/>
              </w:rPr>
              <w:t xml:space="preserve">Analizatorius turi jungtis į LIS dvikrypčiu ryšiu </w:t>
            </w:r>
            <w:r w:rsidRPr="0059610B">
              <w:rPr>
                <w:rStyle w:val="normaltextrun"/>
                <w:rFonts w:eastAsiaTheme="majorEastAsia"/>
                <w:i/>
                <w:iCs/>
              </w:rPr>
              <w:t>(48900000-7 Įvairūs programinės įrangos paketai ir kompiuterių sistemos)</w:t>
            </w:r>
            <w:r w:rsidRPr="0059610B">
              <w:rPr>
                <w:rStyle w:val="eop"/>
                <w:rFonts w:eastAsiaTheme="majorEastAsia"/>
              </w:rPr>
              <w:t> </w:t>
            </w:r>
          </w:p>
        </w:tc>
        <w:tc>
          <w:tcPr>
            <w:tcW w:w="5110" w:type="dxa"/>
            <w:vAlign w:val="center"/>
          </w:tcPr>
          <w:p w14:paraId="5060C281" w14:textId="6C3E0CB4" w:rsidR="00F5387D" w:rsidRPr="0059610B" w:rsidRDefault="00F5387D" w:rsidP="00F5387D">
            <w:pPr>
              <w:jc w:val="both"/>
              <w:rPr>
                <w:szCs w:val="24"/>
              </w:rPr>
            </w:pPr>
            <w:r w:rsidRPr="0059610B">
              <w:rPr>
                <w:rStyle w:val="normaltextrun"/>
                <w:rFonts w:eastAsiaTheme="majorEastAsia"/>
                <w:color w:val="000000"/>
              </w:rPr>
              <w:t>Būtina</w:t>
            </w:r>
            <w:r w:rsidRPr="0059610B">
              <w:rPr>
                <w:rStyle w:val="eop"/>
                <w:rFonts w:eastAsiaTheme="majorEastAsia"/>
                <w:color w:val="000000"/>
              </w:rPr>
              <w:t> </w:t>
            </w:r>
          </w:p>
        </w:tc>
        <w:tc>
          <w:tcPr>
            <w:tcW w:w="2880" w:type="dxa"/>
          </w:tcPr>
          <w:p w14:paraId="2B12A27C" w14:textId="237A41E4" w:rsidR="00F5387D" w:rsidRPr="0059610B" w:rsidRDefault="00F5387D" w:rsidP="00F5387D">
            <w:pPr>
              <w:rPr>
                <w:szCs w:val="24"/>
              </w:rPr>
            </w:pPr>
            <w:r w:rsidRPr="0059610B">
              <w:rPr>
                <w:rStyle w:val="eop"/>
                <w:rFonts w:eastAsiaTheme="majorEastAsia"/>
              </w:rPr>
              <w:t> </w:t>
            </w:r>
          </w:p>
        </w:tc>
        <w:tc>
          <w:tcPr>
            <w:tcW w:w="3215" w:type="dxa"/>
          </w:tcPr>
          <w:p w14:paraId="04F03DCD" w14:textId="243E7BE8" w:rsidR="00F5387D" w:rsidRPr="0059610B" w:rsidRDefault="00F5387D" w:rsidP="00F5387D">
            <w:pPr>
              <w:rPr>
                <w:szCs w:val="24"/>
              </w:rPr>
            </w:pPr>
            <w:r w:rsidRPr="0059610B">
              <w:rPr>
                <w:rStyle w:val="normaltextrun"/>
                <w:rFonts w:eastAsiaTheme="majorEastAsia"/>
              </w:rPr>
              <w:t>Kartu su pasiūlymu turi būti pateiktas gamintojo parengtas techninis aprašas, kuriame aiškiai nurodyta įrangos sąsajos su LIS galimybė.  </w:t>
            </w:r>
            <w:r w:rsidRPr="0059610B">
              <w:rPr>
                <w:rStyle w:val="eop"/>
                <w:rFonts w:eastAsiaTheme="majorEastAsia"/>
              </w:rPr>
              <w:t> </w:t>
            </w:r>
          </w:p>
        </w:tc>
      </w:tr>
      <w:tr w:rsidR="00322D95" w:rsidRPr="006D5026" w14:paraId="75519E8B" w14:textId="77777777" w:rsidTr="00446CF4">
        <w:tc>
          <w:tcPr>
            <w:tcW w:w="990" w:type="dxa"/>
          </w:tcPr>
          <w:p w14:paraId="1AE0BF29" w14:textId="37817514" w:rsidR="00322D95" w:rsidRPr="006D5026" w:rsidRDefault="002C7F7C" w:rsidP="00446CF4">
            <w:pPr>
              <w:jc w:val="center"/>
              <w:rPr>
                <w:szCs w:val="24"/>
              </w:rPr>
            </w:pPr>
            <w:r>
              <w:rPr>
                <w:szCs w:val="24"/>
              </w:rPr>
              <w:t>10</w:t>
            </w:r>
            <w:r w:rsidR="00322D95" w:rsidRPr="006D5026">
              <w:rPr>
                <w:szCs w:val="24"/>
              </w:rPr>
              <w:t>.</w:t>
            </w:r>
          </w:p>
        </w:tc>
        <w:tc>
          <w:tcPr>
            <w:tcW w:w="3364" w:type="dxa"/>
          </w:tcPr>
          <w:p w14:paraId="3B1237C6" w14:textId="72FAD59A" w:rsidR="00322D95" w:rsidRPr="006D5026" w:rsidRDefault="0058014D" w:rsidP="00446CF4">
            <w:pPr>
              <w:jc w:val="both"/>
              <w:rPr>
                <w:szCs w:val="24"/>
              </w:rPr>
            </w:pPr>
            <w:r>
              <w:rPr>
                <w:bCs/>
                <w:szCs w:val="24"/>
              </w:rPr>
              <w:t>Vidinė kokybės kontrolės programa</w:t>
            </w:r>
          </w:p>
        </w:tc>
        <w:tc>
          <w:tcPr>
            <w:tcW w:w="5110" w:type="dxa"/>
          </w:tcPr>
          <w:p w14:paraId="44F28364" w14:textId="37F78C58" w:rsidR="00322D95" w:rsidRPr="006D5026" w:rsidRDefault="0058014D" w:rsidP="00446CF4">
            <w:pPr>
              <w:jc w:val="both"/>
              <w:rPr>
                <w:szCs w:val="24"/>
              </w:rPr>
            </w:pPr>
            <w:r>
              <w:rPr>
                <w:szCs w:val="24"/>
              </w:rPr>
              <w:t>Ne mažiau 10 kokybės kontrolės failų, ne mažiau nei po 100 kontrolinių mėginių tyrimų rezultatų kiekviename.</w:t>
            </w:r>
          </w:p>
        </w:tc>
        <w:tc>
          <w:tcPr>
            <w:tcW w:w="2880" w:type="dxa"/>
          </w:tcPr>
          <w:p w14:paraId="26A772B7" w14:textId="77777777" w:rsidR="00322D95" w:rsidRPr="006D5026" w:rsidRDefault="00322D95" w:rsidP="00446CF4">
            <w:pPr>
              <w:rPr>
                <w:szCs w:val="24"/>
              </w:rPr>
            </w:pPr>
          </w:p>
        </w:tc>
        <w:tc>
          <w:tcPr>
            <w:tcW w:w="3215" w:type="dxa"/>
          </w:tcPr>
          <w:p w14:paraId="00E892BA" w14:textId="77777777" w:rsidR="00322D95" w:rsidRPr="006D5026" w:rsidRDefault="00322D95" w:rsidP="00446CF4">
            <w:pPr>
              <w:rPr>
                <w:szCs w:val="24"/>
              </w:rPr>
            </w:pPr>
          </w:p>
        </w:tc>
      </w:tr>
      <w:tr w:rsidR="00322D95" w:rsidRPr="006D5026" w14:paraId="74856641" w14:textId="77777777" w:rsidTr="00446CF4">
        <w:tc>
          <w:tcPr>
            <w:tcW w:w="990" w:type="dxa"/>
          </w:tcPr>
          <w:p w14:paraId="05D68573" w14:textId="3DDAA64C" w:rsidR="00322D95" w:rsidRPr="006D5026" w:rsidRDefault="00322D95" w:rsidP="00446CF4">
            <w:pPr>
              <w:jc w:val="center"/>
              <w:rPr>
                <w:szCs w:val="24"/>
              </w:rPr>
            </w:pPr>
            <w:r w:rsidRPr="006D5026">
              <w:rPr>
                <w:szCs w:val="24"/>
              </w:rPr>
              <w:t>1</w:t>
            </w:r>
            <w:r w:rsidR="002C7F7C">
              <w:rPr>
                <w:szCs w:val="24"/>
              </w:rPr>
              <w:t>1</w:t>
            </w:r>
            <w:r w:rsidRPr="006D5026">
              <w:rPr>
                <w:szCs w:val="24"/>
              </w:rPr>
              <w:t>.</w:t>
            </w:r>
          </w:p>
        </w:tc>
        <w:tc>
          <w:tcPr>
            <w:tcW w:w="3364" w:type="dxa"/>
          </w:tcPr>
          <w:p w14:paraId="11CA34B8" w14:textId="38A7F560" w:rsidR="00322D95" w:rsidRPr="006D5026" w:rsidRDefault="002610A6" w:rsidP="00446CF4">
            <w:pPr>
              <w:jc w:val="both"/>
              <w:rPr>
                <w:szCs w:val="24"/>
              </w:rPr>
            </w:pPr>
            <w:r>
              <w:rPr>
                <w:bCs/>
                <w:szCs w:val="24"/>
              </w:rPr>
              <w:t>Pranešimai operatoriui apie analizatoriaus būklę</w:t>
            </w:r>
          </w:p>
        </w:tc>
        <w:tc>
          <w:tcPr>
            <w:tcW w:w="5110" w:type="dxa"/>
          </w:tcPr>
          <w:p w14:paraId="63B29A69" w14:textId="77777777" w:rsidR="002610A6" w:rsidRDefault="002610A6" w:rsidP="00446CF4">
            <w:pPr>
              <w:jc w:val="both"/>
              <w:rPr>
                <w:szCs w:val="24"/>
              </w:rPr>
            </w:pPr>
            <w:r>
              <w:rPr>
                <w:szCs w:val="24"/>
              </w:rPr>
              <w:t>Pranešimai apie tyrimo eigą, sutrikimus.</w:t>
            </w:r>
          </w:p>
          <w:p w14:paraId="00F5C941" w14:textId="796D6216" w:rsidR="00322D95" w:rsidRPr="006D5026" w:rsidRDefault="002610A6" w:rsidP="00446CF4">
            <w:pPr>
              <w:jc w:val="both"/>
              <w:rPr>
                <w:szCs w:val="24"/>
              </w:rPr>
            </w:pPr>
            <w:r>
              <w:rPr>
                <w:szCs w:val="24"/>
              </w:rPr>
              <w:lastRenderedPageBreak/>
              <w:t>Reagentų kiekio stebėjimas, galiojimo datos sekimas.</w:t>
            </w:r>
            <w:r w:rsidR="000A37DC">
              <w:rPr>
                <w:szCs w:val="24"/>
              </w:rPr>
              <w:t xml:space="preserve"> </w:t>
            </w:r>
          </w:p>
        </w:tc>
        <w:tc>
          <w:tcPr>
            <w:tcW w:w="2880" w:type="dxa"/>
          </w:tcPr>
          <w:p w14:paraId="7036860C" w14:textId="77777777" w:rsidR="00322D95" w:rsidRPr="006D5026" w:rsidRDefault="00322D95" w:rsidP="00446CF4">
            <w:pPr>
              <w:rPr>
                <w:szCs w:val="24"/>
              </w:rPr>
            </w:pPr>
          </w:p>
        </w:tc>
        <w:tc>
          <w:tcPr>
            <w:tcW w:w="3215" w:type="dxa"/>
          </w:tcPr>
          <w:p w14:paraId="76C1667B" w14:textId="77777777" w:rsidR="00322D95" w:rsidRPr="006D5026" w:rsidRDefault="00322D95" w:rsidP="00446CF4">
            <w:pPr>
              <w:rPr>
                <w:szCs w:val="24"/>
              </w:rPr>
            </w:pPr>
          </w:p>
        </w:tc>
      </w:tr>
    </w:tbl>
    <w:p w14:paraId="3A9A41A1" w14:textId="77777777" w:rsidR="00322D95" w:rsidRPr="006D5026" w:rsidRDefault="00322D95" w:rsidP="00322D95">
      <w:pPr>
        <w:spacing w:line="276" w:lineRule="auto"/>
        <w:ind w:left="-851"/>
        <w:jc w:val="both"/>
        <w:rPr>
          <w:b/>
          <w:szCs w:val="24"/>
        </w:rPr>
      </w:pPr>
    </w:p>
    <w:p w14:paraId="4AD48E1C" w14:textId="3C2DAF0F" w:rsidR="00322D95" w:rsidRPr="006D5026" w:rsidRDefault="00322D95" w:rsidP="00860B09">
      <w:pPr>
        <w:spacing w:line="276" w:lineRule="auto"/>
        <w:ind w:firstLine="567"/>
        <w:jc w:val="both"/>
        <w:rPr>
          <w:b/>
          <w:szCs w:val="24"/>
        </w:rPr>
      </w:pPr>
      <w:r w:rsidRPr="006D5026">
        <w:rPr>
          <w:b/>
          <w:szCs w:val="24"/>
        </w:rPr>
        <w:t>Bendrieji reikalavimai</w:t>
      </w:r>
      <w:r w:rsidR="00A37D0C">
        <w:rPr>
          <w:b/>
          <w:szCs w:val="24"/>
        </w:rPr>
        <w:t xml:space="preserve"> įrangai</w:t>
      </w:r>
      <w:r w:rsidRPr="006D5026">
        <w:rPr>
          <w:b/>
          <w:szCs w:val="24"/>
        </w:rPr>
        <w:t>:</w:t>
      </w:r>
    </w:p>
    <w:p w14:paraId="74014EA6" w14:textId="2BDDE201" w:rsidR="00AF0372" w:rsidRPr="00895519" w:rsidRDefault="00B023D3" w:rsidP="00895519">
      <w:pPr>
        <w:pStyle w:val="Sraopastraipa"/>
        <w:numPr>
          <w:ilvl w:val="0"/>
          <w:numId w:val="10"/>
        </w:numPr>
        <w:tabs>
          <w:tab w:val="left" w:pos="851"/>
        </w:tabs>
        <w:ind w:left="0" w:firstLine="567"/>
        <w:jc w:val="both"/>
        <w:rPr>
          <w:szCs w:val="24"/>
        </w:rPr>
      </w:pPr>
      <w:r w:rsidRPr="00895519">
        <w:rPr>
          <w:szCs w:val="24"/>
        </w:rPr>
        <w:t xml:space="preserve">Su analizatoriaus pristatymu </w:t>
      </w:r>
      <w:proofErr w:type="spellStart"/>
      <w:r w:rsidRPr="00895519">
        <w:rPr>
          <w:szCs w:val="24"/>
        </w:rPr>
        <w:t>teiktinų</w:t>
      </w:r>
      <w:proofErr w:type="spellEnd"/>
      <w:r w:rsidRPr="00895519">
        <w:rPr>
          <w:szCs w:val="24"/>
        </w:rPr>
        <w:t xml:space="preserve"> paslaugų pobūdis: transportavimas, iškrovimas, išpakavimas, tikrinimas, panaudai perduotos ir pristatytos įrangos surinkimas, sumontavimas, įdiegimas Pirkėjo nurodytu adresu, integravimas į Pirkėjo naudojamą informacinę medicininę sistemą, įrangos paruošimas darbui ir suderinimas, išbandymas, metodų verifikavimas, medicinos prietaiso paso užpildymas, Pirkėjo personalo apmokymas dirbti su įranga, konsultacijų, susijusių su įrangos naudojimu, teikimas lietuvių kalba</w:t>
      </w:r>
      <w:r w:rsidR="0059610B">
        <w:rPr>
          <w:szCs w:val="24"/>
        </w:rPr>
        <w:t>.</w:t>
      </w:r>
    </w:p>
    <w:p w14:paraId="29439848" w14:textId="576B4092" w:rsidR="00322D95" w:rsidRDefault="00B4495A">
      <w:pPr>
        <w:tabs>
          <w:tab w:val="left" w:pos="993"/>
        </w:tabs>
        <w:ind w:firstLine="567"/>
        <w:jc w:val="both"/>
      </w:pPr>
      <w:r>
        <w:rPr>
          <w:szCs w:val="24"/>
        </w:rPr>
        <w:t>2</w:t>
      </w:r>
      <w:r w:rsidR="00E3473A">
        <w:rPr>
          <w:szCs w:val="24"/>
        </w:rPr>
        <w:t xml:space="preserve">. </w:t>
      </w:r>
      <w:r w:rsidR="00895519" w:rsidRPr="00895519">
        <w:rPr>
          <w:b/>
          <w:bCs/>
          <w:szCs w:val="24"/>
        </w:rPr>
        <w:t xml:space="preserve">Kartu su pasiūlymu turi būti pateikti dokumentai, įrodantys įrangos atitikimą šioje specifikacijoje nurodytiems parametrams. </w:t>
      </w:r>
      <w:r w:rsidR="00895519" w:rsidRPr="00895519">
        <w:rPr>
          <w:szCs w:val="24"/>
        </w:rPr>
        <w:t>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šioje specifikacijoje nurodytiems parametrams, bus pateikti anglų kalba, tai jų vertimas į lietuvių kalbą nebūtinas.</w:t>
      </w:r>
    </w:p>
    <w:p w14:paraId="28D94DE1" w14:textId="685645C7" w:rsidR="00004197" w:rsidRPr="00AA3A78" w:rsidRDefault="00FD0140" w:rsidP="008B52B4">
      <w:pPr>
        <w:pStyle w:val="Sraopastraipa"/>
        <w:numPr>
          <w:ilvl w:val="0"/>
          <w:numId w:val="9"/>
        </w:numPr>
        <w:tabs>
          <w:tab w:val="left" w:pos="851"/>
        </w:tabs>
        <w:ind w:left="0" w:firstLine="567"/>
        <w:jc w:val="both"/>
        <w:rPr>
          <w:szCs w:val="24"/>
        </w:rPr>
      </w:pPr>
      <w:r w:rsidRPr="00AA3A78">
        <w:rPr>
          <w:szCs w:val="24"/>
        </w:rPr>
        <w:t>Siūlom</w:t>
      </w:r>
      <w:r>
        <w:rPr>
          <w:szCs w:val="24"/>
        </w:rPr>
        <w:t>a įranga</w:t>
      </w:r>
      <w:r w:rsidRPr="00AA3A78">
        <w:rPr>
          <w:szCs w:val="24"/>
        </w:rPr>
        <w:t xml:space="preserve"> </w:t>
      </w:r>
      <w:r w:rsidR="00004197" w:rsidRPr="00AA3A78">
        <w:rPr>
          <w:szCs w:val="24"/>
        </w:rPr>
        <w:t xml:space="preserve">turi būti ženklinta CE ženklu ir turėti galiojantį CE sertifikatą arba EB atitikties deklaraciją pagal Europos Parlamento ir Tarybos Direktyvos 98/78/EB dėl </w:t>
      </w:r>
      <w:proofErr w:type="spellStart"/>
      <w:r w:rsidR="00004197" w:rsidRPr="00AA3A78">
        <w:rPr>
          <w:szCs w:val="24"/>
        </w:rPr>
        <w:t>in</w:t>
      </w:r>
      <w:proofErr w:type="spellEnd"/>
      <w:r w:rsidR="00004197" w:rsidRPr="00AA3A78">
        <w:rPr>
          <w:szCs w:val="24"/>
        </w:rPr>
        <w:t xml:space="preserve"> </w:t>
      </w:r>
      <w:proofErr w:type="spellStart"/>
      <w:r w:rsidR="00004197" w:rsidRPr="00AA3A78">
        <w:rPr>
          <w:szCs w:val="24"/>
        </w:rPr>
        <w:t>vitro</w:t>
      </w:r>
      <w:proofErr w:type="spellEnd"/>
      <w:r w:rsidR="00004197" w:rsidRPr="00AA3A78">
        <w:rPr>
          <w:szCs w:val="24"/>
        </w:rPr>
        <w:t xml:space="preserve"> diagnostikos medicinos prietaisų nuostatas arba pagal Europos Parlamento ir Tarybos Reglamento (ES) 2017/746 nuostatas.</w:t>
      </w:r>
      <w:r w:rsidR="00004197">
        <w:rPr>
          <w:szCs w:val="24"/>
        </w:rPr>
        <w:t xml:space="preserve"> Kartu su pasiūlymu t</w:t>
      </w:r>
      <w:r w:rsidR="00004197" w:rsidRPr="00AA3A78">
        <w:rPr>
          <w:szCs w:val="24"/>
        </w:rPr>
        <w:t>uri būti pateikiami anglų ir lietuvių kalba.</w:t>
      </w:r>
    </w:p>
    <w:p w14:paraId="322F9856" w14:textId="644A88B0" w:rsidR="00E105F6" w:rsidRPr="000B7883" w:rsidRDefault="00B4495A" w:rsidP="0093223F">
      <w:pPr>
        <w:tabs>
          <w:tab w:val="left" w:pos="993"/>
        </w:tabs>
        <w:ind w:firstLine="567"/>
        <w:jc w:val="both"/>
        <w:rPr>
          <w:i/>
          <w:iCs/>
          <w:szCs w:val="24"/>
        </w:rPr>
      </w:pPr>
      <w:r>
        <w:rPr>
          <w:szCs w:val="24"/>
        </w:rPr>
        <w:t>4</w:t>
      </w:r>
      <w:r w:rsidR="00E94620">
        <w:rPr>
          <w:szCs w:val="24"/>
        </w:rPr>
        <w:t xml:space="preserve">. </w:t>
      </w:r>
      <w:r w:rsidR="00322D95" w:rsidRPr="006D5026">
        <w:rPr>
          <w:szCs w:val="24"/>
        </w:rPr>
        <w:t>Kartu su įranga pristatoma: nepertraukiamo maitinimo šaltinis (-</w:t>
      </w:r>
      <w:proofErr w:type="spellStart"/>
      <w:r w:rsidR="00322D95" w:rsidRPr="006D5026">
        <w:rPr>
          <w:szCs w:val="24"/>
        </w:rPr>
        <w:t>iai</w:t>
      </w:r>
      <w:proofErr w:type="spellEnd"/>
      <w:r w:rsidR="00322D95" w:rsidRPr="006D5026">
        <w:rPr>
          <w:szCs w:val="24"/>
        </w:rPr>
        <w:t>)</w:t>
      </w:r>
      <w:r w:rsidR="00F67D1B">
        <w:rPr>
          <w:szCs w:val="24"/>
        </w:rPr>
        <w:t xml:space="preserve"> </w:t>
      </w:r>
      <w:r w:rsidR="00F67D1B" w:rsidRPr="000B7883">
        <w:rPr>
          <w:i/>
          <w:iCs/>
          <w:szCs w:val="24"/>
        </w:rPr>
        <w:t>(</w:t>
      </w:r>
      <w:r w:rsidR="003F7EF9">
        <w:rPr>
          <w:i/>
          <w:iCs/>
          <w:szCs w:val="24"/>
        </w:rPr>
        <w:t xml:space="preserve">papildomas </w:t>
      </w:r>
      <w:r w:rsidR="00F67D1B" w:rsidRPr="000B7883">
        <w:rPr>
          <w:i/>
          <w:iCs/>
          <w:szCs w:val="24"/>
        </w:rPr>
        <w:t>B</w:t>
      </w:r>
      <w:r w:rsidR="00ED1D73" w:rsidRPr="000B7883">
        <w:rPr>
          <w:i/>
          <w:iCs/>
          <w:szCs w:val="24"/>
        </w:rPr>
        <w:t>VPŽ kodas 31154000-0</w:t>
      </w:r>
      <w:r w:rsidR="00597D85">
        <w:rPr>
          <w:i/>
          <w:iCs/>
          <w:szCs w:val="24"/>
        </w:rPr>
        <w:t xml:space="preserve"> </w:t>
      </w:r>
      <w:r w:rsidR="00597D85" w:rsidRPr="00597D85">
        <w:rPr>
          <w:i/>
          <w:iCs/>
          <w:szCs w:val="24"/>
        </w:rPr>
        <w:t>Nenutrūkstamojo maitinimo šaltiniai</w:t>
      </w:r>
      <w:r w:rsidR="00ED1D73" w:rsidRPr="000B7883">
        <w:rPr>
          <w:i/>
          <w:iCs/>
          <w:szCs w:val="24"/>
        </w:rPr>
        <w:t>)</w:t>
      </w:r>
      <w:r w:rsidR="00322D95" w:rsidRPr="000B7883">
        <w:rPr>
          <w:i/>
          <w:iCs/>
          <w:szCs w:val="24"/>
        </w:rPr>
        <w:t>,</w:t>
      </w:r>
      <w:r w:rsidR="00322D95" w:rsidRPr="006D5026">
        <w:rPr>
          <w:szCs w:val="24"/>
        </w:rPr>
        <w:t xml:space="preserve"> spausdintuvas, reikalinga programinė įranga </w:t>
      </w:r>
      <w:r w:rsidR="004401D8" w:rsidRPr="000B7883">
        <w:rPr>
          <w:i/>
          <w:iCs/>
          <w:szCs w:val="24"/>
        </w:rPr>
        <w:t>(BVPŽ kodas 48900000-7</w:t>
      </w:r>
      <w:r w:rsidR="007A6702">
        <w:rPr>
          <w:i/>
          <w:iCs/>
          <w:szCs w:val="24"/>
        </w:rPr>
        <w:t xml:space="preserve"> </w:t>
      </w:r>
      <w:r w:rsidR="0093223F" w:rsidRPr="0093223F">
        <w:rPr>
          <w:i/>
          <w:iCs/>
          <w:szCs w:val="24"/>
        </w:rPr>
        <w:t>Įvairūs programinės įrangos paketai ir kompiuterių sistemos</w:t>
      </w:r>
      <w:r w:rsidR="004401D8" w:rsidRPr="000B7883">
        <w:rPr>
          <w:i/>
          <w:iCs/>
          <w:szCs w:val="24"/>
        </w:rPr>
        <w:t>)</w:t>
      </w:r>
      <w:r w:rsidR="004401D8">
        <w:rPr>
          <w:szCs w:val="24"/>
        </w:rPr>
        <w:t xml:space="preserve"> </w:t>
      </w:r>
      <w:r w:rsidR="00322D95" w:rsidRPr="006D5026">
        <w:rPr>
          <w:szCs w:val="24"/>
        </w:rPr>
        <w:t>ir kt. Jeigu įranga valdoma išorinio kompiuterio pagalba, pristatomas (komplektuojamas) su kompiuteriu</w:t>
      </w:r>
      <w:r w:rsidR="00706DB0">
        <w:rPr>
          <w:szCs w:val="24"/>
        </w:rPr>
        <w:t xml:space="preserve"> </w:t>
      </w:r>
      <w:r w:rsidR="00706DB0" w:rsidRPr="000B7883">
        <w:rPr>
          <w:i/>
          <w:iCs/>
          <w:szCs w:val="24"/>
        </w:rPr>
        <w:t>(BVPŽ kodas 30211200-3</w:t>
      </w:r>
      <w:r w:rsidR="00B7047D">
        <w:rPr>
          <w:i/>
          <w:iCs/>
          <w:szCs w:val="24"/>
        </w:rPr>
        <w:t xml:space="preserve"> </w:t>
      </w:r>
      <w:r w:rsidR="007A6702" w:rsidRPr="007A6702">
        <w:rPr>
          <w:i/>
          <w:iCs/>
          <w:szCs w:val="24"/>
        </w:rPr>
        <w:t>Pagrindinė techninė kompiuterio įranga</w:t>
      </w:r>
      <w:r w:rsidR="00706DB0" w:rsidRPr="000B7883">
        <w:rPr>
          <w:i/>
          <w:iCs/>
          <w:szCs w:val="24"/>
        </w:rPr>
        <w:t>)</w:t>
      </w:r>
      <w:r w:rsidR="00322D95" w:rsidRPr="000B7883">
        <w:rPr>
          <w:i/>
          <w:iCs/>
          <w:szCs w:val="24"/>
        </w:rPr>
        <w:t>.</w:t>
      </w:r>
      <w:r w:rsidR="004D3FB3">
        <w:rPr>
          <w:szCs w:val="24"/>
        </w:rPr>
        <w:t xml:space="preserve"> </w:t>
      </w:r>
      <w:r w:rsidR="00322D95" w:rsidRPr="006D5026">
        <w:rPr>
          <w:szCs w:val="24"/>
        </w:rPr>
        <w:t>Priemonės tyrimų protokolų spausdinimui ar kitos kanceliarinės prekės (pvz. kasetės į spausdintuvus) nėra vertinamos, kaip priemonės būtinos kokybiškam tyrimų atlikimui, jas tiekėjai privalės tiekti nemokamai.</w:t>
      </w:r>
    </w:p>
    <w:p w14:paraId="098A43CB" w14:textId="3B8BEE39" w:rsidR="00322D95" w:rsidRPr="006D5026" w:rsidRDefault="00B4495A" w:rsidP="001E4F9B">
      <w:pPr>
        <w:ind w:firstLine="567"/>
        <w:jc w:val="both"/>
        <w:rPr>
          <w:szCs w:val="24"/>
        </w:rPr>
      </w:pPr>
      <w:r>
        <w:rPr>
          <w:szCs w:val="24"/>
        </w:rPr>
        <w:t>5</w:t>
      </w:r>
      <w:r w:rsidR="00322D95" w:rsidRPr="006D5026">
        <w:rPr>
          <w:szCs w:val="24"/>
        </w:rPr>
        <w:t xml:space="preserve">. Visą sutarties galiojimo laikotarpį tiekėjas įsipareigoja teikti nemokamą kvalifikuotų specialistų konsultaciją ir pagalbą visais klausimais, susijusiais su teikiamų prekių ir įrangos kokybišku darbu. </w:t>
      </w:r>
    </w:p>
    <w:p w14:paraId="0A49110D" w14:textId="77777777" w:rsidR="00322D95" w:rsidRDefault="00322D95" w:rsidP="00112F4C">
      <w:pPr>
        <w:ind w:left="-851"/>
        <w:jc w:val="both"/>
        <w:rPr>
          <w:szCs w:val="24"/>
        </w:rPr>
      </w:pPr>
    </w:p>
    <w:p w14:paraId="66DA515F" w14:textId="5C6DA08F" w:rsidR="00D010B6" w:rsidRDefault="00D010B6" w:rsidP="001E4F9B">
      <w:pPr>
        <w:ind w:firstLine="567"/>
        <w:jc w:val="both"/>
        <w:rPr>
          <w:b/>
          <w:szCs w:val="24"/>
        </w:rPr>
      </w:pPr>
      <w:r w:rsidRPr="006D5026">
        <w:rPr>
          <w:b/>
          <w:szCs w:val="24"/>
        </w:rPr>
        <w:t>Bendrieji reikalavimai</w:t>
      </w:r>
      <w:r w:rsidR="00660B81">
        <w:rPr>
          <w:b/>
          <w:szCs w:val="24"/>
        </w:rPr>
        <w:t xml:space="preserve"> </w:t>
      </w:r>
      <w:r w:rsidR="00B7047D" w:rsidRPr="00392DDB">
        <w:rPr>
          <w:b/>
          <w:szCs w:val="24"/>
        </w:rPr>
        <w:t>diagnostikos reagent</w:t>
      </w:r>
      <w:r w:rsidR="00B7047D">
        <w:rPr>
          <w:b/>
          <w:szCs w:val="24"/>
        </w:rPr>
        <w:t>am</w:t>
      </w:r>
      <w:r w:rsidR="00B7047D" w:rsidRPr="00392DDB">
        <w:rPr>
          <w:b/>
          <w:szCs w:val="24"/>
        </w:rPr>
        <w:t>s, papildom</w:t>
      </w:r>
      <w:r w:rsidR="00B7047D">
        <w:rPr>
          <w:b/>
          <w:szCs w:val="24"/>
        </w:rPr>
        <w:t>oms</w:t>
      </w:r>
      <w:r w:rsidR="00B7047D" w:rsidRPr="00392DDB">
        <w:rPr>
          <w:b/>
          <w:szCs w:val="24"/>
        </w:rPr>
        <w:t xml:space="preserve"> medžiag</w:t>
      </w:r>
      <w:r w:rsidR="00B7047D">
        <w:rPr>
          <w:b/>
          <w:szCs w:val="24"/>
        </w:rPr>
        <w:t>oms</w:t>
      </w:r>
      <w:r w:rsidR="00B7047D" w:rsidRPr="00392DDB">
        <w:rPr>
          <w:b/>
          <w:szCs w:val="24"/>
        </w:rPr>
        <w:t>, kontrolin</w:t>
      </w:r>
      <w:r w:rsidR="008400C8">
        <w:rPr>
          <w:b/>
          <w:szCs w:val="24"/>
        </w:rPr>
        <w:t>ėms</w:t>
      </w:r>
      <w:r w:rsidR="00B7047D" w:rsidRPr="00392DDB">
        <w:rPr>
          <w:b/>
          <w:szCs w:val="24"/>
        </w:rPr>
        <w:t xml:space="preserve"> medžiag</w:t>
      </w:r>
      <w:r w:rsidR="008400C8">
        <w:rPr>
          <w:b/>
          <w:szCs w:val="24"/>
        </w:rPr>
        <w:t>oms,</w:t>
      </w:r>
      <w:r w:rsidR="00B7047D" w:rsidRPr="00392DDB">
        <w:rPr>
          <w:b/>
          <w:szCs w:val="24"/>
        </w:rPr>
        <w:t xml:space="preserve"> </w:t>
      </w:r>
      <w:proofErr w:type="spellStart"/>
      <w:r w:rsidR="00B7047D" w:rsidRPr="00392DDB">
        <w:rPr>
          <w:b/>
          <w:szCs w:val="24"/>
        </w:rPr>
        <w:t>kalibratori</w:t>
      </w:r>
      <w:r w:rsidR="008400C8">
        <w:rPr>
          <w:b/>
          <w:szCs w:val="24"/>
        </w:rPr>
        <w:t>ams</w:t>
      </w:r>
      <w:proofErr w:type="spellEnd"/>
      <w:r w:rsidR="008400C8">
        <w:rPr>
          <w:b/>
          <w:szCs w:val="24"/>
        </w:rPr>
        <w:t xml:space="preserve"> ir pan.</w:t>
      </w:r>
      <w:r w:rsidR="00B7047D">
        <w:rPr>
          <w:b/>
          <w:szCs w:val="24"/>
        </w:rPr>
        <w:t xml:space="preserve"> </w:t>
      </w:r>
      <w:r w:rsidR="008400C8">
        <w:rPr>
          <w:b/>
          <w:szCs w:val="24"/>
        </w:rPr>
        <w:t xml:space="preserve">(toliau – </w:t>
      </w:r>
      <w:r w:rsidR="00660B81">
        <w:rPr>
          <w:b/>
          <w:szCs w:val="24"/>
        </w:rPr>
        <w:t>prekės</w:t>
      </w:r>
      <w:r w:rsidR="008400C8">
        <w:rPr>
          <w:b/>
          <w:szCs w:val="24"/>
        </w:rPr>
        <w:t>)</w:t>
      </w:r>
      <w:r w:rsidRPr="006D5026">
        <w:rPr>
          <w:b/>
          <w:szCs w:val="24"/>
        </w:rPr>
        <w:t>:</w:t>
      </w:r>
    </w:p>
    <w:p w14:paraId="1ECC6438" w14:textId="77777777" w:rsidR="004B258B" w:rsidRDefault="001B3F96">
      <w:pPr>
        <w:pStyle w:val="Sraopastraipa"/>
        <w:numPr>
          <w:ilvl w:val="0"/>
          <w:numId w:val="4"/>
        </w:numPr>
        <w:tabs>
          <w:tab w:val="left" w:pos="851"/>
        </w:tabs>
        <w:ind w:left="0" w:firstLine="567"/>
        <w:jc w:val="both"/>
        <w:rPr>
          <w:bCs/>
          <w:szCs w:val="24"/>
        </w:rPr>
      </w:pPr>
      <w:r w:rsidRPr="001B3F96">
        <w:rPr>
          <w:bCs/>
          <w:szCs w:val="24"/>
        </w:rPr>
        <w:t xml:space="preserve">Perkami tyrimai. Tiekėjas privalo įvertinti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w:t>
      </w:r>
      <w:proofErr w:type="spellStart"/>
      <w:r w:rsidRPr="001B3F96">
        <w:rPr>
          <w:bCs/>
          <w:szCs w:val="24"/>
        </w:rPr>
        <w:t>kalibratorius</w:t>
      </w:r>
      <w:proofErr w:type="spellEnd"/>
      <w:r w:rsidRPr="001B3F96">
        <w:rPr>
          <w:bCs/>
          <w:szCs w:val="24"/>
        </w:rPr>
        <w:t xml:space="preserve">, priešingu atveju, tai bus laikoma esminiu pirkimo sutarties pažeidimu, ir Pirkėjas įgys teisę nutraukti pirkimo sutartį. </w:t>
      </w:r>
    </w:p>
    <w:p w14:paraId="75BD80D9" w14:textId="048FE18C" w:rsidR="0023503D" w:rsidRDefault="0023503D" w:rsidP="001E4F9B">
      <w:pPr>
        <w:pStyle w:val="Sraopastraipa"/>
        <w:numPr>
          <w:ilvl w:val="0"/>
          <w:numId w:val="4"/>
        </w:numPr>
        <w:tabs>
          <w:tab w:val="left" w:pos="851"/>
        </w:tabs>
        <w:ind w:left="0" w:firstLine="567"/>
        <w:jc w:val="both"/>
        <w:rPr>
          <w:bCs/>
          <w:szCs w:val="24"/>
        </w:rPr>
      </w:pPr>
      <w:r w:rsidRPr="0023503D">
        <w:rPr>
          <w:bCs/>
          <w:szCs w:val="24"/>
        </w:rPr>
        <w:t>Jeigu reagentai ir papildomos priemonės pagaminti kito gamintojo negu siūloma įranga, tiekėjas privalo kartu su pasiūlymu pateikti įrangos gamintojo patvirtinimą, kad siūlomi reagentai yra adaptuoti šiai įrangai ir atitinka visus kalibravimo ir kokybės parametrus.</w:t>
      </w:r>
    </w:p>
    <w:p w14:paraId="519D5EF1" w14:textId="32106502" w:rsidR="004E3121" w:rsidRPr="005F17C6" w:rsidRDefault="004E3121" w:rsidP="001E4F9B">
      <w:pPr>
        <w:pStyle w:val="Sraopastraipa"/>
        <w:numPr>
          <w:ilvl w:val="0"/>
          <w:numId w:val="4"/>
        </w:numPr>
        <w:tabs>
          <w:tab w:val="left" w:pos="851"/>
        </w:tabs>
        <w:ind w:left="0" w:firstLine="567"/>
        <w:jc w:val="both"/>
        <w:rPr>
          <w:szCs w:val="24"/>
        </w:rPr>
      </w:pPr>
      <w:r w:rsidRPr="004E3121">
        <w:rPr>
          <w:szCs w:val="24"/>
        </w:rPr>
        <w:lastRenderedPageBreak/>
        <w:t xml:space="preserve">Tiekėjas, skaičiuodamas šioje specifikacijoje nurodytam preliminariam tyrimų kiekiui atlikti reikalingus diagnostikos reagentus, papildomas medžiagas, kontrolines medžiagas (ne mažiau dviejų lygių) ir </w:t>
      </w:r>
      <w:proofErr w:type="spellStart"/>
      <w:r w:rsidRPr="004E3121">
        <w:rPr>
          <w:szCs w:val="24"/>
        </w:rPr>
        <w:t>kalibratorius</w:t>
      </w:r>
      <w:proofErr w:type="spellEnd"/>
      <w:r w:rsidRPr="004E3121">
        <w:rPr>
          <w:szCs w:val="24"/>
        </w:rPr>
        <w:t xml:space="preserve">, privalo įvertinti taip, kad nurodyti diagnostikos reagentai, papildomos medžiagos, kontrolinės medžiagos ir </w:t>
      </w:r>
      <w:proofErr w:type="spellStart"/>
      <w:r w:rsidRPr="004E3121">
        <w:rPr>
          <w:szCs w:val="24"/>
        </w:rPr>
        <w:t>kalibratoriai</w:t>
      </w:r>
      <w:proofErr w:type="spellEnd"/>
      <w:r w:rsidRPr="004E3121">
        <w:rPr>
          <w:szCs w:val="24"/>
        </w:rPr>
        <w:t xml:space="preserve"> bus naudojami, atsižvelgiant į gamintojo rekomendacijas, į nurodytą prekių galiojimo terminą atidarius diagnostikos reagentus, į stabilumo terminą (-</w:t>
      </w:r>
      <w:proofErr w:type="spellStart"/>
      <w:r w:rsidRPr="004E3121">
        <w:rPr>
          <w:szCs w:val="24"/>
        </w:rPr>
        <w:t>us</w:t>
      </w:r>
      <w:proofErr w:type="spellEnd"/>
      <w:r w:rsidRPr="004E3121">
        <w:rPr>
          <w:szCs w:val="24"/>
        </w:rPr>
        <w:t xml:space="preserve">) bei į tai, kad kiekvieną kartą, atliekant tyrimus bus naudojamos kontrolinės medžiagos ir/ar </w:t>
      </w:r>
      <w:proofErr w:type="spellStart"/>
      <w:r w:rsidRPr="004E3121">
        <w:rPr>
          <w:szCs w:val="24"/>
        </w:rPr>
        <w:t>kalibratoriai</w:t>
      </w:r>
      <w:proofErr w:type="spellEnd"/>
      <w:r w:rsidRPr="004E3121">
        <w:rPr>
          <w:szCs w:val="24"/>
        </w:rPr>
        <w:t xml:space="preserve"> ir gali būti atliekami pakartotiniai tyrimai, esant nepatikimiems rezultatams. </w:t>
      </w:r>
    </w:p>
    <w:p w14:paraId="301FCE41" w14:textId="77777777" w:rsidR="00322D95" w:rsidRPr="006D5026" w:rsidRDefault="00322D95" w:rsidP="00322D95">
      <w:pPr>
        <w:ind w:left="-851"/>
        <w:jc w:val="both"/>
        <w:rPr>
          <w:szCs w:val="24"/>
        </w:rPr>
      </w:pPr>
    </w:p>
    <w:tbl>
      <w:tblPr>
        <w:tblStyle w:val="Lentelstinklelis"/>
        <w:tblW w:w="0" w:type="auto"/>
        <w:jc w:val="center"/>
        <w:tblLook w:val="04A0" w:firstRow="1" w:lastRow="0" w:firstColumn="1" w:lastColumn="0" w:noHBand="0" w:noVBand="1"/>
      </w:tblPr>
      <w:tblGrid>
        <w:gridCol w:w="2122"/>
        <w:gridCol w:w="4252"/>
        <w:gridCol w:w="3119"/>
      </w:tblGrid>
      <w:tr w:rsidR="00F17424" w14:paraId="56DEF863" w14:textId="77777777" w:rsidTr="001E4F9B">
        <w:trPr>
          <w:jc w:val="center"/>
        </w:trPr>
        <w:tc>
          <w:tcPr>
            <w:tcW w:w="2122" w:type="dxa"/>
          </w:tcPr>
          <w:p w14:paraId="394E01E8" w14:textId="6709ADD6" w:rsidR="00F17424" w:rsidRPr="001E4F9B" w:rsidRDefault="00F17424" w:rsidP="001E4F9B">
            <w:pPr>
              <w:jc w:val="center"/>
              <w:rPr>
                <w:b/>
                <w:bCs/>
                <w:szCs w:val="24"/>
              </w:rPr>
            </w:pPr>
            <w:r w:rsidRPr="001E4F9B">
              <w:rPr>
                <w:b/>
                <w:bCs/>
                <w:szCs w:val="24"/>
              </w:rPr>
              <w:t>Nr.</w:t>
            </w:r>
          </w:p>
        </w:tc>
        <w:tc>
          <w:tcPr>
            <w:tcW w:w="4252" w:type="dxa"/>
          </w:tcPr>
          <w:p w14:paraId="00ABE1A6" w14:textId="5432C0B6" w:rsidR="00F17424" w:rsidRPr="001E4F9B" w:rsidRDefault="005E2DDE" w:rsidP="001E4F9B">
            <w:pPr>
              <w:jc w:val="center"/>
              <w:rPr>
                <w:b/>
                <w:bCs/>
                <w:szCs w:val="24"/>
              </w:rPr>
            </w:pPr>
            <w:r>
              <w:rPr>
                <w:b/>
                <w:bCs/>
                <w:szCs w:val="24"/>
              </w:rPr>
              <w:t>Tyrimo pavadinimas (aprašymas)</w:t>
            </w:r>
          </w:p>
        </w:tc>
        <w:tc>
          <w:tcPr>
            <w:tcW w:w="3119" w:type="dxa"/>
          </w:tcPr>
          <w:p w14:paraId="5CFC51E7" w14:textId="62704563" w:rsidR="00F17424" w:rsidRPr="001E4F9B" w:rsidRDefault="005E2DDE" w:rsidP="001E4F9B">
            <w:pPr>
              <w:jc w:val="center"/>
              <w:rPr>
                <w:b/>
                <w:bCs/>
                <w:szCs w:val="24"/>
              </w:rPr>
            </w:pPr>
            <w:r>
              <w:rPr>
                <w:b/>
                <w:bCs/>
                <w:szCs w:val="24"/>
              </w:rPr>
              <w:t xml:space="preserve">Preliminarus </w:t>
            </w:r>
            <w:r w:rsidR="00B55236">
              <w:rPr>
                <w:b/>
                <w:bCs/>
                <w:szCs w:val="24"/>
              </w:rPr>
              <w:t>tyrimų skaičius per 36 mėn.</w:t>
            </w:r>
          </w:p>
        </w:tc>
      </w:tr>
      <w:tr w:rsidR="00F17424" w14:paraId="24CF78DC" w14:textId="77777777" w:rsidTr="001E4F9B">
        <w:trPr>
          <w:jc w:val="center"/>
        </w:trPr>
        <w:tc>
          <w:tcPr>
            <w:tcW w:w="2122" w:type="dxa"/>
          </w:tcPr>
          <w:p w14:paraId="42EBE1BB" w14:textId="3E1E8E5B" w:rsidR="00F17424" w:rsidRPr="001E4F9B" w:rsidRDefault="00B55236" w:rsidP="001E4F9B">
            <w:pPr>
              <w:jc w:val="center"/>
              <w:rPr>
                <w:i/>
                <w:iCs/>
                <w:szCs w:val="24"/>
              </w:rPr>
            </w:pPr>
            <w:r w:rsidRPr="001E4F9B">
              <w:rPr>
                <w:i/>
                <w:iCs/>
                <w:szCs w:val="24"/>
              </w:rPr>
              <w:t>1</w:t>
            </w:r>
          </w:p>
        </w:tc>
        <w:tc>
          <w:tcPr>
            <w:tcW w:w="4252" w:type="dxa"/>
          </w:tcPr>
          <w:p w14:paraId="6E3F8EC2" w14:textId="4829DCB5" w:rsidR="00F17424" w:rsidRPr="001E4F9B" w:rsidRDefault="00B55236" w:rsidP="001E4F9B">
            <w:pPr>
              <w:jc w:val="center"/>
              <w:rPr>
                <w:i/>
                <w:iCs/>
                <w:szCs w:val="24"/>
              </w:rPr>
            </w:pPr>
            <w:r w:rsidRPr="001E4F9B">
              <w:rPr>
                <w:i/>
                <w:iCs/>
                <w:szCs w:val="24"/>
              </w:rPr>
              <w:t>2</w:t>
            </w:r>
          </w:p>
        </w:tc>
        <w:tc>
          <w:tcPr>
            <w:tcW w:w="3119" w:type="dxa"/>
          </w:tcPr>
          <w:p w14:paraId="1754A1CA" w14:textId="7F0C97A9" w:rsidR="00F17424" w:rsidRPr="001E4F9B" w:rsidRDefault="00B55236" w:rsidP="001E4F9B">
            <w:pPr>
              <w:jc w:val="center"/>
              <w:rPr>
                <w:i/>
                <w:iCs/>
                <w:szCs w:val="24"/>
              </w:rPr>
            </w:pPr>
            <w:r w:rsidRPr="001E4F9B">
              <w:rPr>
                <w:i/>
                <w:iCs/>
                <w:szCs w:val="24"/>
              </w:rPr>
              <w:t>3</w:t>
            </w:r>
          </w:p>
        </w:tc>
      </w:tr>
      <w:tr w:rsidR="00F17424" w14:paraId="78C0B210" w14:textId="77777777" w:rsidTr="001E4F9B">
        <w:trPr>
          <w:jc w:val="center"/>
        </w:trPr>
        <w:tc>
          <w:tcPr>
            <w:tcW w:w="2122" w:type="dxa"/>
          </w:tcPr>
          <w:p w14:paraId="465C456C" w14:textId="7DB9295A" w:rsidR="00F17424" w:rsidRDefault="00B55236" w:rsidP="001E4F9B">
            <w:pPr>
              <w:rPr>
                <w:szCs w:val="24"/>
              </w:rPr>
            </w:pPr>
            <w:r>
              <w:rPr>
                <w:szCs w:val="24"/>
              </w:rPr>
              <w:t>1.</w:t>
            </w:r>
          </w:p>
        </w:tc>
        <w:tc>
          <w:tcPr>
            <w:tcW w:w="4252" w:type="dxa"/>
          </w:tcPr>
          <w:p w14:paraId="5CE00E3C" w14:textId="56FD54EA" w:rsidR="00F17424" w:rsidRDefault="00156D71" w:rsidP="00322D95">
            <w:pPr>
              <w:jc w:val="both"/>
              <w:rPr>
                <w:szCs w:val="24"/>
              </w:rPr>
            </w:pPr>
            <w:r w:rsidRPr="00156D71">
              <w:rPr>
                <w:szCs w:val="24"/>
              </w:rPr>
              <w:t>Bendras kraujo tyrimas</w:t>
            </w:r>
          </w:p>
        </w:tc>
        <w:tc>
          <w:tcPr>
            <w:tcW w:w="3119" w:type="dxa"/>
          </w:tcPr>
          <w:p w14:paraId="1A8EF103" w14:textId="374EBC8A" w:rsidR="00F17424" w:rsidRDefault="00156D71" w:rsidP="001E4F9B">
            <w:pPr>
              <w:jc w:val="center"/>
              <w:rPr>
                <w:szCs w:val="24"/>
              </w:rPr>
            </w:pPr>
            <w:r>
              <w:rPr>
                <w:szCs w:val="24"/>
              </w:rPr>
              <w:t>39 000</w:t>
            </w:r>
          </w:p>
        </w:tc>
      </w:tr>
    </w:tbl>
    <w:p w14:paraId="4AB1B9FB" w14:textId="77777777" w:rsidR="00322D95" w:rsidRPr="006D5026" w:rsidRDefault="00322D95" w:rsidP="00322D95">
      <w:pPr>
        <w:jc w:val="both"/>
        <w:rPr>
          <w:szCs w:val="24"/>
        </w:rPr>
      </w:pPr>
    </w:p>
    <w:p w14:paraId="658A5F6B" w14:textId="4B353BDC" w:rsidR="00A00913" w:rsidRDefault="00E03EA9" w:rsidP="001E4F9B">
      <w:pPr>
        <w:jc w:val="center"/>
      </w:pPr>
      <w:r>
        <w:t>____________________</w:t>
      </w:r>
    </w:p>
    <w:sectPr w:rsidR="00A00913" w:rsidSect="001E4F9B">
      <w:pgSz w:w="16838" w:h="11906" w:orient="landscape"/>
      <w:pgMar w:top="1701" w:right="1103"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54C0" w14:textId="77777777" w:rsidR="00602915" w:rsidRDefault="00602915" w:rsidP="00A568AD">
      <w:r>
        <w:separator/>
      </w:r>
    </w:p>
  </w:endnote>
  <w:endnote w:type="continuationSeparator" w:id="0">
    <w:p w14:paraId="27C7BA7D" w14:textId="77777777" w:rsidR="00602915" w:rsidRDefault="00602915" w:rsidP="00A5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EA0E" w14:textId="77777777" w:rsidR="00602915" w:rsidRDefault="00602915" w:rsidP="00A568AD">
      <w:r>
        <w:separator/>
      </w:r>
    </w:p>
  </w:footnote>
  <w:footnote w:type="continuationSeparator" w:id="0">
    <w:p w14:paraId="43A7B457" w14:textId="77777777" w:rsidR="00602915" w:rsidRDefault="00602915" w:rsidP="00A568AD">
      <w:r>
        <w:continuationSeparator/>
      </w:r>
    </w:p>
  </w:footnote>
  <w:footnote w:id="1">
    <w:p w14:paraId="7F791061" w14:textId="388015E6" w:rsidR="00A568AD" w:rsidRDefault="00A568AD">
      <w:pPr>
        <w:pStyle w:val="Puslapioinaostekstas"/>
      </w:pPr>
      <w:r>
        <w:rPr>
          <w:rStyle w:val="Puslapioinaosnuoroda"/>
        </w:rPr>
        <w:footnoteRef/>
      </w:r>
      <w:r>
        <w:t xml:space="preserve"> </w:t>
      </w:r>
      <w:r w:rsidR="00FA74AD">
        <w:t>P</w:t>
      </w:r>
      <w:r w:rsidR="00FA74AD" w:rsidRPr="00506EBA">
        <w:t xml:space="preserve">rocesas automatizuotas nuo pirminio mėginio įdėjimo į įrangą iki tyrimo rezultato gavimo ir persiuntimo į </w:t>
      </w:r>
      <w:r w:rsidR="00FA74AD">
        <w:t xml:space="preserve">laboratorinę informacinę sistemą (toliau – </w:t>
      </w:r>
      <w:r w:rsidR="00FA74AD" w:rsidRPr="00506EBA">
        <w:t>LIS</w:t>
      </w:r>
      <w:r w:rsidR="00FA74A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E27"/>
    <w:multiLevelType w:val="hybridMultilevel"/>
    <w:tmpl w:val="07B62EA4"/>
    <w:lvl w:ilvl="0" w:tplc="40AA1C04">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1" w15:restartNumberingAfterBreak="0">
    <w:nsid w:val="24BA3492"/>
    <w:multiLevelType w:val="hybridMultilevel"/>
    <w:tmpl w:val="260CF8D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67A4E30"/>
    <w:multiLevelType w:val="hybridMultilevel"/>
    <w:tmpl w:val="0E204FE8"/>
    <w:lvl w:ilvl="0" w:tplc="9C723574">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D26CED"/>
    <w:multiLevelType w:val="hybridMultilevel"/>
    <w:tmpl w:val="A5787CFA"/>
    <w:lvl w:ilvl="0" w:tplc="3520787C">
      <w:start w:val="1"/>
      <w:numFmt w:val="decimal"/>
      <w:lvlText w:val="%1."/>
      <w:lvlJc w:val="left"/>
      <w:pPr>
        <w:ind w:left="-131" w:hanging="360"/>
      </w:pPr>
      <w:rPr>
        <w:b w:val="0"/>
        <w:bCs/>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5" w15:restartNumberingAfterBreak="0">
    <w:nsid w:val="3B3812F9"/>
    <w:multiLevelType w:val="hybridMultilevel"/>
    <w:tmpl w:val="2B0487B6"/>
    <w:lvl w:ilvl="0" w:tplc="33829454">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D10850"/>
    <w:multiLevelType w:val="hybridMultilevel"/>
    <w:tmpl w:val="24B8F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7A2E0E"/>
    <w:multiLevelType w:val="hybridMultilevel"/>
    <w:tmpl w:val="0DD88BB8"/>
    <w:lvl w:ilvl="0" w:tplc="15BC1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B7D66A9"/>
    <w:multiLevelType w:val="hybridMultilevel"/>
    <w:tmpl w:val="CF020086"/>
    <w:lvl w:ilvl="0" w:tplc="DC763BB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2690564">
    <w:abstractNumId w:val="6"/>
  </w:num>
  <w:num w:numId="2" w16cid:durableId="1308902976">
    <w:abstractNumId w:val="3"/>
  </w:num>
  <w:num w:numId="3" w16cid:durableId="1316691248">
    <w:abstractNumId w:val="9"/>
  </w:num>
  <w:num w:numId="4" w16cid:durableId="914777569">
    <w:abstractNumId w:val="4"/>
  </w:num>
  <w:num w:numId="5" w16cid:durableId="1045568269">
    <w:abstractNumId w:val="8"/>
  </w:num>
  <w:num w:numId="6" w16cid:durableId="1438678198">
    <w:abstractNumId w:val="0"/>
  </w:num>
  <w:num w:numId="7" w16cid:durableId="1207375017">
    <w:abstractNumId w:val="7"/>
  </w:num>
  <w:num w:numId="8" w16cid:durableId="484668522">
    <w:abstractNumId w:val="2"/>
  </w:num>
  <w:num w:numId="9" w16cid:durableId="2007440503">
    <w:abstractNumId w:val="5"/>
  </w:num>
  <w:num w:numId="10" w16cid:durableId="68879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95"/>
    <w:rsid w:val="00004197"/>
    <w:rsid w:val="000045D3"/>
    <w:rsid w:val="00021D5B"/>
    <w:rsid w:val="00037377"/>
    <w:rsid w:val="000A37DC"/>
    <w:rsid w:val="000B51FA"/>
    <w:rsid w:val="000B7883"/>
    <w:rsid w:val="000D2D91"/>
    <w:rsid w:val="000E7544"/>
    <w:rsid w:val="000F42F9"/>
    <w:rsid w:val="000F68CB"/>
    <w:rsid w:val="00103000"/>
    <w:rsid w:val="00112F4C"/>
    <w:rsid w:val="00114277"/>
    <w:rsid w:val="00127338"/>
    <w:rsid w:val="00144934"/>
    <w:rsid w:val="00156D71"/>
    <w:rsid w:val="00161C8D"/>
    <w:rsid w:val="001660C8"/>
    <w:rsid w:val="00170FB3"/>
    <w:rsid w:val="00195E8C"/>
    <w:rsid w:val="001B0A8C"/>
    <w:rsid w:val="001B3F96"/>
    <w:rsid w:val="001C7DC5"/>
    <w:rsid w:val="001D4955"/>
    <w:rsid w:val="001D7888"/>
    <w:rsid w:val="001E4F9B"/>
    <w:rsid w:val="001E6A68"/>
    <w:rsid w:val="001F163E"/>
    <w:rsid w:val="001F1822"/>
    <w:rsid w:val="001F317F"/>
    <w:rsid w:val="00203426"/>
    <w:rsid w:val="00210442"/>
    <w:rsid w:val="00211D8B"/>
    <w:rsid w:val="0023503D"/>
    <w:rsid w:val="0024415C"/>
    <w:rsid w:val="002610A6"/>
    <w:rsid w:val="00277255"/>
    <w:rsid w:val="00284843"/>
    <w:rsid w:val="00292334"/>
    <w:rsid w:val="002A2448"/>
    <w:rsid w:val="002B1763"/>
    <w:rsid w:val="002B23FD"/>
    <w:rsid w:val="002C7F7C"/>
    <w:rsid w:val="002D5053"/>
    <w:rsid w:val="002E69B0"/>
    <w:rsid w:val="002E7768"/>
    <w:rsid w:val="002E7A08"/>
    <w:rsid w:val="00301B1C"/>
    <w:rsid w:val="00322B55"/>
    <w:rsid w:val="00322D95"/>
    <w:rsid w:val="003377CD"/>
    <w:rsid w:val="00341882"/>
    <w:rsid w:val="003534CD"/>
    <w:rsid w:val="00392DDB"/>
    <w:rsid w:val="003E1850"/>
    <w:rsid w:val="003F7EF9"/>
    <w:rsid w:val="00427740"/>
    <w:rsid w:val="004401D8"/>
    <w:rsid w:val="00455369"/>
    <w:rsid w:val="00455D11"/>
    <w:rsid w:val="00461614"/>
    <w:rsid w:val="004B258B"/>
    <w:rsid w:val="004B30F3"/>
    <w:rsid w:val="004D3FB3"/>
    <w:rsid w:val="004D4154"/>
    <w:rsid w:val="004E3121"/>
    <w:rsid w:val="004F0DFF"/>
    <w:rsid w:val="00531E95"/>
    <w:rsid w:val="00541947"/>
    <w:rsid w:val="0057742B"/>
    <w:rsid w:val="0058014D"/>
    <w:rsid w:val="0059610B"/>
    <w:rsid w:val="00597D85"/>
    <w:rsid w:val="00597F2E"/>
    <w:rsid w:val="005B030C"/>
    <w:rsid w:val="005E2DDE"/>
    <w:rsid w:val="005F0127"/>
    <w:rsid w:val="005F17C6"/>
    <w:rsid w:val="00602915"/>
    <w:rsid w:val="006227D9"/>
    <w:rsid w:val="00633A3C"/>
    <w:rsid w:val="006348FD"/>
    <w:rsid w:val="00642F79"/>
    <w:rsid w:val="00660B81"/>
    <w:rsid w:val="0069238A"/>
    <w:rsid w:val="006A1802"/>
    <w:rsid w:val="006A5D43"/>
    <w:rsid w:val="006C7D43"/>
    <w:rsid w:val="006D5CDE"/>
    <w:rsid w:val="006E2498"/>
    <w:rsid w:val="00702908"/>
    <w:rsid w:val="00706293"/>
    <w:rsid w:val="00706DB0"/>
    <w:rsid w:val="00746FB1"/>
    <w:rsid w:val="0076010A"/>
    <w:rsid w:val="00777814"/>
    <w:rsid w:val="007A1503"/>
    <w:rsid w:val="007A17C8"/>
    <w:rsid w:val="007A5F78"/>
    <w:rsid w:val="007A6702"/>
    <w:rsid w:val="007C3AA5"/>
    <w:rsid w:val="007D4EB9"/>
    <w:rsid w:val="008400C8"/>
    <w:rsid w:val="00860B09"/>
    <w:rsid w:val="00864661"/>
    <w:rsid w:val="0086650E"/>
    <w:rsid w:val="0087759A"/>
    <w:rsid w:val="00895519"/>
    <w:rsid w:val="008B52B4"/>
    <w:rsid w:val="008E1E22"/>
    <w:rsid w:val="008E5F20"/>
    <w:rsid w:val="008F092F"/>
    <w:rsid w:val="00921D42"/>
    <w:rsid w:val="0093223F"/>
    <w:rsid w:val="009521DB"/>
    <w:rsid w:val="009912E1"/>
    <w:rsid w:val="009C2DD8"/>
    <w:rsid w:val="009F769C"/>
    <w:rsid w:val="00A00913"/>
    <w:rsid w:val="00A01668"/>
    <w:rsid w:val="00A137C9"/>
    <w:rsid w:val="00A20F57"/>
    <w:rsid w:val="00A37D0C"/>
    <w:rsid w:val="00A449A0"/>
    <w:rsid w:val="00A51A7C"/>
    <w:rsid w:val="00A568AD"/>
    <w:rsid w:val="00A67D5F"/>
    <w:rsid w:val="00A86A62"/>
    <w:rsid w:val="00AA3A78"/>
    <w:rsid w:val="00AA4A14"/>
    <w:rsid w:val="00AA6306"/>
    <w:rsid w:val="00AB35DA"/>
    <w:rsid w:val="00AF0372"/>
    <w:rsid w:val="00B023D3"/>
    <w:rsid w:val="00B4495A"/>
    <w:rsid w:val="00B5048C"/>
    <w:rsid w:val="00B53BFE"/>
    <w:rsid w:val="00B55236"/>
    <w:rsid w:val="00B7047D"/>
    <w:rsid w:val="00B90756"/>
    <w:rsid w:val="00BC145A"/>
    <w:rsid w:val="00BC3E34"/>
    <w:rsid w:val="00BC6767"/>
    <w:rsid w:val="00BE69E2"/>
    <w:rsid w:val="00BF594E"/>
    <w:rsid w:val="00C027A6"/>
    <w:rsid w:val="00C05E9F"/>
    <w:rsid w:val="00C110C2"/>
    <w:rsid w:val="00C63E96"/>
    <w:rsid w:val="00C66A8F"/>
    <w:rsid w:val="00C7656A"/>
    <w:rsid w:val="00CB5B7E"/>
    <w:rsid w:val="00CD203D"/>
    <w:rsid w:val="00CF5569"/>
    <w:rsid w:val="00D010B6"/>
    <w:rsid w:val="00D03A8F"/>
    <w:rsid w:val="00D14BE1"/>
    <w:rsid w:val="00D45A56"/>
    <w:rsid w:val="00D471D8"/>
    <w:rsid w:val="00D57806"/>
    <w:rsid w:val="00D76D8F"/>
    <w:rsid w:val="00D81475"/>
    <w:rsid w:val="00D87F84"/>
    <w:rsid w:val="00DA7561"/>
    <w:rsid w:val="00DB10CD"/>
    <w:rsid w:val="00DF214A"/>
    <w:rsid w:val="00DF465E"/>
    <w:rsid w:val="00E03EA9"/>
    <w:rsid w:val="00E105F6"/>
    <w:rsid w:val="00E3473A"/>
    <w:rsid w:val="00E36B32"/>
    <w:rsid w:val="00E424C7"/>
    <w:rsid w:val="00E425C8"/>
    <w:rsid w:val="00E46E29"/>
    <w:rsid w:val="00E731B9"/>
    <w:rsid w:val="00E94620"/>
    <w:rsid w:val="00EB02E3"/>
    <w:rsid w:val="00EB06E4"/>
    <w:rsid w:val="00EB3E4B"/>
    <w:rsid w:val="00ED0CA3"/>
    <w:rsid w:val="00ED1D73"/>
    <w:rsid w:val="00EF49E6"/>
    <w:rsid w:val="00F17424"/>
    <w:rsid w:val="00F25D26"/>
    <w:rsid w:val="00F51D8C"/>
    <w:rsid w:val="00F5387D"/>
    <w:rsid w:val="00F6610F"/>
    <w:rsid w:val="00F67D1B"/>
    <w:rsid w:val="00F759E7"/>
    <w:rsid w:val="00F93B7A"/>
    <w:rsid w:val="00FA74AD"/>
    <w:rsid w:val="00FD0140"/>
    <w:rsid w:val="00FD7A24"/>
    <w:rsid w:val="00FE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6741"/>
  <w15:chartTrackingRefBased/>
  <w15:docId w15:val="{57EE9894-022C-43A3-A790-128D3073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2D9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22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2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2D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2D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2D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2D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2D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2D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2D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D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2D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2D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2D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2D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2D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2D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2D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2D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2D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2D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2D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2D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2D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2D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322D95"/>
    <w:pPr>
      <w:ind w:left="720"/>
      <w:contextualSpacing/>
    </w:pPr>
  </w:style>
  <w:style w:type="character" w:styleId="Rykuspabraukimas">
    <w:name w:val="Intense Emphasis"/>
    <w:basedOn w:val="Numatytasispastraiposriftas"/>
    <w:uiPriority w:val="21"/>
    <w:qFormat/>
    <w:rsid w:val="00322D95"/>
    <w:rPr>
      <w:i/>
      <w:iCs/>
      <w:color w:val="2F5496" w:themeColor="accent1" w:themeShade="BF"/>
    </w:rPr>
  </w:style>
  <w:style w:type="paragraph" w:styleId="Iskirtacitata">
    <w:name w:val="Intense Quote"/>
    <w:basedOn w:val="prastasis"/>
    <w:next w:val="prastasis"/>
    <w:link w:val="IskirtacitataDiagrama"/>
    <w:uiPriority w:val="30"/>
    <w:qFormat/>
    <w:rsid w:val="00322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2D95"/>
    <w:rPr>
      <w:i/>
      <w:iCs/>
      <w:color w:val="2F5496" w:themeColor="accent1" w:themeShade="BF"/>
    </w:rPr>
  </w:style>
  <w:style w:type="character" w:styleId="Rykinuoroda">
    <w:name w:val="Intense Reference"/>
    <w:basedOn w:val="Numatytasispastraiposriftas"/>
    <w:uiPriority w:val="32"/>
    <w:qFormat/>
    <w:rsid w:val="00322D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22D95"/>
  </w:style>
  <w:style w:type="paragraph" w:customStyle="1" w:styleId="Body">
    <w:name w:val="Body"/>
    <w:qFormat/>
    <w:rsid w:val="00322D95"/>
    <w:pPr>
      <w:spacing w:after="0" w:line="240" w:lineRule="auto"/>
    </w:pPr>
    <w:rPr>
      <w:rFonts w:ascii="Helvetica" w:eastAsia="ヒラギノ角ゴ Pro W3" w:hAnsi="Helvetica" w:cs="Times New Roman"/>
      <w:color w:val="000000"/>
      <w:kern w:val="0"/>
      <w:sz w:val="24"/>
      <w:szCs w:val="20"/>
      <w14:ligatures w14:val="none"/>
    </w:rPr>
  </w:style>
  <w:style w:type="table" w:styleId="Lentelstinklelis">
    <w:name w:val="Table Grid"/>
    <w:basedOn w:val="prastojilentel"/>
    <w:uiPriority w:val="39"/>
    <w:rsid w:val="00322D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9C2DD8"/>
    <w:rPr>
      <w:sz w:val="16"/>
      <w:szCs w:val="16"/>
    </w:rPr>
  </w:style>
  <w:style w:type="paragraph" w:styleId="Komentarotekstas">
    <w:name w:val="annotation text"/>
    <w:basedOn w:val="prastasis"/>
    <w:link w:val="KomentarotekstasDiagrama"/>
    <w:uiPriority w:val="99"/>
    <w:unhideWhenUsed/>
    <w:rsid w:val="009C2DD8"/>
    <w:rPr>
      <w:sz w:val="20"/>
    </w:rPr>
  </w:style>
  <w:style w:type="character" w:customStyle="1" w:styleId="KomentarotekstasDiagrama">
    <w:name w:val="Komentaro tekstas Diagrama"/>
    <w:basedOn w:val="Numatytasispastraiposriftas"/>
    <w:link w:val="Komentarotekstas"/>
    <w:uiPriority w:val="99"/>
    <w:rsid w:val="009C2DD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C2DD8"/>
    <w:rPr>
      <w:b/>
      <w:bCs/>
    </w:rPr>
  </w:style>
  <w:style w:type="character" w:customStyle="1" w:styleId="KomentarotemaDiagrama">
    <w:name w:val="Komentaro tema Diagrama"/>
    <w:basedOn w:val="KomentarotekstasDiagrama"/>
    <w:link w:val="Komentarotema"/>
    <w:uiPriority w:val="99"/>
    <w:semiHidden/>
    <w:rsid w:val="009C2DD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86650E"/>
    <w:pPr>
      <w:spacing w:after="0" w:line="240" w:lineRule="auto"/>
    </w:pPr>
    <w:rPr>
      <w:rFonts w:ascii="Times New Roman" w:eastAsia="Times New Roman" w:hAnsi="Times New Roman" w:cs="Times New Roman"/>
      <w:kern w:val="0"/>
      <w:sz w:val="24"/>
      <w:szCs w:val="20"/>
      <w14:ligatures w14:val="none"/>
    </w:rPr>
  </w:style>
  <w:style w:type="paragraph" w:styleId="Puslapioinaostekstas">
    <w:name w:val="footnote text"/>
    <w:basedOn w:val="prastasis"/>
    <w:link w:val="PuslapioinaostekstasDiagrama"/>
    <w:uiPriority w:val="99"/>
    <w:semiHidden/>
    <w:unhideWhenUsed/>
    <w:rsid w:val="00A568AD"/>
    <w:rPr>
      <w:sz w:val="20"/>
    </w:rPr>
  </w:style>
  <w:style w:type="character" w:customStyle="1" w:styleId="PuslapioinaostekstasDiagrama">
    <w:name w:val="Puslapio išnašos tekstas Diagrama"/>
    <w:basedOn w:val="Numatytasispastraiposriftas"/>
    <w:link w:val="Puslapioinaostekstas"/>
    <w:uiPriority w:val="99"/>
    <w:semiHidden/>
    <w:rsid w:val="00A568A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568AD"/>
    <w:rPr>
      <w:vertAlign w:val="superscript"/>
    </w:rPr>
  </w:style>
  <w:style w:type="character" w:customStyle="1" w:styleId="normaltextrun">
    <w:name w:val="normaltextrun"/>
    <w:basedOn w:val="Numatytasispastraiposriftas"/>
    <w:rsid w:val="00F5387D"/>
  </w:style>
  <w:style w:type="character" w:customStyle="1" w:styleId="eop">
    <w:name w:val="eop"/>
    <w:basedOn w:val="Numatytasispastraiposriftas"/>
    <w:rsid w:val="00F5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5289">
      <w:bodyDiv w:val="1"/>
      <w:marLeft w:val="0"/>
      <w:marRight w:val="0"/>
      <w:marTop w:val="0"/>
      <w:marBottom w:val="0"/>
      <w:divBdr>
        <w:top w:val="none" w:sz="0" w:space="0" w:color="auto"/>
        <w:left w:val="none" w:sz="0" w:space="0" w:color="auto"/>
        <w:bottom w:val="none" w:sz="0" w:space="0" w:color="auto"/>
        <w:right w:val="none" w:sz="0" w:space="0" w:color="auto"/>
      </w:divBdr>
    </w:div>
    <w:div w:id="124088198">
      <w:bodyDiv w:val="1"/>
      <w:marLeft w:val="0"/>
      <w:marRight w:val="0"/>
      <w:marTop w:val="0"/>
      <w:marBottom w:val="0"/>
      <w:divBdr>
        <w:top w:val="none" w:sz="0" w:space="0" w:color="auto"/>
        <w:left w:val="none" w:sz="0" w:space="0" w:color="auto"/>
        <w:bottom w:val="none" w:sz="0" w:space="0" w:color="auto"/>
        <w:right w:val="none" w:sz="0" w:space="0" w:color="auto"/>
      </w:divBdr>
    </w:div>
    <w:div w:id="563105702">
      <w:bodyDiv w:val="1"/>
      <w:marLeft w:val="0"/>
      <w:marRight w:val="0"/>
      <w:marTop w:val="0"/>
      <w:marBottom w:val="0"/>
      <w:divBdr>
        <w:top w:val="none" w:sz="0" w:space="0" w:color="auto"/>
        <w:left w:val="none" w:sz="0" w:space="0" w:color="auto"/>
        <w:bottom w:val="none" w:sz="0" w:space="0" w:color="auto"/>
        <w:right w:val="none" w:sz="0" w:space="0" w:color="auto"/>
      </w:divBdr>
    </w:div>
    <w:div w:id="576328711">
      <w:bodyDiv w:val="1"/>
      <w:marLeft w:val="0"/>
      <w:marRight w:val="0"/>
      <w:marTop w:val="0"/>
      <w:marBottom w:val="0"/>
      <w:divBdr>
        <w:top w:val="none" w:sz="0" w:space="0" w:color="auto"/>
        <w:left w:val="none" w:sz="0" w:space="0" w:color="auto"/>
        <w:bottom w:val="none" w:sz="0" w:space="0" w:color="auto"/>
        <w:right w:val="none" w:sz="0" w:space="0" w:color="auto"/>
      </w:divBdr>
    </w:div>
    <w:div w:id="649216893">
      <w:bodyDiv w:val="1"/>
      <w:marLeft w:val="0"/>
      <w:marRight w:val="0"/>
      <w:marTop w:val="0"/>
      <w:marBottom w:val="0"/>
      <w:divBdr>
        <w:top w:val="none" w:sz="0" w:space="0" w:color="auto"/>
        <w:left w:val="none" w:sz="0" w:space="0" w:color="auto"/>
        <w:bottom w:val="none" w:sz="0" w:space="0" w:color="auto"/>
        <w:right w:val="none" w:sz="0" w:space="0" w:color="auto"/>
      </w:divBdr>
    </w:div>
    <w:div w:id="911620263">
      <w:bodyDiv w:val="1"/>
      <w:marLeft w:val="0"/>
      <w:marRight w:val="0"/>
      <w:marTop w:val="0"/>
      <w:marBottom w:val="0"/>
      <w:divBdr>
        <w:top w:val="none" w:sz="0" w:space="0" w:color="auto"/>
        <w:left w:val="none" w:sz="0" w:space="0" w:color="auto"/>
        <w:bottom w:val="none" w:sz="0" w:space="0" w:color="auto"/>
        <w:right w:val="none" w:sz="0" w:space="0" w:color="auto"/>
      </w:divBdr>
    </w:div>
    <w:div w:id="985860094">
      <w:bodyDiv w:val="1"/>
      <w:marLeft w:val="0"/>
      <w:marRight w:val="0"/>
      <w:marTop w:val="0"/>
      <w:marBottom w:val="0"/>
      <w:divBdr>
        <w:top w:val="none" w:sz="0" w:space="0" w:color="auto"/>
        <w:left w:val="none" w:sz="0" w:space="0" w:color="auto"/>
        <w:bottom w:val="none" w:sz="0" w:space="0" w:color="auto"/>
        <w:right w:val="none" w:sz="0" w:space="0" w:color="auto"/>
      </w:divBdr>
    </w:div>
    <w:div w:id="1397824427">
      <w:bodyDiv w:val="1"/>
      <w:marLeft w:val="0"/>
      <w:marRight w:val="0"/>
      <w:marTop w:val="0"/>
      <w:marBottom w:val="0"/>
      <w:divBdr>
        <w:top w:val="none" w:sz="0" w:space="0" w:color="auto"/>
        <w:left w:val="none" w:sz="0" w:space="0" w:color="auto"/>
        <w:bottom w:val="none" w:sz="0" w:space="0" w:color="auto"/>
        <w:right w:val="none" w:sz="0" w:space="0" w:color="auto"/>
      </w:divBdr>
    </w:div>
    <w:div w:id="16769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9E15-7C60-46C3-AB38-3240C702E741}">
  <ds:schemaRefs>
    <ds:schemaRef ds:uri="http://schemas.microsoft.com/sharepoint/v3/contenttype/forms"/>
  </ds:schemaRefs>
</ds:datastoreItem>
</file>

<file path=customXml/itemProps2.xml><?xml version="1.0" encoding="utf-8"?>
<ds:datastoreItem xmlns:ds="http://schemas.openxmlformats.org/officeDocument/2006/customXml" ds:itemID="{B3AC4170-0028-4C45-91AB-1893E2952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CA64C-3C46-4287-8FE1-63344CC0AB8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0CC8D0D-9BDC-42AC-A531-DB80D2F4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4315</Words>
  <Characters>2461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8</cp:revision>
  <dcterms:created xsi:type="dcterms:W3CDTF">2025-08-06T10:30:00Z</dcterms:created>
  <dcterms:modified xsi:type="dcterms:W3CDTF">2025-08-08T07:55:00Z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