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9074" w14:textId="3C888D6D" w:rsidR="00AB0F62" w:rsidRPr="008E7C88" w:rsidRDefault="007504EC" w:rsidP="008E7C88">
      <w:pPr>
        <w:jc w:val="right"/>
        <w:rPr>
          <w:rFonts w:ascii="Times New Roman" w:hAnsi="Times New Roman" w:cs="Times New Roman"/>
          <w:bCs/>
          <w:sz w:val="24"/>
          <w:szCs w:val="24"/>
        </w:rPr>
      </w:pPr>
      <w:r w:rsidRPr="008E7C88">
        <w:rPr>
          <w:rFonts w:ascii="Times New Roman" w:hAnsi="Times New Roman" w:cs="Times New Roman"/>
          <w:bCs/>
          <w:sz w:val="24"/>
          <w:szCs w:val="24"/>
        </w:rPr>
        <w:t>Pirkimo s</w:t>
      </w:r>
      <w:r w:rsidR="008E7C88" w:rsidRPr="006367D5">
        <w:rPr>
          <w:rFonts w:ascii="Times New Roman" w:hAnsi="Times New Roman" w:cs="Times New Roman"/>
          <w:bCs/>
          <w:sz w:val="24"/>
          <w:szCs w:val="24"/>
          <w:lang w:val="pt-PT"/>
        </w:rPr>
        <w:t>ąlygų</w:t>
      </w:r>
      <w:r w:rsidR="003C6408" w:rsidRPr="008E7C88">
        <w:rPr>
          <w:rFonts w:ascii="Times New Roman" w:hAnsi="Times New Roman" w:cs="Times New Roman"/>
          <w:bCs/>
          <w:sz w:val="24"/>
          <w:szCs w:val="24"/>
        </w:rPr>
        <w:t xml:space="preserve"> </w:t>
      </w:r>
      <w:r w:rsidR="008E7C88" w:rsidRPr="006367D5">
        <w:rPr>
          <w:rFonts w:ascii="Times New Roman" w:hAnsi="Times New Roman" w:cs="Times New Roman"/>
          <w:bCs/>
          <w:sz w:val="24"/>
          <w:szCs w:val="24"/>
          <w:lang w:val="pt-PT"/>
        </w:rPr>
        <w:t>2</w:t>
      </w:r>
      <w:r w:rsidR="003E463C" w:rsidRPr="008E7C88">
        <w:rPr>
          <w:rFonts w:ascii="Times New Roman" w:hAnsi="Times New Roman" w:cs="Times New Roman"/>
          <w:bCs/>
          <w:sz w:val="24"/>
          <w:szCs w:val="24"/>
        </w:rPr>
        <w:t xml:space="preserve"> </w:t>
      </w:r>
      <w:r w:rsidR="00AB0F62" w:rsidRPr="008E7C88">
        <w:rPr>
          <w:rFonts w:ascii="Times New Roman" w:hAnsi="Times New Roman" w:cs="Times New Roman"/>
          <w:bCs/>
          <w:sz w:val="24"/>
          <w:szCs w:val="24"/>
        </w:rPr>
        <w:t xml:space="preserve">priedas  </w:t>
      </w:r>
    </w:p>
    <w:p w14:paraId="704E668E" w14:textId="159F9F4A" w:rsidR="00AE3DD5" w:rsidRPr="008E7C88" w:rsidRDefault="00AE3DD5" w:rsidP="00122CA4">
      <w:pPr>
        <w:jc w:val="center"/>
        <w:rPr>
          <w:rFonts w:ascii="Times New Roman" w:hAnsi="Times New Roman" w:cs="Times New Roman"/>
          <w:b/>
          <w:sz w:val="24"/>
          <w:szCs w:val="24"/>
        </w:rPr>
      </w:pPr>
      <w:r w:rsidRPr="008E7C88">
        <w:rPr>
          <w:rFonts w:ascii="Times New Roman" w:hAnsi="Times New Roman" w:cs="Times New Roman"/>
          <w:b/>
          <w:sz w:val="24"/>
          <w:szCs w:val="24"/>
        </w:rPr>
        <w:t>DETALIŲJŲ PLANŲ RENGIMO PASLAUGŲ PIRKIMO</w:t>
      </w:r>
    </w:p>
    <w:p w14:paraId="1FE2A682" w14:textId="25BD756C" w:rsidR="00C45259" w:rsidRPr="008E7C88" w:rsidRDefault="00AE3DD5" w:rsidP="00122CA4">
      <w:pPr>
        <w:jc w:val="center"/>
        <w:rPr>
          <w:rFonts w:ascii="Times New Roman" w:hAnsi="Times New Roman" w:cs="Times New Roman"/>
          <w:b/>
          <w:sz w:val="24"/>
          <w:szCs w:val="24"/>
        </w:rPr>
      </w:pPr>
      <w:r w:rsidRPr="008E7C88">
        <w:rPr>
          <w:rFonts w:ascii="Times New Roman" w:hAnsi="Times New Roman" w:cs="Times New Roman"/>
          <w:b/>
          <w:sz w:val="24"/>
          <w:szCs w:val="24"/>
        </w:rPr>
        <w:t xml:space="preserve"> </w:t>
      </w:r>
      <w:r w:rsidR="00122CA4" w:rsidRPr="008E7C88">
        <w:rPr>
          <w:rFonts w:ascii="Times New Roman" w:hAnsi="Times New Roman" w:cs="Times New Roman"/>
          <w:b/>
          <w:sz w:val="24"/>
          <w:szCs w:val="24"/>
        </w:rPr>
        <w:t>TECHNINĖ SPECIFIKACIJA</w:t>
      </w:r>
    </w:p>
    <w:p w14:paraId="74B0313D" w14:textId="41A4B3E8" w:rsidR="00122CA4" w:rsidRPr="008E7C88" w:rsidRDefault="00DD67D8" w:rsidP="00122CA4">
      <w:pPr>
        <w:pStyle w:val="ListParagraph"/>
        <w:ind w:left="1800"/>
        <w:rPr>
          <w:rFonts w:ascii="Times New Roman" w:hAnsi="Times New Roman" w:cs="Times New Roman"/>
          <w:b/>
          <w:sz w:val="24"/>
          <w:szCs w:val="24"/>
        </w:rPr>
      </w:pPr>
      <w:r w:rsidRPr="008E7C88">
        <w:rPr>
          <w:rFonts w:ascii="Times New Roman" w:hAnsi="Times New Roman" w:cs="Times New Roman"/>
          <w:b/>
          <w:sz w:val="24"/>
          <w:szCs w:val="24"/>
        </w:rPr>
        <w:t xml:space="preserve">                              </w:t>
      </w:r>
      <w:r w:rsidR="00F357D8" w:rsidRPr="008E7C88">
        <w:rPr>
          <w:rFonts w:ascii="Times New Roman" w:hAnsi="Times New Roman" w:cs="Times New Roman"/>
          <w:b/>
          <w:sz w:val="24"/>
          <w:szCs w:val="24"/>
        </w:rPr>
        <w:t>1</w:t>
      </w:r>
      <w:r w:rsidR="00745CFC" w:rsidRPr="008E7C88">
        <w:rPr>
          <w:rFonts w:ascii="Times New Roman" w:hAnsi="Times New Roman" w:cs="Times New Roman"/>
          <w:b/>
          <w:sz w:val="24"/>
          <w:szCs w:val="24"/>
        </w:rPr>
        <w:t>.</w:t>
      </w:r>
      <w:r w:rsidRPr="008E7C88">
        <w:rPr>
          <w:rFonts w:ascii="Times New Roman" w:hAnsi="Times New Roman" w:cs="Times New Roman"/>
          <w:b/>
          <w:sz w:val="24"/>
          <w:szCs w:val="24"/>
        </w:rPr>
        <w:t xml:space="preserve">  </w:t>
      </w:r>
      <w:r w:rsidR="00F357D8" w:rsidRPr="008E7C88">
        <w:rPr>
          <w:rFonts w:ascii="Times New Roman" w:hAnsi="Times New Roman" w:cs="Times New Roman"/>
          <w:b/>
          <w:sz w:val="24"/>
          <w:szCs w:val="24"/>
        </w:rPr>
        <w:t>BENDROJI</w:t>
      </w:r>
      <w:r w:rsidR="00122CA4" w:rsidRPr="008E7C88">
        <w:rPr>
          <w:rFonts w:ascii="Times New Roman" w:hAnsi="Times New Roman" w:cs="Times New Roman"/>
          <w:b/>
          <w:sz w:val="24"/>
          <w:szCs w:val="24"/>
        </w:rPr>
        <w:t xml:space="preserve"> DALIS</w:t>
      </w:r>
    </w:p>
    <w:p w14:paraId="265DF749" w14:textId="77777777" w:rsidR="00122CA4" w:rsidRPr="008E7C88" w:rsidRDefault="00122CA4" w:rsidP="00122CA4">
      <w:pPr>
        <w:pStyle w:val="ListParagraph"/>
        <w:ind w:left="1800"/>
        <w:rPr>
          <w:rFonts w:ascii="Times New Roman" w:hAnsi="Times New Roman" w:cs="Times New Roman"/>
          <w:b/>
          <w:sz w:val="24"/>
          <w:szCs w:val="24"/>
        </w:rPr>
      </w:pPr>
    </w:p>
    <w:p w14:paraId="5013F541" w14:textId="77777777" w:rsidR="00891B45" w:rsidRPr="008E7C88" w:rsidRDefault="00891B45" w:rsidP="00891B45">
      <w:pPr>
        <w:pStyle w:val="ListParagraph"/>
        <w:numPr>
          <w:ilvl w:val="1"/>
          <w:numId w:val="8"/>
        </w:numPr>
        <w:spacing w:after="0" w:line="259" w:lineRule="auto"/>
        <w:jc w:val="both"/>
        <w:rPr>
          <w:rFonts w:ascii="Times New Roman" w:hAnsi="Times New Roman" w:cs="Times New Roman"/>
          <w:sz w:val="24"/>
          <w:szCs w:val="24"/>
        </w:rPr>
      </w:pPr>
      <w:r w:rsidRPr="008E7C88">
        <w:rPr>
          <w:rFonts w:ascii="Times New Roman" w:hAnsi="Times New Roman" w:cs="Times New Roman"/>
          <w:b/>
          <w:sz w:val="24"/>
          <w:szCs w:val="24"/>
        </w:rPr>
        <w:t>Perkančioji organizacija –</w:t>
      </w:r>
      <w:r w:rsidRPr="008E7C88">
        <w:rPr>
          <w:rFonts w:ascii="Times New Roman" w:hAnsi="Times New Roman" w:cs="Times New Roman"/>
          <w:sz w:val="24"/>
          <w:szCs w:val="24"/>
        </w:rPr>
        <w:t xml:space="preserve"> Vilkaviškio rajono savivaldybės administracija;</w:t>
      </w:r>
    </w:p>
    <w:p w14:paraId="28B4A80A" w14:textId="44CD80FC" w:rsidR="00891B45" w:rsidRPr="008E7C88" w:rsidRDefault="00891B45" w:rsidP="00891B45">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1.2.</w:t>
      </w:r>
      <w:r w:rsidRPr="008E7C88">
        <w:rPr>
          <w:rFonts w:ascii="Times New Roman" w:hAnsi="Times New Roman" w:cs="Times New Roman"/>
          <w:b/>
          <w:sz w:val="24"/>
          <w:szCs w:val="24"/>
        </w:rPr>
        <w:t xml:space="preserve"> Pirkimo objektas</w:t>
      </w:r>
      <w:r w:rsidRPr="008E7C88">
        <w:rPr>
          <w:rFonts w:ascii="Times New Roman" w:hAnsi="Times New Roman" w:cs="Times New Roman"/>
          <w:sz w:val="24"/>
          <w:szCs w:val="24"/>
        </w:rPr>
        <w:t xml:space="preserve"> – </w:t>
      </w:r>
      <w:r w:rsidRPr="008E7C88">
        <w:rPr>
          <w:rFonts w:ascii="Times New Roman" w:eastAsia="Calibri" w:hAnsi="Times New Roman" w:cs="Times New Roman"/>
          <w:sz w:val="24"/>
          <w:szCs w:val="24"/>
        </w:rPr>
        <w:t>detaliųjų planų rengimas</w:t>
      </w:r>
      <w:r w:rsidRPr="008E7C88">
        <w:rPr>
          <w:rFonts w:ascii="Times New Roman" w:hAnsi="Times New Roman" w:cs="Times New Roman"/>
          <w:sz w:val="24"/>
          <w:szCs w:val="24"/>
        </w:rPr>
        <w:t>;</w:t>
      </w:r>
    </w:p>
    <w:p w14:paraId="359F50EA" w14:textId="77777777" w:rsidR="00891B45" w:rsidRPr="008E7C88" w:rsidRDefault="00891B45" w:rsidP="00891B45">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1.3.</w:t>
      </w:r>
      <w:r w:rsidRPr="008E7C88">
        <w:rPr>
          <w:rFonts w:ascii="Times New Roman" w:hAnsi="Times New Roman" w:cs="Times New Roman"/>
          <w:b/>
          <w:sz w:val="24"/>
          <w:szCs w:val="24"/>
        </w:rPr>
        <w:t xml:space="preserve"> Paslaugų atlikimo vieta  –</w:t>
      </w:r>
      <w:r w:rsidRPr="008E7C88">
        <w:rPr>
          <w:rFonts w:ascii="Times New Roman" w:hAnsi="Times New Roman" w:cs="Times New Roman"/>
          <w:sz w:val="24"/>
          <w:szCs w:val="24"/>
        </w:rPr>
        <w:t xml:space="preserve"> Vilkaviškio ir Kybartų miestų teritorijos;</w:t>
      </w:r>
    </w:p>
    <w:p w14:paraId="3BEFED36" w14:textId="77777777" w:rsidR="00891B45" w:rsidRPr="008E7C88" w:rsidRDefault="00891B45" w:rsidP="00891B45">
      <w:pPr>
        <w:pStyle w:val="Style1"/>
        <w:ind w:firstLine="851"/>
        <w:jc w:val="both"/>
      </w:pPr>
      <w:r w:rsidRPr="008E7C88">
        <w:t>1.4.</w:t>
      </w:r>
      <w:r w:rsidRPr="008E7C88">
        <w:rPr>
          <w:b/>
        </w:rPr>
        <w:t xml:space="preserve"> Bendrieji reikalavimai</w:t>
      </w:r>
      <w:r w:rsidRPr="008E7C88">
        <w:t>:</w:t>
      </w:r>
    </w:p>
    <w:p w14:paraId="7E6C000A" w14:textId="77777777" w:rsidR="00891B45" w:rsidRPr="008E7C88" w:rsidRDefault="00891B45" w:rsidP="00891B45">
      <w:pPr>
        <w:pStyle w:val="Sraopastraipa1"/>
        <w:ind w:left="0" w:firstLine="850"/>
        <w:jc w:val="both"/>
      </w:pPr>
      <w:r w:rsidRPr="008E7C88">
        <w:t>1.4.1. paslaugos perkamos pagal Vilkaviškio rajono savivaldybės administracijos faktinį poreikį;</w:t>
      </w:r>
    </w:p>
    <w:p w14:paraId="104A6E28" w14:textId="01BD00BB" w:rsidR="00891B45" w:rsidRPr="008E7C88" w:rsidRDefault="00891B45" w:rsidP="00891B45">
      <w:pPr>
        <w:spacing w:after="0" w:line="240" w:lineRule="auto"/>
        <w:ind w:firstLine="850"/>
        <w:jc w:val="both"/>
        <w:rPr>
          <w:rFonts w:ascii="Times New Roman" w:hAnsi="Times New Roman" w:cs="Times New Roman"/>
          <w:sz w:val="24"/>
          <w:szCs w:val="24"/>
        </w:rPr>
      </w:pPr>
      <w:r w:rsidRPr="008E7C88">
        <w:rPr>
          <w:rFonts w:ascii="Times New Roman" w:hAnsi="Times New Roman" w:cs="Times New Roman"/>
          <w:sz w:val="24"/>
          <w:szCs w:val="24"/>
        </w:rPr>
        <w:t xml:space="preserve">1.4.2. paslaugos </w:t>
      </w:r>
      <w:r w:rsidR="008E7C88" w:rsidRPr="008E7C88">
        <w:rPr>
          <w:rFonts w:ascii="Times New Roman" w:hAnsi="Times New Roman" w:cs="Times New Roman"/>
          <w:sz w:val="24"/>
          <w:szCs w:val="24"/>
        </w:rPr>
        <w:t>kainoje</w:t>
      </w:r>
      <w:r w:rsidRPr="008E7C88">
        <w:rPr>
          <w:rFonts w:ascii="Times New Roman" w:hAnsi="Times New Roman" w:cs="Times New Roman"/>
          <w:sz w:val="24"/>
          <w:szCs w:val="24"/>
        </w:rPr>
        <w:t xml:space="preserve"> turi būti numatytos visos išlaidos. Tiekėjas į paslaugų </w:t>
      </w:r>
      <w:r w:rsidR="008E7C88" w:rsidRPr="008E7C88">
        <w:rPr>
          <w:rFonts w:ascii="Times New Roman" w:hAnsi="Times New Roman" w:cs="Times New Roman"/>
          <w:sz w:val="24"/>
          <w:szCs w:val="24"/>
        </w:rPr>
        <w:t xml:space="preserve">kainą </w:t>
      </w:r>
      <w:r w:rsidRPr="008E7C88">
        <w:rPr>
          <w:rFonts w:ascii="Times New Roman" w:hAnsi="Times New Roman" w:cs="Times New Roman"/>
          <w:sz w:val="24"/>
          <w:szCs w:val="24"/>
        </w:rPr>
        <w:t xml:space="preserve">įskaičiuoja reikalingas topografinių planų rengimo, viešinimo (informavimo) procedūrų išlaidas. Jokių papildomų mokėjimų Paslaugos tiekėjas už paslaugas reikalauti negali; </w:t>
      </w:r>
    </w:p>
    <w:p w14:paraId="1270A503" w14:textId="77777777" w:rsidR="00891B45" w:rsidRPr="008E7C88" w:rsidRDefault="00891B45" w:rsidP="00891B45">
      <w:pPr>
        <w:pStyle w:val="Style1"/>
        <w:ind w:left="142" w:firstLine="708"/>
        <w:jc w:val="both"/>
      </w:pPr>
      <w:r w:rsidRPr="008E7C88">
        <w:t xml:space="preserve">1.4.3. perkančiajai organizacijai tiekėjas įsipareigoja teikdamas paslaugas užsakymo vykdymo eigoje derinti / pateikti informaciją, susijusią su užsakytomis paslaugomis, perkančiajai organizacijai priimtinu būdu (pvz.: el. paštu, telefonu ar kt.) ir dažnumu bei pateikti reikalaujamą informaciją per perkančiosios organizacijos nustatytą terminą. </w:t>
      </w:r>
    </w:p>
    <w:p w14:paraId="1F475785" w14:textId="77777777" w:rsidR="00AE3DD5" w:rsidRPr="008E7C88" w:rsidRDefault="00AE3DD5" w:rsidP="00AE3DD5">
      <w:pPr>
        <w:pStyle w:val="Style1"/>
        <w:ind w:left="142" w:firstLine="708"/>
        <w:jc w:val="both"/>
      </w:pPr>
    </w:p>
    <w:p w14:paraId="55D39830" w14:textId="77777777" w:rsidR="00891B45" w:rsidRPr="008E7C88" w:rsidRDefault="00891B45" w:rsidP="00891B45">
      <w:pPr>
        <w:pStyle w:val="Style1"/>
        <w:ind w:firstLine="851"/>
        <w:jc w:val="center"/>
        <w:rPr>
          <w:b/>
        </w:rPr>
      </w:pPr>
      <w:bookmarkStart w:id="0" w:name="_Hlk195214152"/>
      <w:r w:rsidRPr="008E7C88">
        <w:rPr>
          <w:b/>
        </w:rPr>
        <w:t>2. PERKAMOS PASLAUGOS</w:t>
      </w:r>
    </w:p>
    <w:bookmarkEnd w:id="0"/>
    <w:p w14:paraId="31825E1A" w14:textId="77777777" w:rsidR="00891B45" w:rsidRPr="008E7C88" w:rsidRDefault="00891B45" w:rsidP="00891B45">
      <w:pPr>
        <w:pStyle w:val="Style1"/>
        <w:ind w:firstLine="851"/>
        <w:jc w:val="center"/>
        <w:rPr>
          <w:b/>
        </w:rPr>
      </w:pPr>
    </w:p>
    <w:p w14:paraId="7160DE2A" w14:textId="761E4892" w:rsidR="00891B45" w:rsidRPr="008E7C88" w:rsidRDefault="00891B45" w:rsidP="00891B45">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 xml:space="preserve">2.1. </w:t>
      </w:r>
      <w:r w:rsidRPr="008E7C88">
        <w:rPr>
          <w:rFonts w:ascii="Times New Roman" w:hAnsi="Times New Roman" w:cs="Times New Roman"/>
          <w:b/>
          <w:sz w:val="24"/>
          <w:szCs w:val="24"/>
        </w:rPr>
        <w:t>Perkamos paslaugos</w:t>
      </w:r>
      <w:r w:rsidRPr="008E7C88">
        <w:rPr>
          <w:rFonts w:ascii="Times New Roman" w:hAnsi="Times New Roman" w:cs="Times New Roman"/>
          <w:sz w:val="24"/>
          <w:szCs w:val="24"/>
        </w:rPr>
        <w:t xml:space="preserve"> – </w:t>
      </w:r>
      <w:r w:rsidRPr="008E7C88">
        <w:rPr>
          <w:rFonts w:ascii="Times New Roman" w:eastAsia="Calibri" w:hAnsi="Times New Roman" w:cs="Times New Roman"/>
          <w:sz w:val="24"/>
          <w:szCs w:val="24"/>
        </w:rPr>
        <w:t>kvartalų detaliųjų planų</w:t>
      </w:r>
      <w:r w:rsidRPr="008E7C88">
        <w:rPr>
          <w:rFonts w:ascii="Times New Roman" w:hAnsi="Times New Roman" w:cs="Times New Roman"/>
          <w:sz w:val="24"/>
          <w:szCs w:val="24"/>
        </w:rPr>
        <w:t xml:space="preserve"> rengimas:</w:t>
      </w:r>
    </w:p>
    <w:p w14:paraId="179B49D7" w14:textId="3823E0F2" w:rsidR="008A1474" w:rsidRPr="008E7C88" w:rsidRDefault="008A1474" w:rsidP="008A1474">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2.1.</w:t>
      </w:r>
      <w:r w:rsidR="00155E7F" w:rsidRPr="008E7C88">
        <w:rPr>
          <w:rFonts w:ascii="Times New Roman" w:hAnsi="Times New Roman" w:cs="Times New Roman"/>
          <w:sz w:val="24"/>
          <w:szCs w:val="24"/>
        </w:rPr>
        <w:t>4</w:t>
      </w:r>
      <w:r w:rsidRPr="008E7C88">
        <w:rPr>
          <w:rFonts w:ascii="Times New Roman" w:hAnsi="Times New Roman" w:cs="Times New Roman"/>
          <w:sz w:val="24"/>
          <w:szCs w:val="24"/>
        </w:rPr>
        <w:t>. Kvartalo, ribojamo Eitkūnų, Darvino, Darvino skg., Vištyčio gatvėmis ir valstybine žeme Kybartų mieste, detalusis planas</w:t>
      </w:r>
      <w:r w:rsidR="001E08D4">
        <w:rPr>
          <w:rFonts w:ascii="Times New Roman" w:hAnsi="Times New Roman" w:cs="Times New Roman"/>
          <w:sz w:val="24"/>
          <w:szCs w:val="24"/>
        </w:rPr>
        <w:t>.</w:t>
      </w:r>
    </w:p>
    <w:p w14:paraId="5E59EDEB" w14:textId="1E6D278D" w:rsidR="00891B45" w:rsidRPr="008E7C88" w:rsidRDefault="00891B45" w:rsidP="00891B45">
      <w:pPr>
        <w:spacing w:after="0" w:line="240" w:lineRule="auto"/>
        <w:ind w:firstLine="851"/>
        <w:jc w:val="both"/>
        <w:rPr>
          <w:rFonts w:ascii="Times New Roman" w:hAnsi="Times New Roman" w:cs="Times New Roman"/>
          <w:sz w:val="24"/>
          <w:szCs w:val="24"/>
        </w:rPr>
      </w:pPr>
    </w:p>
    <w:p w14:paraId="2C37DF7B" w14:textId="77777777" w:rsidR="00891B45" w:rsidRPr="008E7C88" w:rsidRDefault="00891B45" w:rsidP="00891B45">
      <w:pPr>
        <w:spacing w:after="0" w:line="240" w:lineRule="auto"/>
        <w:ind w:firstLine="851"/>
        <w:jc w:val="both"/>
        <w:rPr>
          <w:rFonts w:ascii="Times New Roman" w:hAnsi="Times New Roman" w:cs="Times New Roman"/>
          <w:b/>
          <w:sz w:val="24"/>
          <w:szCs w:val="24"/>
        </w:rPr>
      </w:pPr>
      <w:r w:rsidRPr="008E7C88">
        <w:rPr>
          <w:rFonts w:ascii="Times New Roman" w:hAnsi="Times New Roman" w:cs="Times New Roman"/>
          <w:b/>
          <w:sz w:val="24"/>
          <w:szCs w:val="24"/>
        </w:rPr>
        <w:t>2.2. Projekto rengimo atvejai (tikslai ir uždaviniai):</w:t>
      </w:r>
    </w:p>
    <w:tbl>
      <w:tblPr>
        <w:tblStyle w:val="TableGrid"/>
        <w:tblW w:w="9406" w:type="dxa"/>
        <w:tblLook w:val="04A0" w:firstRow="1" w:lastRow="0" w:firstColumn="1" w:lastColumn="0" w:noHBand="0" w:noVBand="1"/>
      </w:tblPr>
      <w:tblGrid>
        <w:gridCol w:w="576"/>
        <w:gridCol w:w="3121"/>
        <w:gridCol w:w="1782"/>
        <w:gridCol w:w="1389"/>
        <w:gridCol w:w="1176"/>
        <w:gridCol w:w="1362"/>
      </w:tblGrid>
      <w:tr w:rsidR="006433EA" w:rsidRPr="008E7C88" w14:paraId="64DE81FB" w14:textId="77777777" w:rsidTr="001E08D4">
        <w:tc>
          <w:tcPr>
            <w:tcW w:w="576" w:type="dxa"/>
          </w:tcPr>
          <w:p w14:paraId="13768636" w14:textId="77777777" w:rsidR="006433EA" w:rsidRPr="008E7C88" w:rsidRDefault="006433EA" w:rsidP="00CB45CA">
            <w:pPr>
              <w:pStyle w:val="Style1"/>
              <w:jc w:val="center"/>
              <w:rPr>
                <w:b/>
              </w:rPr>
            </w:pPr>
            <w:r w:rsidRPr="008E7C88">
              <w:rPr>
                <w:b/>
              </w:rPr>
              <w:t>Eil.</w:t>
            </w:r>
          </w:p>
          <w:p w14:paraId="45077160" w14:textId="77777777" w:rsidR="006433EA" w:rsidRPr="008E7C88" w:rsidRDefault="006433EA" w:rsidP="00CB45CA">
            <w:pPr>
              <w:pStyle w:val="Style1"/>
              <w:jc w:val="center"/>
              <w:rPr>
                <w:b/>
              </w:rPr>
            </w:pPr>
            <w:r w:rsidRPr="008E7C88">
              <w:rPr>
                <w:b/>
              </w:rPr>
              <w:t>Nr.</w:t>
            </w:r>
          </w:p>
        </w:tc>
        <w:tc>
          <w:tcPr>
            <w:tcW w:w="3121" w:type="dxa"/>
          </w:tcPr>
          <w:p w14:paraId="49954CB6" w14:textId="77777777" w:rsidR="006433EA" w:rsidRPr="008E7C88" w:rsidRDefault="006433EA" w:rsidP="00CB45CA">
            <w:pPr>
              <w:pStyle w:val="Style1"/>
              <w:rPr>
                <w:b/>
              </w:rPr>
            </w:pPr>
            <w:r w:rsidRPr="008E7C88">
              <w:rPr>
                <w:b/>
              </w:rPr>
              <w:t>Paslaugų pavadinimas/</w:t>
            </w:r>
          </w:p>
          <w:p w14:paraId="7FACBDFA" w14:textId="77777777" w:rsidR="006433EA" w:rsidRPr="008E7C88" w:rsidRDefault="006433EA" w:rsidP="00CB45CA">
            <w:pPr>
              <w:pStyle w:val="Style1"/>
              <w:rPr>
                <w:b/>
              </w:rPr>
            </w:pPr>
            <w:r w:rsidRPr="008E7C88">
              <w:rPr>
                <w:b/>
              </w:rPr>
              <w:t xml:space="preserve">Projekto tikslai ir uždaviniai/ </w:t>
            </w:r>
          </w:p>
          <w:p w14:paraId="21011430" w14:textId="7E294C37" w:rsidR="006433EA" w:rsidRPr="008E7C88" w:rsidRDefault="006433EA" w:rsidP="00CB45CA">
            <w:pPr>
              <w:pStyle w:val="Style1"/>
              <w:rPr>
                <w:b/>
              </w:rPr>
            </w:pPr>
          </w:p>
        </w:tc>
        <w:tc>
          <w:tcPr>
            <w:tcW w:w="1782" w:type="dxa"/>
          </w:tcPr>
          <w:p w14:paraId="41702C5C" w14:textId="115DDB63" w:rsidR="006433EA" w:rsidRPr="008E7C88" w:rsidRDefault="006433EA" w:rsidP="00CB45CA">
            <w:pPr>
              <w:pStyle w:val="Style1"/>
              <w:rPr>
                <w:b/>
              </w:rPr>
            </w:pPr>
            <w:r w:rsidRPr="008E7C88">
              <w:rPr>
                <w:b/>
              </w:rPr>
              <w:t>TPDRIS paslaugos Nr.</w:t>
            </w:r>
          </w:p>
        </w:tc>
        <w:tc>
          <w:tcPr>
            <w:tcW w:w="1389" w:type="dxa"/>
          </w:tcPr>
          <w:p w14:paraId="0762A4BC" w14:textId="3AF7D9D9" w:rsidR="006433EA" w:rsidRPr="008E7C88" w:rsidRDefault="006433EA" w:rsidP="00CB45CA">
            <w:pPr>
              <w:pStyle w:val="Style1"/>
              <w:rPr>
                <w:b/>
              </w:rPr>
            </w:pPr>
            <w:r w:rsidRPr="008E7C88">
              <w:rPr>
                <w:b/>
              </w:rPr>
              <w:t xml:space="preserve">Kvartalo dydis, ha </w:t>
            </w:r>
          </w:p>
        </w:tc>
        <w:tc>
          <w:tcPr>
            <w:tcW w:w="1176" w:type="dxa"/>
          </w:tcPr>
          <w:p w14:paraId="60828EDC" w14:textId="643C1406" w:rsidR="006433EA" w:rsidRPr="008E7C88" w:rsidRDefault="00F00CF6" w:rsidP="00CB45CA">
            <w:pPr>
              <w:pStyle w:val="Style1"/>
              <w:jc w:val="center"/>
              <w:rPr>
                <w:b/>
              </w:rPr>
            </w:pPr>
            <w:r w:rsidRPr="008E7C88">
              <w:rPr>
                <w:b/>
              </w:rPr>
              <w:t>Sutarties galiojimo terminas mėn.</w:t>
            </w:r>
          </w:p>
        </w:tc>
        <w:tc>
          <w:tcPr>
            <w:tcW w:w="1362" w:type="dxa"/>
          </w:tcPr>
          <w:p w14:paraId="0BAF7314" w14:textId="77777777" w:rsidR="006433EA" w:rsidRPr="008E7C88" w:rsidRDefault="006433EA" w:rsidP="00CB45CA">
            <w:pPr>
              <w:pStyle w:val="Style1"/>
              <w:jc w:val="center"/>
              <w:rPr>
                <w:b/>
              </w:rPr>
            </w:pPr>
            <w:r w:rsidRPr="008E7C88">
              <w:rPr>
                <w:b/>
              </w:rPr>
              <w:t>Kaina, Eur su PVM</w:t>
            </w:r>
          </w:p>
        </w:tc>
      </w:tr>
      <w:tr w:rsidR="006433EA" w:rsidRPr="008E7C88" w14:paraId="557E1988" w14:textId="77777777" w:rsidTr="001E08D4">
        <w:tc>
          <w:tcPr>
            <w:tcW w:w="576" w:type="dxa"/>
          </w:tcPr>
          <w:p w14:paraId="472D7178" w14:textId="77777777" w:rsidR="006433EA" w:rsidRPr="008E7C88" w:rsidRDefault="006433EA" w:rsidP="00CB45CA">
            <w:pPr>
              <w:pStyle w:val="Style1"/>
              <w:jc w:val="center"/>
              <w:rPr>
                <w:i/>
              </w:rPr>
            </w:pPr>
            <w:r w:rsidRPr="008E7C88">
              <w:rPr>
                <w:i/>
              </w:rPr>
              <w:t>1</w:t>
            </w:r>
          </w:p>
        </w:tc>
        <w:tc>
          <w:tcPr>
            <w:tcW w:w="3121" w:type="dxa"/>
          </w:tcPr>
          <w:p w14:paraId="3566E907" w14:textId="77777777" w:rsidR="006433EA" w:rsidRPr="008E7C88" w:rsidRDefault="006433EA" w:rsidP="00CB45CA">
            <w:pPr>
              <w:pStyle w:val="Style1"/>
              <w:jc w:val="center"/>
              <w:rPr>
                <w:i/>
              </w:rPr>
            </w:pPr>
            <w:r w:rsidRPr="008E7C88">
              <w:rPr>
                <w:i/>
              </w:rPr>
              <w:t>2</w:t>
            </w:r>
          </w:p>
        </w:tc>
        <w:tc>
          <w:tcPr>
            <w:tcW w:w="1782" w:type="dxa"/>
          </w:tcPr>
          <w:p w14:paraId="4806829D" w14:textId="77777777" w:rsidR="006433EA" w:rsidRPr="008E7C88" w:rsidRDefault="006433EA" w:rsidP="00CB45CA">
            <w:pPr>
              <w:pStyle w:val="Style1"/>
              <w:jc w:val="center"/>
              <w:rPr>
                <w:i/>
              </w:rPr>
            </w:pPr>
            <w:r w:rsidRPr="008E7C88">
              <w:rPr>
                <w:i/>
              </w:rPr>
              <w:t>3</w:t>
            </w:r>
          </w:p>
        </w:tc>
        <w:tc>
          <w:tcPr>
            <w:tcW w:w="1389" w:type="dxa"/>
          </w:tcPr>
          <w:p w14:paraId="3CCDAF68" w14:textId="77777777" w:rsidR="006433EA" w:rsidRPr="008E7C88" w:rsidRDefault="006433EA" w:rsidP="00CB45CA">
            <w:pPr>
              <w:pStyle w:val="Style1"/>
              <w:jc w:val="center"/>
              <w:rPr>
                <w:i/>
              </w:rPr>
            </w:pPr>
            <w:r w:rsidRPr="008E7C88">
              <w:rPr>
                <w:i/>
              </w:rPr>
              <w:t>4</w:t>
            </w:r>
          </w:p>
        </w:tc>
        <w:tc>
          <w:tcPr>
            <w:tcW w:w="1176" w:type="dxa"/>
          </w:tcPr>
          <w:p w14:paraId="39CEF19D" w14:textId="77777777" w:rsidR="006433EA" w:rsidRPr="008E7C88" w:rsidRDefault="006433EA" w:rsidP="00CB45CA">
            <w:pPr>
              <w:pStyle w:val="Style1"/>
              <w:jc w:val="center"/>
              <w:rPr>
                <w:i/>
              </w:rPr>
            </w:pPr>
            <w:r w:rsidRPr="008E7C88">
              <w:rPr>
                <w:i/>
              </w:rPr>
              <w:t>5</w:t>
            </w:r>
          </w:p>
        </w:tc>
        <w:tc>
          <w:tcPr>
            <w:tcW w:w="1362" w:type="dxa"/>
          </w:tcPr>
          <w:p w14:paraId="5317DCCA" w14:textId="77777777" w:rsidR="006433EA" w:rsidRPr="008E7C88" w:rsidRDefault="006433EA" w:rsidP="00CB45CA">
            <w:pPr>
              <w:pStyle w:val="Style1"/>
              <w:jc w:val="center"/>
              <w:rPr>
                <w:i/>
              </w:rPr>
            </w:pPr>
            <w:r w:rsidRPr="008E7C88">
              <w:rPr>
                <w:i/>
              </w:rPr>
              <w:t>6</w:t>
            </w:r>
          </w:p>
        </w:tc>
      </w:tr>
      <w:tr w:rsidR="00BE0872" w:rsidRPr="008E7C88" w14:paraId="0EFACE5C" w14:textId="77777777" w:rsidTr="001E08D4">
        <w:trPr>
          <w:trHeight w:val="270"/>
        </w:trPr>
        <w:tc>
          <w:tcPr>
            <w:tcW w:w="576" w:type="dxa"/>
          </w:tcPr>
          <w:p w14:paraId="276CCFF4" w14:textId="74A3E042" w:rsidR="00BE0872" w:rsidRPr="008E7C88" w:rsidRDefault="001E08D4" w:rsidP="00CB45CA">
            <w:pPr>
              <w:pStyle w:val="Style1"/>
              <w:jc w:val="center"/>
            </w:pPr>
            <w:r>
              <w:t>1</w:t>
            </w:r>
            <w:r w:rsidR="00BE0872" w:rsidRPr="008E7C88">
              <w:t>.</w:t>
            </w:r>
          </w:p>
        </w:tc>
        <w:tc>
          <w:tcPr>
            <w:tcW w:w="8830" w:type="dxa"/>
            <w:gridSpan w:val="5"/>
          </w:tcPr>
          <w:p w14:paraId="7DC523C9" w14:textId="7C9F34F7" w:rsidR="00BE0872" w:rsidRPr="008E7C88" w:rsidRDefault="00BE0872" w:rsidP="00CB45CA">
            <w:pPr>
              <w:pStyle w:val="Style1"/>
              <w:jc w:val="center"/>
              <w:rPr>
                <w:bCs/>
              </w:rPr>
            </w:pPr>
            <w:r w:rsidRPr="008E7C88">
              <w:rPr>
                <w:b/>
                <w:bCs/>
              </w:rPr>
              <w:t>Kvartalo, ribojamo Eitkūnų, Darvino, Darvino skg., Vištyčio gatvėmis ir valstybine žeme Kybartų mieste, detalusis planas</w:t>
            </w:r>
          </w:p>
        </w:tc>
      </w:tr>
      <w:tr w:rsidR="00BE0872" w:rsidRPr="008E7C88" w14:paraId="2FBDE44C" w14:textId="77777777" w:rsidTr="001E08D4">
        <w:trPr>
          <w:trHeight w:val="270"/>
        </w:trPr>
        <w:tc>
          <w:tcPr>
            <w:tcW w:w="576" w:type="dxa"/>
          </w:tcPr>
          <w:p w14:paraId="45BC66AA" w14:textId="0A24C06E" w:rsidR="00BE0872" w:rsidRPr="008E7C88" w:rsidRDefault="001E08D4" w:rsidP="00BE0872">
            <w:pPr>
              <w:pStyle w:val="Style1"/>
              <w:jc w:val="center"/>
            </w:pPr>
            <w:r>
              <w:t>1</w:t>
            </w:r>
            <w:r w:rsidR="00BE0872" w:rsidRPr="008E7C88">
              <w:t>.1.</w:t>
            </w:r>
          </w:p>
          <w:p w14:paraId="67BB50F6" w14:textId="77777777" w:rsidR="00BE0872" w:rsidRPr="008E7C88" w:rsidRDefault="00BE0872" w:rsidP="00BE0872">
            <w:pPr>
              <w:pStyle w:val="Style1"/>
              <w:jc w:val="center"/>
            </w:pPr>
          </w:p>
          <w:p w14:paraId="181DD8F8" w14:textId="77777777" w:rsidR="00BE0872" w:rsidRPr="008E7C88" w:rsidRDefault="00BE0872" w:rsidP="00BE0872">
            <w:pPr>
              <w:pStyle w:val="Style1"/>
              <w:jc w:val="center"/>
            </w:pPr>
          </w:p>
          <w:p w14:paraId="4C194F46" w14:textId="77777777" w:rsidR="00BE0872" w:rsidRPr="008E7C88" w:rsidRDefault="00BE0872" w:rsidP="00BE0872">
            <w:pPr>
              <w:pStyle w:val="Style1"/>
              <w:jc w:val="center"/>
            </w:pPr>
          </w:p>
          <w:p w14:paraId="02031E94" w14:textId="77777777" w:rsidR="00BE0872" w:rsidRPr="008E7C88" w:rsidRDefault="00BE0872" w:rsidP="00BE0872">
            <w:pPr>
              <w:pStyle w:val="Style1"/>
              <w:jc w:val="center"/>
            </w:pPr>
          </w:p>
          <w:p w14:paraId="4CB8C7B1" w14:textId="77777777" w:rsidR="00BE0872" w:rsidRPr="008E7C88" w:rsidRDefault="00BE0872" w:rsidP="00BE0872">
            <w:pPr>
              <w:pStyle w:val="Style1"/>
              <w:jc w:val="center"/>
            </w:pPr>
          </w:p>
          <w:p w14:paraId="67D1A66B" w14:textId="77777777" w:rsidR="00BE0872" w:rsidRPr="008E7C88" w:rsidRDefault="00BE0872" w:rsidP="00BE0872">
            <w:pPr>
              <w:pStyle w:val="Style1"/>
              <w:jc w:val="center"/>
            </w:pPr>
          </w:p>
          <w:p w14:paraId="70EA54E6" w14:textId="77777777" w:rsidR="00BE0872" w:rsidRPr="008E7C88" w:rsidRDefault="00BE0872" w:rsidP="00BE0872">
            <w:pPr>
              <w:pStyle w:val="Style1"/>
              <w:jc w:val="center"/>
            </w:pPr>
          </w:p>
          <w:p w14:paraId="68C7E953" w14:textId="77777777" w:rsidR="00BE0872" w:rsidRPr="008E7C88" w:rsidRDefault="00BE0872" w:rsidP="00BE0872">
            <w:pPr>
              <w:pStyle w:val="Style1"/>
              <w:jc w:val="center"/>
            </w:pPr>
          </w:p>
          <w:p w14:paraId="584EF309" w14:textId="77777777" w:rsidR="00BE0872" w:rsidRPr="008E7C88" w:rsidRDefault="00BE0872" w:rsidP="00BE0872">
            <w:pPr>
              <w:pStyle w:val="Style1"/>
              <w:jc w:val="center"/>
            </w:pPr>
          </w:p>
          <w:p w14:paraId="67CE90F6" w14:textId="77777777" w:rsidR="00BE0872" w:rsidRPr="008E7C88" w:rsidRDefault="00BE0872" w:rsidP="00BE0872">
            <w:pPr>
              <w:pStyle w:val="Style1"/>
              <w:jc w:val="center"/>
            </w:pPr>
          </w:p>
          <w:p w14:paraId="7A9C0E65" w14:textId="77777777" w:rsidR="00BE0872" w:rsidRPr="008E7C88" w:rsidRDefault="00BE0872" w:rsidP="00BE0872">
            <w:pPr>
              <w:pStyle w:val="Style1"/>
              <w:jc w:val="center"/>
            </w:pPr>
          </w:p>
          <w:p w14:paraId="4FE14183" w14:textId="723F32D3" w:rsidR="00BE0872" w:rsidRPr="008E7C88" w:rsidRDefault="00FA1AF4" w:rsidP="00BE0872">
            <w:pPr>
              <w:pStyle w:val="Style1"/>
              <w:jc w:val="center"/>
            </w:pPr>
            <w:r>
              <w:t>1</w:t>
            </w:r>
            <w:r w:rsidR="00BE0872" w:rsidRPr="008E7C88">
              <w:t>.2.</w:t>
            </w:r>
          </w:p>
          <w:p w14:paraId="0F9B0C25" w14:textId="77777777" w:rsidR="00BE0872" w:rsidRPr="008E7C88" w:rsidRDefault="00BE0872" w:rsidP="00BE0872">
            <w:pPr>
              <w:pStyle w:val="Style1"/>
              <w:jc w:val="center"/>
            </w:pPr>
          </w:p>
          <w:p w14:paraId="4A2D9AD8" w14:textId="77777777" w:rsidR="00BE0872" w:rsidRPr="008E7C88" w:rsidRDefault="00BE0872" w:rsidP="00BE0872">
            <w:pPr>
              <w:pStyle w:val="Style1"/>
              <w:jc w:val="center"/>
            </w:pPr>
          </w:p>
          <w:p w14:paraId="529A1B2C" w14:textId="77777777" w:rsidR="00BE0872" w:rsidRPr="008E7C88" w:rsidRDefault="00BE0872" w:rsidP="00BE0872">
            <w:pPr>
              <w:pStyle w:val="Style1"/>
              <w:jc w:val="center"/>
            </w:pPr>
          </w:p>
          <w:p w14:paraId="7D11447E" w14:textId="40D8887B" w:rsidR="00BE0872" w:rsidRPr="008E7C88" w:rsidRDefault="00FA1AF4" w:rsidP="00BE0872">
            <w:pPr>
              <w:pStyle w:val="Style1"/>
              <w:jc w:val="center"/>
            </w:pPr>
            <w:r>
              <w:t>1</w:t>
            </w:r>
            <w:r w:rsidR="00BE0872" w:rsidRPr="008E7C88">
              <w:t>.3.</w:t>
            </w:r>
          </w:p>
          <w:p w14:paraId="1A7D89FD" w14:textId="77777777" w:rsidR="00BE0872" w:rsidRPr="008E7C88" w:rsidRDefault="00BE0872" w:rsidP="00BE0872">
            <w:pPr>
              <w:pStyle w:val="Style1"/>
              <w:jc w:val="center"/>
            </w:pPr>
          </w:p>
          <w:p w14:paraId="5D237E42" w14:textId="77777777" w:rsidR="00BE0872" w:rsidRPr="008E7C88" w:rsidRDefault="00BE0872" w:rsidP="00BE0872">
            <w:pPr>
              <w:pStyle w:val="Style1"/>
              <w:jc w:val="center"/>
            </w:pPr>
          </w:p>
          <w:p w14:paraId="35AF9187" w14:textId="77777777" w:rsidR="00BE0872" w:rsidRPr="008E7C88" w:rsidRDefault="00BE0872" w:rsidP="00BE0872">
            <w:pPr>
              <w:pStyle w:val="Style1"/>
              <w:jc w:val="center"/>
            </w:pPr>
          </w:p>
          <w:p w14:paraId="6A273AAA" w14:textId="55DB75E8" w:rsidR="00BE0872" w:rsidRPr="008E7C88" w:rsidRDefault="00FA1AF4" w:rsidP="00BE0872">
            <w:pPr>
              <w:pStyle w:val="Style1"/>
              <w:jc w:val="center"/>
            </w:pPr>
            <w:r>
              <w:t>1</w:t>
            </w:r>
            <w:r w:rsidR="00BE0872" w:rsidRPr="008E7C88">
              <w:t>.4.</w:t>
            </w:r>
          </w:p>
        </w:tc>
        <w:tc>
          <w:tcPr>
            <w:tcW w:w="3121" w:type="dxa"/>
          </w:tcPr>
          <w:p w14:paraId="53390AF6" w14:textId="77777777" w:rsidR="00BE0872" w:rsidRPr="008E7C88" w:rsidRDefault="00BE0872" w:rsidP="00BE0872">
            <w:pPr>
              <w:spacing w:line="256" w:lineRule="auto"/>
              <w:jc w:val="both"/>
              <w:rPr>
                <w:rFonts w:ascii="Times New Roman" w:hAnsi="Times New Roman" w:cs="Times New Roman"/>
                <w:sz w:val="24"/>
                <w:szCs w:val="24"/>
              </w:rPr>
            </w:pPr>
            <w:r w:rsidRPr="008E7C88">
              <w:rPr>
                <w:rFonts w:ascii="Times New Roman" w:hAnsi="Times New Roman" w:cs="Times New Roman"/>
                <w:sz w:val="24"/>
                <w:szCs w:val="24"/>
              </w:rPr>
              <w:lastRenderedPageBreak/>
              <w:t>Suformuoti žemės sklypus, numatant gyvenamosios teritorijos, ekonominės, inžinerinės ir socialinės infrastruktūros vystymo  galimybes, atsižvelgiant į esamą urbanistinę aplinką, inžinerines ir susisiekimo sistemas, numatyti plėtrai reikalingas zonas;</w:t>
            </w:r>
          </w:p>
          <w:p w14:paraId="4E666BCA" w14:textId="77777777" w:rsidR="00BE0872" w:rsidRPr="008E7C88" w:rsidRDefault="00BE0872" w:rsidP="00BE0872">
            <w:pPr>
              <w:spacing w:line="256" w:lineRule="auto"/>
              <w:jc w:val="both"/>
              <w:rPr>
                <w:rFonts w:ascii="Times New Roman" w:hAnsi="Times New Roman" w:cs="Times New Roman"/>
                <w:sz w:val="24"/>
                <w:szCs w:val="24"/>
              </w:rPr>
            </w:pPr>
            <w:r w:rsidRPr="008E7C88">
              <w:rPr>
                <w:rFonts w:ascii="Times New Roman" w:hAnsi="Times New Roman" w:cs="Times New Roman"/>
                <w:sz w:val="24"/>
                <w:szCs w:val="24"/>
              </w:rPr>
              <w:t xml:space="preserve">numatyti sveikos, saugios, darnios ir visavertės </w:t>
            </w:r>
            <w:r w:rsidRPr="008E7C88">
              <w:rPr>
                <w:rFonts w:ascii="Times New Roman" w:hAnsi="Times New Roman" w:cs="Times New Roman"/>
                <w:sz w:val="24"/>
                <w:szCs w:val="24"/>
              </w:rPr>
              <w:lastRenderedPageBreak/>
              <w:t>gyvenamosios aplinkos kūrimo galimybes;</w:t>
            </w:r>
          </w:p>
          <w:p w14:paraId="4A41F7DA" w14:textId="77777777" w:rsidR="00BE0872" w:rsidRPr="008E7C88" w:rsidRDefault="00BE0872" w:rsidP="00BE0872">
            <w:pPr>
              <w:spacing w:line="256" w:lineRule="auto"/>
              <w:jc w:val="both"/>
              <w:rPr>
                <w:rFonts w:ascii="Times New Roman" w:hAnsi="Times New Roman" w:cs="Times New Roman"/>
                <w:sz w:val="24"/>
                <w:szCs w:val="24"/>
              </w:rPr>
            </w:pPr>
            <w:r w:rsidRPr="008E7C88">
              <w:rPr>
                <w:rFonts w:ascii="Times New Roman" w:hAnsi="Times New Roman" w:cs="Times New Roman"/>
                <w:sz w:val="24"/>
                <w:szCs w:val="24"/>
              </w:rPr>
              <w:t>suderinti fizinių ir juridinių asmenų, savivaldybės interesus dėl teritorijos naudojimo ir veiklos plėtojimo sąlygų;</w:t>
            </w:r>
          </w:p>
          <w:p w14:paraId="5FCE4D5F" w14:textId="77777777" w:rsidR="00BE0872" w:rsidRPr="008E7C88" w:rsidRDefault="00BE0872" w:rsidP="00BE0872">
            <w:pPr>
              <w:spacing w:line="256" w:lineRule="auto"/>
              <w:jc w:val="both"/>
              <w:rPr>
                <w:rFonts w:ascii="Times New Roman" w:hAnsi="Times New Roman" w:cs="Times New Roman"/>
                <w:sz w:val="24"/>
                <w:szCs w:val="24"/>
              </w:rPr>
            </w:pPr>
            <w:r w:rsidRPr="008E7C88">
              <w:rPr>
                <w:rFonts w:ascii="Times New Roman" w:hAnsi="Times New Roman" w:cs="Times New Roman"/>
                <w:sz w:val="24"/>
                <w:szCs w:val="24"/>
              </w:rPr>
              <w:t>sudaryti sąlygas racionaliam žemės naudojimui, maksimaliai išsaugant gamtinę aplinką.</w:t>
            </w:r>
          </w:p>
          <w:p w14:paraId="7E0286B6" w14:textId="77777777" w:rsidR="00BE0872" w:rsidRPr="008E7C88" w:rsidRDefault="00BE0872" w:rsidP="00BE0872">
            <w:pPr>
              <w:pStyle w:val="ListParagraph"/>
              <w:ind w:left="0"/>
              <w:jc w:val="both"/>
              <w:rPr>
                <w:rFonts w:ascii="Times New Roman" w:hAnsi="Times New Roman" w:cs="Times New Roman"/>
                <w:sz w:val="24"/>
                <w:szCs w:val="24"/>
              </w:rPr>
            </w:pPr>
          </w:p>
        </w:tc>
        <w:tc>
          <w:tcPr>
            <w:tcW w:w="1782" w:type="dxa"/>
          </w:tcPr>
          <w:p w14:paraId="41F6F718" w14:textId="087B13ED" w:rsidR="00BE0872" w:rsidRPr="008E7C88" w:rsidRDefault="00BE0872" w:rsidP="00BE0872">
            <w:pPr>
              <w:pStyle w:val="Style1"/>
              <w:jc w:val="center"/>
            </w:pPr>
            <w:r w:rsidRPr="008E7C88">
              <w:lastRenderedPageBreak/>
              <w:t>K-VT-39-25-198</w:t>
            </w:r>
          </w:p>
        </w:tc>
        <w:tc>
          <w:tcPr>
            <w:tcW w:w="1389" w:type="dxa"/>
          </w:tcPr>
          <w:p w14:paraId="3A721AAD" w14:textId="74B8197A" w:rsidR="00BE0872" w:rsidRPr="008E7C88" w:rsidRDefault="00BE0872" w:rsidP="00BE0872">
            <w:pPr>
              <w:pStyle w:val="Style1"/>
              <w:jc w:val="center"/>
            </w:pPr>
            <w:r w:rsidRPr="008E7C88">
              <w:t xml:space="preserve">~ 22,4000 </w:t>
            </w:r>
          </w:p>
        </w:tc>
        <w:tc>
          <w:tcPr>
            <w:tcW w:w="1176" w:type="dxa"/>
          </w:tcPr>
          <w:p w14:paraId="46763936" w14:textId="55B647DE" w:rsidR="00BE0872" w:rsidRPr="008E7C88" w:rsidRDefault="00BE0872" w:rsidP="00BE0872">
            <w:pPr>
              <w:pStyle w:val="Style1"/>
              <w:jc w:val="center"/>
            </w:pPr>
            <w:r w:rsidRPr="008E7C88">
              <w:t>18</w:t>
            </w:r>
          </w:p>
        </w:tc>
        <w:tc>
          <w:tcPr>
            <w:tcW w:w="1362" w:type="dxa"/>
          </w:tcPr>
          <w:p w14:paraId="407DA8B4" w14:textId="4CEFF4E0" w:rsidR="00BE0872" w:rsidRPr="008E7C88" w:rsidRDefault="00BE0872" w:rsidP="00BE0872">
            <w:pPr>
              <w:pStyle w:val="Style1"/>
              <w:jc w:val="center"/>
              <w:rPr>
                <w:bCs/>
              </w:rPr>
            </w:pPr>
            <w:r w:rsidRPr="008E7C88">
              <w:rPr>
                <w:bCs/>
              </w:rPr>
              <w:t>60000</w:t>
            </w:r>
          </w:p>
        </w:tc>
      </w:tr>
    </w:tbl>
    <w:p w14:paraId="6BB5D86A" w14:textId="77777777" w:rsidR="006367D5" w:rsidRDefault="006367D5" w:rsidP="008E7C88">
      <w:pPr>
        <w:pStyle w:val="Style1"/>
        <w:ind w:left="1211"/>
        <w:rPr>
          <w:b/>
        </w:rPr>
      </w:pPr>
    </w:p>
    <w:p w14:paraId="48B4BF64" w14:textId="39FE4BFC" w:rsidR="00BD383C" w:rsidRPr="008E7C88" w:rsidRDefault="00BD383C" w:rsidP="008E7C88">
      <w:pPr>
        <w:pStyle w:val="Style1"/>
        <w:ind w:left="1211"/>
        <w:rPr>
          <w:b/>
        </w:rPr>
      </w:pPr>
      <w:r w:rsidRPr="008E7C88">
        <w:rPr>
          <w:b/>
        </w:rPr>
        <w:t>3. PASLAUGŲ ATITIKIMAS TEISĖS AKTŲ REIKALAVIMAMS</w:t>
      </w:r>
    </w:p>
    <w:p w14:paraId="591F38F1" w14:textId="77777777" w:rsidR="00BD383C" w:rsidRPr="008E7C88" w:rsidRDefault="00BD383C" w:rsidP="008E7C88">
      <w:pPr>
        <w:pStyle w:val="ListParagraph"/>
        <w:spacing w:line="240" w:lineRule="auto"/>
        <w:ind w:left="1211"/>
        <w:jc w:val="both"/>
        <w:rPr>
          <w:rFonts w:ascii="Times New Roman" w:hAnsi="Times New Roman" w:cs="Times New Roman"/>
          <w:sz w:val="24"/>
          <w:szCs w:val="24"/>
        </w:rPr>
      </w:pPr>
    </w:p>
    <w:p w14:paraId="1DD858AF" w14:textId="77777777" w:rsidR="00BD383C" w:rsidRPr="008E7C88" w:rsidRDefault="00BD383C" w:rsidP="008E7C88">
      <w:pPr>
        <w:pStyle w:val="ListParagraph"/>
        <w:spacing w:line="240" w:lineRule="auto"/>
        <w:ind w:left="0" w:firstLine="746"/>
        <w:jc w:val="both"/>
        <w:rPr>
          <w:rFonts w:ascii="Times New Roman" w:hAnsi="Times New Roman" w:cs="Times New Roman"/>
          <w:sz w:val="24"/>
          <w:szCs w:val="24"/>
        </w:rPr>
      </w:pPr>
      <w:r w:rsidRPr="008E7C88">
        <w:rPr>
          <w:rFonts w:ascii="Times New Roman" w:hAnsi="Times New Roman" w:cs="Times New Roman"/>
          <w:sz w:val="24"/>
          <w:szCs w:val="24"/>
        </w:rPr>
        <w:t>Paslaugos atliekamos vadovaujantis paslaugų teikimo metu žemiau nurodytomis aktualiomis aktų nuostatomis:</w:t>
      </w:r>
    </w:p>
    <w:p w14:paraId="0FCEF0F8" w14:textId="77777777" w:rsidR="00BD383C" w:rsidRPr="008E7C88" w:rsidRDefault="00BD383C" w:rsidP="008E7C88">
      <w:pPr>
        <w:pStyle w:val="ListParagraph"/>
        <w:spacing w:after="0" w:line="240" w:lineRule="auto"/>
        <w:ind w:left="1211" w:hanging="465"/>
        <w:jc w:val="both"/>
        <w:rPr>
          <w:rFonts w:ascii="Times New Roman" w:hAnsi="Times New Roman" w:cs="Times New Roman"/>
          <w:sz w:val="24"/>
          <w:szCs w:val="24"/>
        </w:rPr>
      </w:pPr>
      <w:r w:rsidRPr="008E7C88">
        <w:rPr>
          <w:rFonts w:ascii="Times New Roman" w:hAnsi="Times New Roman" w:cs="Times New Roman"/>
          <w:sz w:val="24"/>
          <w:szCs w:val="24"/>
        </w:rPr>
        <w:t>3.1. Lietuvos Respublikos</w:t>
      </w:r>
      <w:r w:rsidRPr="008E7C88">
        <w:rPr>
          <w:rFonts w:ascii="Times New Roman" w:hAnsi="Times New Roman" w:cs="Times New Roman"/>
          <w:b/>
          <w:sz w:val="24"/>
          <w:szCs w:val="24"/>
        </w:rPr>
        <w:t xml:space="preserve"> </w:t>
      </w:r>
      <w:r w:rsidRPr="008E7C88">
        <w:rPr>
          <w:rFonts w:ascii="Times New Roman" w:hAnsi="Times New Roman" w:cs="Times New Roman"/>
          <w:sz w:val="24"/>
          <w:szCs w:val="24"/>
        </w:rPr>
        <w:t>žemės įstatymu;</w:t>
      </w:r>
    </w:p>
    <w:p w14:paraId="10FF00D6" w14:textId="77777777" w:rsidR="00BD383C" w:rsidRPr="008E7C88" w:rsidRDefault="00BD383C" w:rsidP="008E7C88">
      <w:pPr>
        <w:spacing w:after="0" w:line="240" w:lineRule="auto"/>
        <w:jc w:val="both"/>
        <w:rPr>
          <w:rFonts w:ascii="Times New Roman" w:hAnsi="Times New Roman" w:cs="Times New Roman"/>
          <w:sz w:val="24"/>
          <w:szCs w:val="24"/>
        </w:rPr>
      </w:pPr>
      <w:r w:rsidRPr="008E7C88">
        <w:rPr>
          <w:rFonts w:ascii="Times New Roman" w:hAnsi="Times New Roman" w:cs="Times New Roman"/>
          <w:sz w:val="24"/>
          <w:szCs w:val="24"/>
        </w:rPr>
        <w:t xml:space="preserve">             3.2. Lietuvos Respublikos teritorijų planavimo įstatymu;</w:t>
      </w:r>
    </w:p>
    <w:p w14:paraId="21CFC1B3" w14:textId="7322FF2D" w:rsidR="00BD383C" w:rsidRPr="008E7C88" w:rsidRDefault="00BD383C" w:rsidP="008E7C88">
      <w:pPr>
        <w:pStyle w:val="ListParagraph"/>
        <w:spacing w:line="240" w:lineRule="auto"/>
        <w:ind w:left="1211" w:hanging="465"/>
        <w:jc w:val="both"/>
        <w:rPr>
          <w:rFonts w:ascii="Times New Roman" w:hAnsi="Times New Roman" w:cs="Times New Roman"/>
          <w:iCs/>
          <w:sz w:val="24"/>
          <w:szCs w:val="24"/>
        </w:rPr>
      </w:pPr>
      <w:r w:rsidRPr="008E7C88">
        <w:rPr>
          <w:rFonts w:ascii="Times New Roman" w:hAnsi="Times New Roman" w:cs="Times New Roman"/>
          <w:sz w:val="24"/>
          <w:szCs w:val="24"/>
        </w:rPr>
        <w:t>3.3. Lietuvos Respublikos geodezijos ir kartografijos įstatymu</w:t>
      </w:r>
      <w:r w:rsidRPr="008E7C88">
        <w:rPr>
          <w:rFonts w:ascii="Times New Roman" w:hAnsi="Times New Roman" w:cs="Times New Roman"/>
          <w:iCs/>
          <w:sz w:val="24"/>
          <w:szCs w:val="24"/>
        </w:rPr>
        <w:t>;</w:t>
      </w:r>
    </w:p>
    <w:p w14:paraId="3A46AD18" w14:textId="20A458DC" w:rsidR="00BD383C" w:rsidRPr="008E7C88" w:rsidRDefault="00BD383C" w:rsidP="008E7C88">
      <w:pPr>
        <w:pStyle w:val="ListParagraph"/>
        <w:spacing w:line="240" w:lineRule="auto"/>
        <w:ind w:left="1211" w:hanging="465"/>
        <w:jc w:val="both"/>
        <w:rPr>
          <w:rFonts w:ascii="Times New Roman" w:hAnsi="Times New Roman" w:cs="Times New Roman"/>
          <w:iCs/>
          <w:sz w:val="24"/>
          <w:szCs w:val="24"/>
        </w:rPr>
      </w:pPr>
      <w:r w:rsidRPr="008E7C88">
        <w:rPr>
          <w:rFonts w:ascii="Times New Roman" w:hAnsi="Times New Roman" w:cs="Times New Roman"/>
          <w:iCs/>
          <w:sz w:val="24"/>
          <w:szCs w:val="24"/>
        </w:rPr>
        <w:t xml:space="preserve">3.4. </w:t>
      </w:r>
      <w:r w:rsidRPr="008E7C88">
        <w:rPr>
          <w:rFonts w:ascii="Times New Roman" w:hAnsi="Times New Roman" w:cs="Times New Roman"/>
          <w:sz w:val="24"/>
          <w:szCs w:val="24"/>
        </w:rPr>
        <w:t>Lietuvos Respublikos</w:t>
      </w:r>
      <w:r w:rsidRPr="008E7C88">
        <w:rPr>
          <w:rFonts w:ascii="Times New Roman" w:hAnsi="Times New Roman" w:cs="Times New Roman"/>
          <w:b/>
          <w:sz w:val="24"/>
          <w:szCs w:val="24"/>
        </w:rPr>
        <w:t xml:space="preserve"> </w:t>
      </w:r>
      <w:r w:rsidRPr="008E7C88">
        <w:rPr>
          <w:rFonts w:ascii="Times New Roman" w:hAnsi="Times New Roman" w:cs="Times New Roman"/>
          <w:sz w:val="24"/>
          <w:szCs w:val="24"/>
        </w:rPr>
        <w:t>statybos įstatymu;</w:t>
      </w:r>
    </w:p>
    <w:p w14:paraId="446B4CFB" w14:textId="5BF1BEF8" w:rsidR="00BD383C" w:rsidRPr="008E7C88" w:rsidRDefault="00BD383C" w:rsidP="008E7C88">
      <w:pPr>
        <w:pStyle w:val="ListParagraph"/>
        <w:spacing w:line="240" w:lineRule="auto"/>
        <w:ind w:left="1211" w:hanging="465"/>
        <w:jc w:val="both"/>
        <w:rPr>
          <w:rFonts w:ascii="Times New Roman" w:hAnsi="Times New Roman" w:cs="Times New Roman"/>
          <w:iCs/>
          <w:sz w:val="24"/>
          <w:szCs w:val="24"/>
        </w:rPr>
      </w:pPr>
      <w:r w:rsidRPr="008E7C88">
        <w:rPr>
          <w:rFonts w:ascii="Times New Roman" w:hAnsi="Times New Roman" w:cs="Times New Roman"/>
          <w:iCs/>
          <w:sz w:val="24"/>
          <w:szCs w:val="24"/>
        </w:rPr>
        <w:t>3.5. Lietuvos Respublikos žemės gelmių įstatymu;</w:t>
      </w:r>
    </w:p>
    <w:p w14:paraId="1A32F822" w14:textId="64382222" w:rsidR="00BD383C" w:rsidRPr="008E7C88" w:rsidRDefault="00BD383C" w:rsidP="008E7C88">
      <w:pPr>
        <w:pStyle w:val="ListParagraph"/>
        <w:shd w:val="clear" w:color="auto" w:fill="FFFFFF"/>
        <w:spacing w:after="0" w:line="240" w:lineRule="auto"/>
        <w:ind w:left="1211" w:right="29" w:hanging="465"/>
        <w:jc w:val="both"/>
        <w:rPr>
          <w:rFonts w:ascii="Times New Roman" w:hAnsi="Times New Roman" w:cs="Times New Roman"/>
          <w:sz w:val="24"/>
          <w:szCs w:val="24"/>
        </w:rPr>
      </w:pPr>
      <w:r w:rsidRPr="008E7C88">
        <w:rPr>
          <w:rFonts w:ascii="Times New Roman" w:hAnsi="Times New Roman" w:cs="Times New Roman"/>
          <w:sz w:val="24"/>
          <w:szCs w:val="24"/>
        </w:rPr>
        <w:t>3.6. Lietuvos Respublikos kelių įstatymu;</w:t>
      </w:r>
    </w:p>
    <w:p w14:paraId="6C2D6F47" w14:textId="0AF9FB25" w:rsidR="00BD383C" w:rsidRPr="008E7C88" w:rsidRDefault="00BD383C" w:rsidP="008E7C88">
      <w:pPr>
        <w:pStyle w:val="ListParagraph"/>
        <w:shd w:val="clear" w:color="auto" w:fill="FFFFFF"/>
        <w:spacing w:after="0" w:line="240" w:lineRule="auto"/>
        <w:ind w:left="1211" w:right="29" w:hanging="465"/>
        <w:jc w:val="both"/>
        <w:rPr>
          <w:rFonts w:ascii="Times New Roman" w:hAnsi="Times New Roman" w:cs="Times New Roman"/>
          <w:sz w:val="24"/>
          <w:szCs w:val="24"/>
        </w:rPr>
      </w:pPr>
      <w:r w:rsidRPr="008E7C88">
        <w:rPr>
          <w:rFonts w:ascii="Times New Roman" w:hAnsi="Times New Roman" w:cs="Times New Roman"/>
          <w:sz w:val="24"/>
          <w:szCs w:val="24"/>
        </w:rPr>
        <w:t xml:space="preserve">3.7. </w:t>
      </w:r>
      <w:r w:rsidR="00747243" w:rsidRPr="008E7C88">
        <w:rPr>
          <w:rFonts w:ascii="Times New Roman" w:hAnsi="Times New Roman" w:cs="Times New Roman"/>
          <w:sz w:val="24"/>
          <w:szCs w:val="24"/>
        </w:rPr>
        <w:t>Lietuvos Respublikos specialiųjų žemės naudojimo sąlygų įstatymu įstatymu;</w:t>
      </w:r>
    </w:p>
    <w:p w14:paraId="51371003" w14:textId="1C526736" w:rsidR="002D5099" w:rsidRPr="008E7C88" w:rsidRDefault="00BD383C" w:rsidP="008E7C88">
      <w:pPr>
        <w:pStyle w:val="ListParagraph"/>
        <w:shd w:val="clear" w:color="auto" w:fill="FFFFFF"/>
        <w:spacing w:after="0" w:line="240" w:lineRule="auto"/>
        <w:ind w:left="0" w:firstLine="851"/>
        <w:jc w:val="both"/>
        <w:rPr>
          <w:rFonts w:ascii="Times New Roman" w:hAnsi="Times New Roman" w:cs="Times New Roman"/>
          <w:sz w:val="24"/>
          <w:szCs w:val="24"/>
        </w:rPr>
      </w:pPr>
      <w:r w:rsidRPr="008E7C88">
        <w:rPr>
          <w:rFonts w:ascii="Times New Roman" w:hAnsi="Times New Roman" w:cs="Times New Roman"/>
          <w:sz w:val="24"/>
          <w:szCs w:val="24"/>
        </w:rPr>
        <w:t>3</w:t>
      </w:r>
      <w:r w:rsidR="002D5099" w:rsidRPr="008E7C88">
        <w:rPr>
          <w:rFonts w:ascii="Times New Roman" w:hAnsi="Times New Roman" w:cs="Times New Roman"/>
          <w:sz w:val="24"/>
          <w:szCs w:val="24"/>
        </w:rPr>
        <w:t>.</w:t>
      </w:r>
      <w:r w:rsidR="00505EFD" w:rsidRPr="008E7C88">
        <w:rPr>
          <w:rFonts w:ascii="Times New Roman" w:hAnsi="Times New Roman" w:cs="Times New Roman"/>
          <w:sz w:val="24"/>
          <w:szCs w:val="24"/>
        </w:rPr>
        <w:t>8</w:t>
      </w:r>
      <w:r w:rsidR="002D5099" w:rsidRPr="008E7C88">
        <w:rPr>
          <w:rFonts w:ascii="Times New Roman" w:hAnsi="Times New Roman" w:cs="Times New Roman"/>
          <w:sz w:val="24"/>
          <w:szCs w:val="24"/>
        </w:rPr>
        <w:t xml:space="preserve">. Statybos techninis reglamentu STR 2.06.04:2014 „Gatvės ir vietinės reikšmės keliai. Bendrieji reikalavimai“, patvirtintu Lietuvos Respublikos aplinkos ministro 2011 m. gruodžio 2 d. įsakymu D1-933 ,,Dėl Statybos techninio reglamento STR 2.06.04:2014 „Gatvės ir vietinės reikšmės keliai. Bendrieji reikalavimai“ patvirtinimo“;  </w:t>
      </w:r>
    </w:p>
    <w:p w14:paraId="486E33DB" w14:textId="1C094228" w:rsidR="002D5099" w:rsidRPr="008E7C88" w:rsidRDefault="002D5099" w:rsidP="008E7C88">
      <w:pPr>
        <w:spacing w:after="0" w:line="240" w:lineRule="auto"/>
        <w:ind w:firstLine="851"/>
        <w:jc w:val="both"/>
        <w:rPr>
          <w:rFonts w:ascii="Times New Roman" w:hAnsi="Times New Roman" w:cs="Times New Roman"/>
          <w:sz w:val="24"/>
          <w:szCs w:val="24"/>
        </w:rPr>
      </w:pPr>
      <w:r w:rsidRPr="008E7C88">
        <w:rPr>
          <w:rFonts w:ascii="Times New Roman" w:hAnsi="Times New Roman" w:cs="Times New Roman"/>
          <w:sz w:val="24"/>
          <w:szCs w:val="24"/>
        </w:rPr>
        <w:t>3.</w:t>
      </w:r>
      <w:r w:rsidR="00505EFD" w:rsidRPr="008E7C88">
        <w:rPr>
          <w:rFonts w:ascii="Times New Roman" w:hAnsi="Times New Roman" w:cs="Times New Roman"/>
          <w:sz w:val="24"/>
          <w:szCs w:val="24"/>
        </w:rPr>
        <w:t>9</w:t>
      </w:r>
      <w:r w:rsidRPr="008E7C88">
        <w:rPr>
          <w:rFonts w:ascii="Times New Roman" w:hAnsi="Times New Roman" w:cs="Times New Roman"/>
          <w:sz w:val="24"/>
          <w:szCs w:val="24"/>
        </w:rPr>
        <w:t xml:space="preserve">. Žemės naudojimo būdų turinio aprašu, </w:t>
      </w:r>
      <w:bookmarkStart w:id="1" w:name="_Hlk195189469"/>
      <w:r w:rsidRPr="008E7C88">
        <w:rPr>
          <w:rFonts w:ascii="Times New Roman" w:hAnsi="Times New Roman" w:cs="Times New Roman"/>
          <w:sz w:val="24"/>
          <w:szCs w:val="24"/>
        </w:rPr>
        <w:t>patvirtintu Lietuvos Respublikos aplinkos ministro 2024 m. birželio 17 d. įsakymu Nr. D1-199 ,,</w:t>
      </w:r>
      <w:bookmarkEnd w:id="1"/>
      <w:r w:rsidRPr="008E7C88">
        <w:rPr>
          <w:rFonts w:ascii="Times New Roman" w:hAnsi="Times New Roman" w:cs="Times New Roman"/>
          <w:sz w:val="24"/>
          <w:szCs w:val="24"/>
        </w:rPr>
        <w:t>Dėl žemės naudojimo būdų turinio aprašo patvirtinimo“;</w:t>
      </w:r>
    </w:p>
    <w:p w14:paraId="60DF1DEA" w14:textId="66D3955D" w:rsidR="002D5099" w:rsidRPr="008E7C88" w:rsidRDefault="002D5099" w:rsidP="008E7C88">
      <w:pPr>
        <w:pStyle w:val="NoSpacing"/>
        <w:ind w:firstLine="851"/>
        <w:jc w:val="both"/>
        <w:rPr>
          <w:rFonts w:ascii="Times New Roman" w:hAnsi="Times New Roman" w:cs="Times New Roman"/>
          <w:sz w:val="24"/>
          <w:szCs w:val="24"/>
        </w:rPr>
      </w:pPr>
      <w:r w:rsidRPr="008E7C88">
        <w:rPr>
          <w:rFonts w:ascii="Times New Roman" w:hAnsi="Times New Roman" w:cs="Times New Roman"/>
          <w:sz w:val="24"/>
          <w:szCs w:val="24"/>
        </w:rPr>
        <w:t>3.</w:t>
      </w:r>
      <w:r w:rsidR="00CE3FBA" w:rsidRPr="008E7C88">
        <w:rPr>
          <w:rFonts w:ascii="Times New Roman" w:hAnsi="Times New Roman" w:cs="Times New Roman"/>
          <w:sz w:val="24"/>
          <w:szCs w:val="24"/>
        </w:rPr>
        <w:t>1</w:t>
      </w:r>
      <w:r w:rsidR="00505EFD" w:rsidRPr="008E7C88">
        <w:rPr>
          <w:rFonts w:ascii="Times New Roman" w:hAnsi="Times New Roman" w:cs="Times New Roman"/>
          <w:sz w:val="24"/>
          <w:szCs w:val="24"/>
        </w:rPr>
        <w:t>0</w:t>
      </w:r>
      <w:r w:rsidRPr="008E7C88">
        <w:rPr>
          <w:rFonts w:ascii="Times New Roman" w:hAnsi="Times New Roman" w:cs="Times New Roman"/>
          <w:sz w:val="24"/>
          <w:szCs w:val="24"/>
        </w:rPr>
        <w:t xml:space="preserve">. </w:t>
      </w:r>
      <w:bookmarkStart w:id="2" w:name="_Hlk200003163"/>
      <w:r w:rsidRPr="008E7C88">
        <w:rPr>
          <w:rFonts w:ascii="Times New Roman" w:hAnsi="Times New Roman" w:cs="Times New Roman"/>
          <w:sz w:val="24"/>
          <w:szCs w:val="24"/>
        </w:rPr>
        <w:t>Vilkaviškio miest</w:t>
      </w:r>
      <w:r w:rsidR="00DC70F5" w:rsidRPr="008E7C88">
        <w:rPr>
          <w:rFonts w:ascii="Times New Roman" w:hAnsi="Times New Roman" w:cs="Times New Roman"/>
          <w:sz w:val="24"/>
          <w:szCs w:val="24"/>
        </w:rPr>
        <w:t>o</w:t>
      </w:r>
      <w:r w:rsidRPr="008E7C88">
        <w:rPr>
          <w:rFonts w:ascii="Times New Roman" w:hAnsi="Times New Roman" w:cs="Times New Roman"/>
          <w:sz w:val="24"/>
          <w:szCs w:val="24"/>
        </w:rPr>
        <w:t xml:space="preserve"> teritorij</w:t>
      </w:r>
      <w:r w:rsidR="00DC70F5" w:rsidRPr="008E7C88">
        <w:rPr>
          <w:rFonts w:ascii="Times New Roman" w:hAnsi="Times New Roman" w:cs="Times New Roman"/>
          <w:sz w:val="24"/>
          <w:szCs w:val="24"/>
        </w:rPr>
        <w:t>os</w:t>
      </w:r>
      <w:r w:rsidRPr="008E7C88">
        <w:rPr>
          <w:rFonts w:ascii="Times New Roman" w:hAnsi="Times New Roman" w:cs="Times New Roman"/>
          <w:sz w:val="24"/>
          <w:szCs w:val="24"/>
        </w:rPr>
        <w:t xml:space="preserve"> bendr</w:t>
      </w:r>
      <w:r w:rsidR="00DC70F5" w:rsidRPr="008E7C88">
        <w:rPr>
          <w:rFonts w:ascii="Times New Roman" w:hAnsi="Times New Roman" w:cs="Times New Roman"/>
          <w:sz w:val="24"/>
          <w:szCs w:val="24"/>
        </w:rPr>
        <w:t>uoju</w:t>
      </w:r>
      <w:r w:rsidRPr="008E7C88">
        <w:rPr>
          <w:rFonts w:ascii="Times New Roman" w:hAnsi="Times New Roman" w:cs="Times New Roman"/>
          <w:sz w:val="24"/>
          <w:szCs w:val="24"/>
        </w:rPr>
        <w:t xml:space="preserve"> plan</w:t>
      </w:r>
      <w:r w:rsidR="00DC70F5" w:rsidRPr="008E7C88">
        <w:rPr>
          <w:rFonts w:ascii="Times New Roman" w:hAnsi="Times New Roman" w:cs="Times New Roman"/>
          <w:sz w:val="24"/>
          <w:szCs w:val="24"/>
        </w:rPr>
        <w:t>u (TPDR Nr. T00087415)</w:t>
      </w:r>
      <w:r w:rsidRPr="008E7C88">
        <w:rPr>
          <w:rFonts w:ascii="Times New Roman" w:hAnsi="Times New Roman" w:cs="Times New Roman"/>
          <w:sz w:val="24"/>
          <w:szCs w:val="24"/>
        </w:rPr>
        <w:t xml:space="preserve">; </w:t>
      </w:r>
    </w:p>
    <w:bookmarkEnd w:id="2"/>
    <w:p w14:paraId="0BCAF74C" w14:textId="68FB2145" w:rsidR="00DC70F5" w:rsidRPr="008E7C88" w:rsidRDefault="00DC70F5" w:rsidP="008E7C88">
      <w:pPr>
        <w:pStyle w:val="NoSpacing"/>
        <w:ind w:firstLine="851"/>
        <w:jc w:val="both"/>
        <w:rPr>
          <w:rFonts w:ascii="Times New Roman" w:hAnsi="Times New Roman" w:cs="Times New Roman"/>
          <w:sz w:val="24"/>
          <w:szCs w:val="24"/>
        </w:rPr>
      </w:pPr>
      <w:r w:rsidRPr="008E7C88">
        <w:rPr>
          <w:rFonts w:ascii="Times New Roman" w:hAnsi="Times New Roman" w:cs="Times New Roman"/>
          <w:sz w:val="24"/>
          <w:szCs w:val="24"/>
        </w:rPr>
        <w:t xml:space="preserve">3.11. Kybartų miesto teritorijos bendruoju planu (TPDR Nr. T00090434); </w:t>
      </w:r>
    </w:p>
    <w:p w14:paraId="6A8B7EB6" w14:textId="1BDAD414" w:rsidR="002D5099" w:rsidRPr="008E7C88" w:rsidRDefault="002D5099" w:rsidP="008E7C88">
      <w:pPr>
        <w:pStyle w:val="NoSpacing"/>
        <w:ind w:firstLine="851"/>
        <w:jc w:val="both"/>
        <w:rPr>
          <w:rFonts w:ascii="Times New Roman" w:hAnsi="Times New Roman" w:cs="Times New Roman"/>
          <w:sz w:val="24"/>
          <w:szCs w:val="24"/>
        </w:rPr>
      </w:pPr>
      <w:r w:rsidRPr="008E7C88">
        <w:rPr>
          <w:rFonts w:ascii="Times New Roman" w:hAnsi="Times New Roman" w:cs="Times New Roman"/>
          <w:sz w:val="24"/>
          <w:szCs w:val="24"/>
        </w:rPr>
        <w:t>3.</w:t>
      </w:r>
      <w:r w:rsidR="00CE3FBA" w:rsidRPr="008E7C88">
        <w:rPr>
          <w:rFonts w:ascii="Times New Roman" w:hAnsi="Times New Roman" w:cs="Times New Roman"/>
          <w:sz w:val="24"/>
          <w:szCs w:val="24"/>
        </w:rPr>
        <w:t>1</w:t>
      </w:r>
      <w:r w:rsidR="00DC70F5" w:rsidRPr="008E7C88">
        <w:rPr>
          <w:rFonts w:ascii="Times New Roman" w:hAnsi="Times New Roman" w:cs="Times New Roman"/>
          <w:sz w:val="24"/>
          <w:szCs w:val="24"/>
        </w:rPr>
        <w:t>2</w:t>
      </w:r>
      <w:r w:rsidRPr="008E7C88">
        <w:rPr>
          <w:rFonts w:ascii="Times New Roman" w:hAnsi="Times New Roman" w:cs="Times New Roman"/>
          <w:sz w:val="24"/>
          <w:szCs w:val="24"/>
        </w:rPr>
        <w:t xml:space="preserve">. Paslaugos tiekėjas privalo vadovautis ne tik aukščiau išvardintais, bet ir visais kitais su šios paslaugos įgyvendinimu susijusiais teisės aktais, taip pat jų naujausiais pakeitimais ir papildymais. </w:t>
      </w:r>
    </w:p>
    <w:p w14:paraId="5B0C7FCE" w14:textId="77777777" w:rsidR="002D5099" w:rsidRPr="008E7C88" w:rsidRDefault="002D5099" w:rsidP="008E7C88">
      <w:pPr>
        <w:tabs>
          <w:tab w:val="left" w:pos="851"/>
        </w:tabs>
        <w:spacing w:after="0" w:line="240" w:lineRule="auto"/>
        <w:jc w:val="center"/>
        <w:rPr>
          <w:rFonts w:ascii="Times New Roman" w:eastAsia="Times New Roman" w:hAnsi="Times New Roman" w:cs="Times New Roman"/>
          <w:b/>
          <w:sz w:val="24"/>
          <w:szCs w:val="24"/>
          <w:lang w:eastAsia="lt-LT"/>
        </w:rPr>
      </w:pPr>
    </w:p>
    <w:p w14:paraId="1C753646" w14:textId="6918E5A9" w:rsidR="007D4FA4" w:rsidRPr="008E7C88" w:rsidRDefault="00F357D8" w:rsidP="008E7C88">
      <w:pPr>
        <w:tabs>
          <w:tab w:val="left" w:pos="851"/>
        </w:tabs>
        <w:spacing w:after="0" w:line="240" w:lineRule="auto"/>
        <w:jc w:val="center"/>
        <w:rPr>
          <w:rFonts w:ascii="Times New Roman" w:eastAsia="Times New Roman" w:hAnsi="Times New Roman" w:cs="Times New Roman"/>
          <w:b/>
          <w:sz w:val="24"/>
          <w:szCs w:val="24"/>
          <w:lang w:eastAsia="lt-LT"/>
        </w:rPr>
      </w:pPr>
      <w:r w:rsidRPr="008E7C88">
        <w:rPr>
          <w:rFonts w:ascii="Times New Roman" w:eastAsia="Times New Roman" w:hAnsi="Times New Roman" w:cs="Times New Roman"/>
          <w:b/>
          <w:sz w:val="24"/>
          <w:szCs w:val="24"/>
          <w:lang w:eastAsia="lt-LT"/>
        </w:rPr>
        <w:t>4</w:t>
      </w:r>
      <w:r w:rsidR="00745CFC" w:rsidRPr="008E7C88">
        <w:rPr>
          <w:rFonts w:ascii="Times New Roman" w:eastAsia="Times New Roman" w:hAnsi="Times New Roman" w:cs="Times New Roman"/>
          <w:b/>
          <w:sz w:val="24"/>
          <w:szCs w:val="24"/>
          <w:lang w:eastAsia="lt-LT"/>
        </w:rPr>
        <w:t>.</w:t>
      </w:r>
      <w:r w:rsidR="007D4FA4" w:rsidRPr="008E7C88">
        <w:rPr>
          <w:rFonts w:ascii="Times New Roman" w:eastAsia="Times New Roman" w:hAnsi="Times New Roman" w:cs="Times New Roman"/>
          <w:b/>
          <w:sz w:val="24"/>
          <w:szCs w:val="24"/>
          <w:lang w:eastAsia="lt-LT"/>
        </w:rPr>
        <w:t xml:space="preserve"> PERKAMŲ PASLAUGŲ APRAŠYMAS</w:t>
      </w:r>
    </w:p>
    <w:p w14:paraId="57AFEDB3" w14:textId="2D0D8EC0" w:rsidR="007D4FA4" w:rsidRPr="008E7C88" w:rsidRDefault="00F357D8" w:rsidP="008E7C88">
      <w:pPr>
        <w:pStyle w:val="ListParagraph"/>
        <w:tabs>
          <w:tab w:val="left" w:pos="378"/>
          <w:tab w:val="left" w:pos="993"/>
          <w:tab w:val="left" w:pos="1276"/>
        </w:tabs>
        <w:kinsoku w:val="0"/>
        <w:overflowPunct w:val="0"/>
        <w:spacing w:after="0" w:line="240" w:lineRule="auto"/>
        <w:ind w:left="0" w:firstLine="851"/>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 xml:space="preserve">4.1. </w:t>
      </w:r>
      <w:r w:rsidR="00505EFD" w:rsidRPr="008E7C88">
        <w:rPr>
          <w:rFonts w:ascii="Times New Roman" w:hAnsi="Times New Roman" w:cs="Times New Roman"/>
          <w:sz w:val="24"/>
          <w:szCs w:val="24"/>
        </w:rPr>
        <w:t>Detaliųjų planų parengiamojo etapo dokumentai patalpinti TPDRIS proceso bylose</w:t>
      </w:r>
      <w:r w:rsidR="00D3665E" w:rsidRPr="008E7C88">
        <w:rPr>
          <w:rFonts w:ascii="Times New Roman" w:hAnsi="Times New Roman" w:cs="Times New Roman"/>
          <w:sz w:val="24"/>
          <w:szCs w:val="24"/>
        </w:rPr>
        <w:t>, kurių numeriai nurodyti 2.2. punkte</w:t>
      </w:r>
      <w:r w:rsidR="00505EFD" w:rsidRPr="008E7C88">
        <w:rPr>
          <w:rFonts w:ascii="Times New Roman" w:hAnsi="Times New Roman" w:cs="Times New Roman"/>
          <w:sz w:val="24"/>
          <w:szCs w:val="24"/>
        </w:rPr>
        <w:t>.</w:t>
      </w:r>
    </w:p>
    <w:p w14:paraId="133ED6CE" w14:textId="599EC986" w:rsidR="00477120" w:rsidRPr="008E7C88" w:rsidRDefault="00E172CC" w:rsidP="008E7C88">
      <w:pPr>
        <w:pStyle w:val="ListParagraph"/>
        <w:numPr>
          <w:ilvl w:val="1"/>
          <w:numId w:val="10"/>
        </w:num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 xml:space="preserve"> </w:t>
      </w:r>
      <w:r w:rsidR="00D83130" w:rsidRPr="008E7C88">
        <w:rPr>
          <w:rFonts w:ascii="Times New Roman" w:eastAsia="Times New Roman" w:hAnsi="Times New Roman" w:cs="Times New Roman"/>
          <w:sz w:val="24"/>
          <w:szCs w:val="24"/>
        </w:rPr>
        <w:t>Detaliojo</w:t>
      </w:r>
      <w:r w:rsidR="00FC219E" w:rsidRPr="008E7C88">
        <w:rPr>
          <w:rFonts w:ascii="Times New Roman" w:eastAsia="Times New Roman" w:hAnsi="Times New Roman" w:cs="Times New Roman"/>
          <w:sz w:val="24"/>
          <w:szCs w:val="24"/>
        </w:rPr>
        <w:t xml:space="preserve"> </w:t>
      </w:r>
      <w:r w:rsidR="00477120" w:rsidRPr="008E7C88">
        <w:rPr>
          <w:rFonts w:ascii="Times New Roman" w:eastAsia="Times New Roman" w:hAnsi="Times New Roman" w:cs="Times New Roman"/>
          <w:sz w:val="24"/>
          <w:szCs w:val="24"/>
        </w:rPr>
        <w:t xml:space="preserve">plano </w:t>
      </w:r>
      <w:r w:rsidR="00C96B55" w:rsidRPr="008E7C88">
        <w:rPr>
          <w:rFonts w:ascii="Times New Roman" w:eastAsia="Times New Roman" w:hAnsi="Times New Roman" w:cs="Times New Roman"/>
          <w:sz w:val="24"/>
          <w:szCs w:val="24"/>
        </w:rPr>
        <w:t>rengimo</w:t>
      </w:r>
      <w:r w:rsidR="00477120" w:rsidRPr="008E7C88">
        <w:rPr>
          <w:rFonts w:ascii="Times New Roman" w:eastAsia="Times New Roman" w:hAnsi="Times New Roman" w:cs="Times New Roman"/>
          <w:sz w:val="24"/>
          <w:szCs w:val="24"/>
        </w:rPr>
        <w:t xml:space="preserve"> darbų apimtis:</w:t>
      </w:r>
    </w:p>
    <w:p w14:paraId="6CC34A17" w14:textId="5728687A" w:rsidR="00477120" w:rsidRPr="008E7C88" w:rsidRDefault="00E172CC" w:rsidP="008E7C88">
      <w:pPr>
        <w:pStyle w:val="ListParagraph"/>
        <w:tabs>
          <w:tab w:val="left" w:pos="0"/>
          <w:tab w:val="left" w:pos="378"/>
          <w:tab w:val="left" w:pos="993"/>
        </w:tabs>
        <w:kinsoku w:val="0"/>
        <w:overflowPunct w:val="0"/>
        <w:spacing w:after="0" w:line="240" w:lineRule="auto"/>
        <w:ind w:left="0" w:firstLine="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4E5C87" w:rsidRPr="008E7C88">
        <w:rPr>
          <w:rFonts w:ascii="Times New Roman" w:eastAsia="Times New Roman" w:hAnsi="Times New Roman" w:cs="Times New Roman"/>
          <w:sz w:val="24"/>
          <w:szCs w:val="24"/>
        </w:rPr>
        <w:t>.1.</w:t>
      </w:r>
      <w:r w:rsidR="00477120" w:rsidRPr="008E7C88">
        <w:rPr>
          <w:rFonts w:ascii="Times New Roman" w:eastAsia="Times New Roman" w:hAnsi="Times New Roman" w:cs="Times New Roman"/>
          <w:sz w:val="24"/>
          <w:szCs w:val="24"/>
        </w:rPr>
        <w:t xml:space="preserve">aiškinamasis </w:t>
      </w:r>
      <w:r w:rsidR="00DB13A3" w:rsidRPr="008E7C88">
        <w:rPr>
          <w:rFonts w:ascii="Times New Roman" w:eastAsia="Times New Roman" w:hAnsi="Times New Roman" w:cs="Times New Roman"/>
          <w:sz w:val="24"/>
          <w:szCs w:val="24"/>
        </w:rPr>
        <w:t>raštas (</w:t>
      </w:r>
      <w:r w:rsidR="00477120" w:rsidRPr="008E7C88">
        <w:rPr>
          <w:rFonts w:ascii="Times New Roman" w:eastAsia="Times New Roman" w:hAnsi="Times New Roman" w:cs="Times New Roman"/>
          <w:sz w:val="24"/>
          <w:szCs w:val="24"/>
        </w:rPr>
        <w:t xml:space="preserve">tekstinė dalis, </w:t>
      </w:r>
      <w:r w:rsidR="00EA15B6" w:rsidRPr="008E7C88">
        <w:rPr>
          <w:rFonts w:ascii="Times New Roman" w:eastAsia="Times New Roman" w:hAnsi="Times New Roman" w:cs="Times New Roman"/>
          <w:sz w:val="24"/>
          <w:szCs w:val="24"/>
        </w:rPr>
        <w:t xml:space="preserve">informuojama apie </w:t>
      </w:r>
      <w:r w:rsidR="00B36753" w:rsidRPr="008E7C88">
        <w:rPr>
          <w:rFonts w:ascii="Times New Roman" w:eastAsia="Times New Roman" w:hAnsi="Times New Roman" w:cs="Times New Roman"/>
          <w:sz w:val="24"/>
          <w:szCs w:val="24"/>
        </w:rPr>
        <w:t>esamą būklę, pagrindžiami teritorij</w:t>
      </w:r>
      <w:r w:rsidR="00E601A7" w:rsidRPr="008E7C88">
        <w:rPr>
          <w:rFonts w:ascii="Times New Roman" w:eastAsia="Times New Roman" w:hAnsi="Times New Roman" w:cs="Times New Roman"/>
          <w:sz w:val="24"/>
          <w:szCs w:val="24"/>
        </w:rPr>
        <w:t>os</w:t>
      </w:r>
      <w:r w:rsidR="00B36753" w:rsidRPr="008E7C88">
        <w:rPr>
          <w:rFonts w:ascii="Times New Roman" w:eastAsia="Times New Roman" w:hAnsi="Times New Roman" w:cs="Times New Roman"/>
          <w:sz w:val="24"/>
          <w:szCs w:val="24"/>
        </w:rPr>
        <w:t xml:space="preserve"> vystymo ir </w:t>
      </w:r>
      <w:r w:rsidR="00E601A7" w:rsidRPr="008E7C88">
        <w:rPr>
          <w:rFonts w:ascii="Times New Roman" w:eastAsia="Times New Roman" w:hAnsi="Times New Roman" w:cs="Times New Roman"/>
          <w:sz w:val="24"/>
          <w:szCs w:val="24"/>
        </w:rPr>
        <w:t>tvarkymo</w:t>
      </w:r>
      <w:r w:rsidR="00B36753" w:rsidRPr="008E7C88">
        <w:rPr>
          <w:rFonts w:ascii="Times New Roman" w:eastAsia="Times New Roman" w:hAnsi="Times New Roman" w:cs="Times New Roman"/>
          <w:sz w:val="24"/>
          <w:szCs w:val="24"/>
        </w:rPr>
        <w:t xml:space="preserve"> poreikiai</w:t>
      </w:r>
      <w:r w:rsidR="00E601A7" w:rsidRPr="008E7C88">
        <w:rPr>
          <w:rFonts w:ascii="Times New Roman" w:eastAsia="Times New Roman" w:hAnsi="Times New Roman" w:cs="Times New Roman"/>
          <w:sz w:val="24"/>
          <w:szCs w:val="24"/>
        </w:rPr>
        <w:t>, numatant gyvenamosios teritorijos, inžinerinės ir socialinės infrastruktūros vystymo galimybes, atsižvelgiant į esamą urbanistinę aplinką, inžinerines ir susisiekimo sistemas, numatant sveikos, saugios, darnios ir visavertės gyvenamosios aplinkos kūrimo galimybes, suderinant fizinių ir juridinių asmenų, savivaldybės interesus dėl teritorijos naudojimo ir veiklos plėtojimo sąlygų, sudarant sąlygas racionaliam žemės naudojimui, maksimaliai išsaugant gamtinę aplinką</w:t>
      </w:r>
      <w:r w:rsidR="00B36753" w:rsidRPr="008E7C88">
        <w:rPr>
          <w:rFonts w:ascii="Times New Roman" w:eastAsia="Times New Roman" w:hAnsi="Times New Roman" w:cs="Times New Roman"/>
          <w:sz w:val="24"/>
          <w:szCs w:val="24"/>
        </w:rPr>
        <w:t>, įvertinant plėtros alternatyvas ir konkretizuojant sprendinius,</w:t>
      </w:r>
      <w:r w:rsidR="00477120" w:rsidRPr="008E7C88">
        <w:rPr>
          <w:rFonts w:ascii="Times New Roman" w:eastAsia="Times New Roman" w:hAnsi="Times New Roman" w:cs="Times New Roman"/>
          <w:sz w:val="24"/>
          <w:szCs w:val="24"/>
        </w:rPr>
        <w:t xml:space="preserve"> pa</w:t>
      </w:r>
      <w:r w:rsidR="00B36753" w:rsidRPr="008E7C88">
        <w:rPr>
          <w:rFonts w:ascii="Times New Roman" w:eastAsia="Times New Roman" w:hAnsi="Times New Roman" w:cs="Times New Roman"/>
          <w:sz w:val="24"/>
          <w:szCs w:val="24"/>
        </w:rPr>
        <w:t>grindžiami</w:t>
      </w:r>
      <w:r w:rsidR="00477120" w:rsidRPr="008E7C88">
        <w:rPr>
          <w:rFonts w:ascii="Times New Roman" w:eastAsia="Times New Roman" w:hAnsi="Times New Roman" w:cs="Times New Roman"/>
          <w:sz w:val="24"/>
          <w:szCs w:val="24"/>
        </w:rPr>
        <w:t xml:space="preserve"> </w:t>
      </w:r>
      <w:r w:rsidR="00B36753" w:rsidRPr="008E7C88">
        <w:rPr>
          <w:rFonts w:ascii="Times New Roman" w:eastAsia="Times New Roman" w:hAnsi="Times New Roman" w:cs="Times New Roman"/>
          <w:sz w:val="24"/>
          <w:szCs w:val="24"/>
        </w:rPr>
        <w:t>brėžiniuose pateikti</w:t>
      </w:r>
      <w:r w:rsidR="00477120" w:rsidRPr="008E7C88">
        <w:rPr>
          <w:rFonts w:ascii="Times New Roman" w:eastAsia="Times New Roman" w:hAnsi="Times New Roman" w:cs="Times New Roman"/>
          <w:sz w:val="24"/>
          <w:szCs w:val="24"/>
        </w:rPr>
        <w:t xml:space="preserve"> sprendiniai</w:t>
      </w:r>
      <w:r w:rsidR="00EA15B6" w:rsidRPr="008E7C88">
        <w:rPr>
          <w:rFonts w:ascii="Times New Roman" w:eastAsia="Times New Roman" w:hAnsi="Times New Roman" w:cs="Times New Roman"/>
          <w:sz w:val="24"/>
          <w:szCs w:val="24"/>
        </w:rPr>
        <w:t xml:space="preserve">, naudota plano </w:t>
      </w:r>
      <w:r w:rsidR="00B36753" w:rsidRPr="008E7C88">
        <w:rPr>
          <w:rFonts w:ascii="Times New Roman" w:eastAsia="Times New Roman" w:hAnsi="Times New Roman" w:cs="Times New Roman"/>
          <w:sz w:val="24"/>
          <w:szCs w:val="24"/>
        </w:rPr>
        <w:t>rengimo</w:t>
      </w:r>
      <w:r w:rsidR="00EA15B6" w:rsidRPr="008E7C88">
        <w:rPr>
          <w:rFonts w:ascii="Times New Roman" w:eastAsia="Times New Roman" w:hAnsi="Times New Roman" w:cs="Times New Roman"/>
          <w:sz w:val="24"/>
          <w:szCs w:val="24"/>
        </w:rPr>
        <w:t xml:space="preserve"> metodika ir kiti </w:t>
      </w:r>
      <w:r w:rsidR="00B36753" w:rsidRPr="008E7C88">
        <w:rPr>
          <w:rFonts w:ascii="Times New Roman" w:eastAsia="Times New Roman" w:hAnsi="Times New Roman" w:cs="Times New Roman"/>
          <w:sz w:val="24"/>
          <w:szCs w:val="24"/>
        </w:rPr>
        <w:t xml:space="preserve">susiję </w:t>
      </w:r>
      <w:r w:rsidR="00EA15B6" w:rsidRPr="008E7C88">
        <w:rPr>
          <w:rFonts w:ascii="Times New Roman" w:eastAsia="Times New Roman" w:hAnsi="Times New Roman" w:cs="Times New Roman"/>
          <w:sz w:val="24"/>
          <w:szCs w:val="24"/>
        </w:rPr>
        <w:t>paaiškinimai</w:t>
      </w:r>
      <w:r w:rsidR="00477120" w:rsidRPr="008E7C88">
        <w:rPr>
          <w:rFonts w:ascii="Times New Roman" w:eastAsia="Times New Roman" w:hAnsi="Times New Roman" w:cs="Times New Roman"/>
          <w:sz w:val="24"/>
          <w:szCs w:val="24"/>
        </w:rPr>
        <w:t>);</w:t>
      </w:r>
    </w:p>
    <w:p w14:paraId="1AFE4979" w14:textId="5786E280" w:rsidR="00CD79EA" w:rsidRPr="008E7C88" w:rsidRDefault="00E172CC" w:rsidP="008E7C88">
      <w:pPr>
        <w:pStyle w:val="ListParagraph"/>
        <w:tabs>
          <w:tab w:val="left" w:pos="0"/>
          <w:tab w:val="left" w:pos="378"/>
          <w:tab w:val="left" w:pos="993"/>
        </w:tabs>
        <w:kinsoku w:val="0"/>
        <w:overflowPunct w:val="0"/>
        <w:spacing w:after="0" w:line="240" w:lineRule="auto"/>
        <w:ind w:left="0" w:firstLine="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lastRenderedPageBreak/>
        <w:t>4.2</w:t>
      </w:r>
      <w:r w:rsidR="0061379B" w:rsidRPr="008E7C88">
        <w:rPr>
          <w:rFonts w:ascii="Times New Roman" w:eastAsia="Times New Roman" w:hAnsi="Times New Roman" w:cs="Times New Roman"/>
          <w:sz w:val="24"/>
          <w:szCs w:val="24"/>
        </w:rPr>
        <w:t>.2</w:t>
      </w:r>
      <w:r w:rsidR="00CD79EA" w:rsidRPr="008E7C88">
        <w:rPr>
          <w:rFonts w:ascii="Times New Roman" w:eastAsia="Times New Roman" w:hAnsi="Times New Roman" w:cs="Times New Roman"/>
          <w:sz w:val="24"/>
          <w:szCs w:val="24"/>
        </w:rPr>
        <w:t>.</w:t>
      </w:r>
      <w:r w:rsidR="008F3D5D" w:rsidRPr="008E7C88">
        <w:rPr>
          <w:rFonts w:ascii="Times New Roman" w:eastAsia="Times New Roman" w:hAnsi="Times New Roman" w:cs="Times New Roman"/>
          <w:sz w:val="24"/>
          <w:szCs w:val="24"/>
        </w:rPr>
        <w:t xml:space="preserve"> </w:t>
      </w:r>
      <w:r w:rsidR="00CD79EA" w:rsidRPr="008E7C88">
        <w:rPr>
          <w:rFonts w:ascii="Times New Roman" w:eastAsia="Times New Roman" w:hAnsi="Times New Roman" w:cs="Times New Roman"/>
          <w:sz w:val="24"/>
          <w:szCs w:val="24"/>
        </w:rPr>
        <w:t>poveikio aplinkai vertinimo atranka</w:t>
      </w:r>
      <w:r w:rsidR="00593FD8" w:rsidRPr="008E7C88">
        <w:rPr>
          <w:rFonts w:ascii="Times New Roman" w:eastAsia="Times New Roman" w:hAnsi="Times New Roman" w:cs="Times New Roman"/>
          <w:sz w:val="24"/>
          <w:szCs w:val="24"/>
        </w:rPr>
        <w:t xml:space="preserve"> (jei reikalinga)</w:t>
      </w:r>
      <w:r w:rsidR="00CD79EA" w:rsidRPr="008E7C88">
        <w:rPr>
          <w:rFonts w:ascii="Times New Roman" w:eastAsia="Times New Roman" w:hAnsi="Times New Roman" w:cs="Times New Roman"/>
          <w:sz w:val="24"/>
          <w:szCs w:val="24"/>
        </w:rPr>
        <w:t>;</w:t>
      </w:r>
    </w:p>
    <w:p w14:paraId="285556D7" w14:textId="71F52845" w:rsidR="00DB13A3" w:rsidRPr="008E7C88" w:rsidRDefault="00E172CC" w:rsidP="008E7C88">
      <w:pPr>
        <w:tabs>
          <w:tab w:val="left" w:pos="378"/>
          <w:tab w:val="left" w:pos="851"/>
          <w:tab w:val="left" w:pos="993"/>
          <w:tab w:val="left" w:pos="1276"/>
        </w:tabs>
        <w:kinsoku w:val="0"/>
        <w:overflowPunct w:val="0"/>
        <w:spacing w:after="0" w:line="240" w:lineRule="auto"/>
        <w:ind w:left="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.3.</w:t>
      </w:r>
      <w:r w:rsidR="004E5C87" w:rsidRPr="008E7C88">
        <w:rPr>
          <w:rFonts w:ascii="Times New Roman" w:eastAsia="Times New Roman" w:hAnsi="Times New Roman" w:cs="Times New Roman"/>
          <w:sz w:val="24"/>
          <w:szCs w:val="24"/>
        </w:rPr>
        <w:t xml:space="preserve"> </w:t>
      </w:r>
      <w:r w:rsidR="00477120" w:rsidRPr="008E7C88">
        <w:rPr>
          <w:rFonts w:ascii="Times New Roman" w:eastAsia="Times New Roman" w:hAnsi="Times New Roman" w:cs="Times New Roman"/>
          <w:sz w:val="24"/>
          <w:szCs w:val="24"/>
        </w:rPr>
        <w:t>brėžiniai</w:t>
      </w:r>
      <w:r w:rsidR="00DB13A3" w:rsidRPr="008E7C88">
        <w:rPr>
          <w:rFonts w:ascii="Times New Roman" w:eastAsia="Times New Roman" w:hAnsi="Times New Roman" w:cs="Times New Roman"/>
          <w:sz w:val="24"/>
          <w:szCs w:val="24"/>
        </w:rPr>
        <w:t>:</w:t>
      </w:r>
    </w:p>
    <w:p w14:paraId="37160474" w14:textId="77777777" w:rsidR="00505EFD" w:rsidRPr="008E7C88" w:rsidRDefault="00E172CC" w:rsidP="008E7C88">
      <w:pPr>
        <w:tabs>
          <w:tab w:val="left" w:pos="0"/>
          <w:tab w:val="left" w:pos="378"/>
          <w:tab w:val="left" w:pos="993"/>
          <w:tab w:val="left" w:pos="1276"/>
        </w:tabs>
        <w:kinsoku w:val="0"/>
        <w:overflowPunct w:val="0"/>
        <w:spacing w:after="0" w:line="240" w:lineRule="auto"/>
        <w:ind w:firstLine="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.3</w:t>
      </w:r>
      <w:r w:rsidR="00B36753" w:rsidRPr="008E7C88">
        <w:rPr>
          <w:rFonts w:ascii="Times New Roman" w:eastAsia="Times New Roman" w:hAnsi="Times New Roman" w:cs="Times New Roman"/>
          <w:sz w:val="24"/>
          <w:szCs w:val="24"/>
        </w:rPr>
        <w:t>.1</w:t>
      </w:r>
      <w:r w:rsidR="00DB13A3" w:rsidRPr="008E7C88">
        <w:rPr>
          <w:rFonts w:ascii="Times New Roman" w:eastAsia="Times New Roman" w:hAnsi="Times New Roman" w:cs="Times New Roman"/>
          <w:sz w:val="24"/>
          <w:szCs w:val="24"/>
        </w:rPr>
        <w:t>. sprendinių brėžiniai</w:t>
      </w:r>
      <w:r w:rsidR="00505EFD" w:rsidRPr="008E7C88">
        <w:rPr>
          <w:rFonts w:ascii="Times New Roman" w:eastAsia="Times New Roman" w:hAnsi="Times New Roman" w:cs="Times New Roman"/>
          <w:sz w:val="24"/>
          <w:szCs w:val="24"/>
        </w:rPr>
        <w:t xml:space="preserve"> – pagrindinis brėžinys, susisiekimo komunikacijų ir </w:t>
      </w:r>
    </w:p>
    <w:p w14:paraId="6CF12C34" w14:textId="1FF5A7B5" w:rsidR="00477120" w:rsidRPr="008E7C88" w:rsidRDefault="00505EFD" w:rsidP="008E7C88">
      <w:pPr>
        <w:tabs>
          <w:tab w:val="left" w:pos="0"/>
          <w:tab w:val="left" w:pos="378"/>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inžinerinės infrastruktūros brėžiniai</w:t>
      </w:r>
      <w:r w:rsidR="008E0303" w:rsidRPr="008E7C88">
        <w:rPr>
          <w:rFonts w:ascii="Times New Roman" w:eastAsia="Times New Roman" w:hAnsi="Times New Roman" w:cs="Times New Roman"/>
          <w:sz w:val="24"/>
          <w:szCs w:val="24"/>
        </w:rPr>
        <w:t xml:space="preserve"> rengiami </w:t>
      </w:r>
      <w:r w:rsidR="001015F2" w:rsidRPr="008E7C88">
        <w:rPr>
          <w:rFonts w:ascii="Times New Roman" w:eastAsia="Times New Roman" w:hAnsi="Times New Roman" w:cs="Times New Roman"/>
          <w:bCs/>
          <w:sz w:val="24"/>
          <w:szCs w:val="24"/>
          <w:lang w:eastAsia="lt-LT"/>
        </w:rPr>
        <w:t xml:space="preserve">naudojant atitinkamo mastelio naują topografinį planą </w:t>
      </w:r>
      <w:r w:rsidR="008E0303" w:rsidRPr="008E7C88">
        <w:rPr>
          <w:rFonts w:ascii="Times New Roman" w:eastAsia="Times New Roman" w:hAnsi="Times New Roman" w:cs="Times New Roman"/>
          <w:sz w:val="24"/>
          <w:szCs w:val="24"/>
        </w:rPr>
        <w:t>(</w:t>
      </w:r>
      <w:r w:rsidR="001015F2" w:rsidRPr="008E7C88">
        <w:rPr>
          <w:rFonts w:ascii="Times New Roman" w:eastAsia="Times New Roman" w:hAnsi="Times New Roman" w:cs="Times New Roman"/>
          <w:sz w:val="24"/>
          <w:szCs w:val="24"/>
          <w:lang w:eastAsia="lt-LT"/>
        </w:rPr>
        <w:t>M 1:500 – M 1:1000 (detaliojo plano rengėjas gali papildomai naudoti ir kitus mastelius)</w:t>
      </w:r>
      <w:r w:rsidR="00DB13A3" w:rsidRPr="008E7C88">
        <w:rPr>
          <w:rFonts w:ascii="Times New Roman" w:eastAsia="Times New Roman" w:hAnsi="Times New Roman" w:cs="Times New Roman"/>
          <w:sz w:val="24"/>
          <w:szCs w:val="24"/>
        </w:rPr>
        <w:t>:</w:t>
      </w:r>
    </w:p>
    <w:p w14:paraId="7285A06A" w14:textId="5DBFDF25" w:rsidR="003C2B1A" w:rsidRPr="008E7C88" w:rsidRDefault="00E172CC" w:rsidP="008E7C88">
      <w:pPr>
        <w:tabs>
          <w:tab w:val="left" w:pos="0"/>
          <w:tab w:val="left" w:pos="378"/>
          <w:tab w:val="left" w:pos="993"/>
          <w:tab w:val="left" w:pos="1276"/>
        </w:tabs>
        <w:kinsoku w:val="0"/>
        <w:overflowPunct w:val="0"/>
        <w:spacing w:after="0" w:line="240" w:lineRule="auto"/>
        <w:ind w:firstLine="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.3</w:t>
      </w:r>
      <w:r w:rsidR="003C2B1A" w:rsidRPr="008E7C88">
        <w:rPr>
          <w:rFonts w:ascii="Times New Roman" w:eastAsia="Times New Roman" w:hAnsi="Times New Roman" w:cs="Times New Roman"/>
          <w:sz w:val="24"/>
          <w:szCs w:val="24"/>
        </w:rPr>
        <w:t>.</w:t>
      </w:r>
      <w:r w:rsidR="00FC219E" w:rsidRPr="008E7C88">
        <w:rPr>
          <w:rFonts w:ascii="Times New Roman" w:eastAsia="Times New Roman" w:hAnsi="Times New Roman" w:cs="Times New Roman"/>
          <w:sz w:val="24"/>
          <w:szCs w:val="24"/>
        </w:rPr>
        <w:t>2</w:t>
      </w:r>
      <w:r w:rsidR="003C2B1A" w:rsidRPr="008E7C88">
        <w:rPr>
          <w:rFonts w:ascii="Times New Roman" w:eastAsia="Times New Roman" w:hAnsi="Times New Roman" w:cs="Times New Roman"/>
          <w:sz w:val="24"/>
          <w:szCs w:val="24"/>
        </w:rPr>
        <w:t>.</w:t>
      </w:r>
      <w:r w:rsidR="00FC219E" w:rsidRPr="008E7C88">
        <w:rPr>
          <w:rFonts w:ascii="Times New Roman" w:eastAsia="Times New Roman" w:hAnsi="Times New Roman" w:cs="Times New Roman"/>
          <w:sz w:val="24"/>
          <w:szCs w:val="24"/>
        </w:rPr>
        <w:t xml:space="preserve"> </w:t>
      </w:r>
      <w:r w:rsidR="003C2B1A" w:rsidRPr="008E7C88">
        <w:rPr>
          <w:rFonts w:ascii="Times New Roman" w:eastAsia="Times New Roman" w:hAnsi="Times New Roman" w:cs="Times New Roman"/>
          <w:sz w:val="24"/>
          <w:szCs w:val="24"/>
        </w:rPr>
        <w:t>jeigu viename brėžinyje neįmanoma pažymėti visų sprendinių, rengiami papildomi brėžiniai. Brėžinių grafiniai ir spalviniai žymėjimai turi atitikti Teritorijų planavimo dokumentų erdvinių duomenų specifikacijoje, Lietuvos standarte LST 1569 „Statinio projektas. Lauko inžinerinių tinklų grafiniai ženklai“ nurodytus žymėjimus. Sprendiniai ir kita informacija žymima brėžiniuose jų reikšmes nurodant sutartinių ženklų aprašomosiose lentelėse.</w:t>
      </w:r>
    </w:p>
    <w:p w14:paraId="0B67E87D" w14:textId="4D6B954D" w:rsidR="00477120" w:rsidRPr="008E7C88" w:rsidRDefault="00E172CC" w:rsidP="008E7C88">
      <w:pPr>
        <w:tabs>
          <w:tab w:val="left" w:pos="378"/>
          <w:tab w:val="left" w:pos="851"/>
          <w:tab w:val="left" w:pos="993"/>
          <w:tab w:val="left" w:pos="1276"/>
        </w:tabs>
        <w:kinsoku w:val="0"/>
        <w:overflowPunct w:val="0"/>
        <w:spacing w:after="0" w:line="240" w:lineRule="auto"/>
        <w:ind w:left="855"/>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.4.</w:t>
      </w:r>
      <w:r w:rsidR="00020AFE"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procedūrų dokumentai:</w:t>
      </w:r>
    </w:p>
    <w:p w14:paraId="2C4EBF21" w14:textId="68C670EF" w:rsidR="00DB13A3" w:rsidRPr="008E7C88" w:rsidRDefault="00E172CC" w:rsidP="008E7C88">
      <w:pPr>
        <w:pStyle w:val="ListParagraph"/>
        <w:tabs>
          <w:tab w:val="left" w:pos="0"/>
          <w:tab w:val="left" w:pos="378"/>
          <w:tab w:val="left" w:pos="993"/>
          <w:tab w:val="left" w:pos="1276"/>
        </w:tabs>
        <w:kinsoku w:val="0"/>
        <w:overflowPunct w:val="0"/>
        <w:spacing w:after="0" w:line="240" w:lineRule="auto"/>
        <w:ind w:left="0" w:firstLine="859"/>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.4</w:t>
      </w:r>
      <w:r w:rsidR="00020AFE" w:rsidRPr="008E7C88">
        <w:rPr>
          <w:rFonts w:ascii="Times New Roman" w:eastAsia="Times New Roman" w:hAnsi="Times New Roman" w:cs="Times New Roman"/>
          <w:sz w:val="24"/>
          <w:szCs w:val="24"/>
        </w:rPr>
        <w:t>.1.</w:t>
      </w:r>
      <w:r w:rsidR="00FC219E" w:rsidRPr="008E7C88">
        <w:rPr>
          <w:rFonts w:ascii="Times New Roman" w:eastAsia="Times New Roman" w:hAnsi="Times New Roman" w:cs="Times New Roman"/>
          <w:sz w:val="24"/>
          <w:szCs w:val="24"/>
        </w:rPr>
        <w:t xml:space="preserve"> Savivaldybės administracijos direktoriaus įsakymas dėl </w:t>
      </w:r>
      <w:r w:rsidR="00D83130" w:rsidRPr="008E7C88">
        <w:rPr>
          <w:rFonts w:ascii="Times New Roman" w:eastAsia="Times New Roman" w:hAnsi="Times New Roman" w:cs="Times New Roman"/>
          <w:sz w:val="24"/>
          <w:szCs w:val="24"/>
        </w:rPr>
        <w:t>Detaliojo</w:t>
      </w:r>
      <w:r w:rsidR="00DB13A3" w:rsidRPr="008E7C88">
        <w:rPr>
          <w:rFonts w:ascii="Times New Roman" w:eastAsia="Times New Roman" w:hAnsi="Times New Roman" w:cs="Times New Roman"/>
          <w:sz w:val="24"/>
          <w:szCs w:val="24"/>
        </w:rPr>
        <w:t xml:space="preserve"> plano </w:t>
      </w:r>
      <w:r w:rsidR="00315FBD" w:rsidRPr="008E7C88">
        <w:rPr>
          <w:rFonts w:ascii="Times New Roman" w:eastAsia="Times New Roman" w:hAnsi="Times New Roman" w:cs="Times New Roman"/>
          <w:sz w:val="24"/>
          <w:szCs w:val="24"/>
        </w:rPr>
        <w:t>organizavimo</w:t>
      </w:r>
      <w:r w:rsidR="00DB13A3" w:rsidRPr="008E7C88">
        <w:rPr>
          <w:rFonts w:ascii="Times New Roman" w:eastAsia="Times New Roman" w:hAnsi="Times New Roman" w:cs="Times New Roman"/>
          <w:sz w:val="24"/>
          <w:szCs w:val="24"/>
        </w:rPr>
        <w:t xml:space="preserve"> ir planavimo tikslų</w:t>
      </w:r>
      <w:r w:rsidR="00315FBD" w:rsidRPr="008E7C88">
        <w:rPr>
          <w:rFonts w:ascii="Times New Roman" w:eastAsia="Times New Roman" w:hAnsi="Times New Roman" w:cs="Times New Roman"/>
          <w:sz w:val="24"/>
          <w:szCs w:val="24"/>
        </w:rPr>
        <w:t xml:space="preserve"> nustatymo</w:t>
      </w:r>
      <w:r w:rsidR="00DB13A3" w:rsidRPr="008E7C88">
        <w:rPr>
          <w:rFonts w:ascii="Times New Roman" w:eastAsia="Times New Roman" w:hAnsi="Times New Roman" w:cs="Times New Roman"/>
          <w:sz w:val="24"/>
          <w:szCs w:val="24"/>
        </w:rPr>
        <w:t>;</w:t>
      </w:r>
    </w:p>
    <w:p w14:paraId="640725E9" w14:textId="54905EC3" w:rsidR="00DB13A3"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4E5C87" w:rsidRPr="008E7C88">
        <w:rPr>
          <w:rFonts w:ascii="Times New Roman" w:eastAsia="Times New Roman" w:hAnsi="Times New Roman" w:cs="Times New Roman"/>
          <w:sz w:val="24"/>
          <w:szCs w:val="24"/>
        </w:rPr>
        <w:t>.2.</w:t>
      </w:r>
      <w:r w:rsidR="00315FBD"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planavimo darbų programa;</w:t>
      </w:r>
    </w:p>
    <w:p w14:paraId="01463C15" w14:textId="599218E5" w:rsidR="00DB13A3"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4E5C87" w:rsidRPr="008E7C88">
        <w:rPr>
          <w:rFonts w:ascii="Times New Roman" w:eastAsia="Times New Roman" w:hAnsi="Times New Roman" w:cs="Times New Roman"/>
          <w:sz w:val="24"/>
          <w:szCs w:val="24"/>
        </w:rPr>
        <w:t>.3.</w:t>
      </w:r>
      <w:r w:rsidR="00315FBD"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planavimo sąlygos;</w:t>
      </w:r>
    </w:p>
    <w:p w14:paraId="7E7B9C56" w14:textId="3F755DE4" w:rsidR="003E2173" w:rsidRPr="008E7C88" w:rsidRDefault="003E2173"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 xml:space="preserve">              </w:t>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.4.4. poveikio aplinkai vertinimo atrankos išvada</w:t>
      </w:r>
      <w:r w:rsidR="00593FD8" w:rsidRPr="008E7C88">
        <w:rPr>
          <w:rFonts w:ascii="Times New Roman" w:eastAsia="Times New Roman" w:hAnsi="Times New Roman" w:cs="Times New Roman"/>
          <w:sz w:val="24"/>
          <w:szCs w:val="24"/>
        </w:rPr>
        <w:t xml:space="preserve"> (jei reikalinga)</w:t>
      </w:r>
      <w:r w:rsidRPr="008E7C88">
        <w:rPr>
          <w:rFonts w:ascii="Times New Roman" w:eastAsia="Times New Roman" w:hAnsi="Times New Roman" w:cs="Times New Roman"/>
          <w:sz w:val="24"/>
          <w:szCs w:val="24"/>
        </w:rPr>
        <w:t>;</w:t>
      </w:r>
    </w:p>
    <w:p w14:paraId="67297D9C" w14:textId="1752378A" w:rsidR="00DB13A3"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3E2173" w:rsidRPr="008E7C88">
        <w:rPr>
          <w:rFonts w:ascii="Times New Roman" w:eastAsia="Times New Roman" w:hAnsi="Times New Roman" w:cs="Times New Roman"/>
          <w:sz w:val="24"/>
          <w:szCs w:val="24"/>
        </w:rPr>
        <w:t>.5</w:t>
      </w:r>
      <w:r w:rsidR="004E5C87"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visuomenės dalyvavimo planavimo procese ataskaita;</w:t>
      </w:r>
    </w:p>
    <w:p w14:paraId="3DC4C47B" w14:textId="047D1812" w:rsidR="00DB13A3"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3E2173" w:rsidRPr="008E7C88">
        <w:rPr>
          <w:rFonts w:ascii="Times New Roman" w:eastAsia="Times New Roman" w:hAnsi="Times New Roman" w:cs="Times New Roman"/>
          <w:sz w:val="24"/>
          <w:szCs w:val="24"/>
        </w:rPr>
        <w:t>.6</w:t>
      </w:r>
      <w:r w:rsidR="004E5C87" w:rsidRPr="008E7C88">
        <w:rPr>
          <w:rFonts w:ascii="Times New Roman" w:eastAsia="Times New Roman" w:hAnsi="Times New Roman" w:cs="Times New Roman"/>
          <w:sz w:val="24"/>
          <w:szCs w:val="24"/>
        </w:rPr>
        <w:t>.</w:t>
      </w:r>
      <w:r w:rsidR="00315FBD" w:rsidRPr="008E7C88">
        <w:rPr>
          <w:rFonts w:ascii="Times New Roman" w:eastAsia="Times New Roman" w:hAnsi="Times New Roman" w:cs="Times New Roman"/>
          <w:sz w:val="24"/>
          <w:szCs w:val="24"/>
        </w:rPr>
        <w:t xml:space="preserve"> </w:t>
      </w:r>
      <w:r w:rsidR="00DB13A3" w:rsidRPr="008E7C88">
        <w:rPr>
          <w:rFonts w:ascii="Times New Roman" w:eastAsia="Times New Roman" w:hAnsi="Times New Roman" w:cs="Times New Roman"/>
          <w:sz w:val="24"/>
          <w:szCs w:val="24"/>
        </w:rPr>
        <w:t>Teritorijų planavimo komisijos posėdžio protokolas;</w:t>
      </w:r>
    </w:p>
    <w:p w14:paraId="40B2715C" w14:textId="53716708" w:rsidR="00DB13A3" w:rsidRPr="008E7C88" w:rsidRDefault="00E172CC" w:rsidP="008E7C88">
      <w:pPr>
        <w:pStyle w:val="ListParagraph"/>
        <w:tabs>
          <w:tab w:val="left" w:pos="0"/>
          <w:tab w:val="left" w:pos="378"/>
          <w:tab w:val="left" w:pos="993"/>
          <w:tab w:val="left" w:pos="1276"/>
        </w:tabs>
        <w:kinsoku w:val="0"/>
        <w:overflowPunct w:val="0"/>
        <w:spacing w:after="0" w:line="240" w:lineRule="auto"/>
        <w:ind w:left="0" w:firstLine="859"/>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4.2</w:t>
      </w:r>
      <w:r w:rsidR="0061379B" w:rsidRPr="008E7C88">
        <w:rPr>
          <w:rFonts w:ascii="Times New Roman" w:eastAsia="Times New Roman" w:hAnsi="Times New Roman" w:cs="Times New Roman"/>
          <w:sz w:val="24"/>
          <w:szCs w:val="24"/>
        </w:rPr>
        <w:t>.4</w:t>
      </w:r>
      <w:r w:rsidR="003E2173" w:rsidRPr="008E7C88">
        <w:rPr>
          <w:rFonts w:ascii="Times New Roman" w:eastAsia="Times New Roman" w:hAnsi="Times New Roman" w:cs="Times New Roman"/>
          <w:sz w:val="24"/>
          <w:szCs w:val="24"/>
        </w:rPr>
        <w:t>.7</w:t>
      </w:r>
      <w:r w:rsidR="00D35DFD" w:rsidRPr="008E7C88">
        <w:rPr>
          <w:rFonts w:ascii="Times New Roman" w:eastAsia="Times New Roman" w:hAnsi="Times New Roman" w:cs="Times New Roman"/>
          <w:sz w:val="24"/>
          <w:szCs w:val="24"/>
        </w:rPr>
        <w:t>.</w:t>
      </w:r>
      <w:r w:rsidR="008F3A62" w:rsidRPr="008E7C88">
        <w:rPr>
          <w:rFonts w:ascii="Times New Roman" w:eastAsia="Times New Roman" w:hAnsi="Times New Roman" w:cs="Times New Roman"/>
          <w:sz w:val="24"/>
          <w:szCs w:val="24"/>
        </w:rPr>
        <w:t xml:space="preserve"> </w:t>
      </w:r>
      <w:r w:rsidR="004E5C87" w:rsidRPr="008E7C88">
        <w:rPr>
          <w:rFonts w:ascii="Times New Roman" w:eastAsia="Times New Roman" w:hAnsi="Times New Roman" w:cs="Times New Roman"/>
          <w:sz w:val="24"/>
          <w:szCs w:val="24"/>
        </w:rPr>
        <w:t>t</w:t>
      </w:r>
      <w:r w:rsidR="00DB13A3" w:rsidRPr="008E7C88">
        <w:rPr>
          <w:rFonts w:ascii="Times New Roman" w:eastAsia="Times New Roman" w:hAnsi="Times New Roman" w:cs="Times New Roman"/>
          <w:sz w:val="24"/>
          <w:szCs w:val="24"/>
        </w:rPr>
        <w:t>eritorijų planavimo valstybinę priežiūrą atliekančios institucijos patikrinimo aktas;</w:t>
      </w:r>
    </w:p>
    <w:p w14:paraId="18B3A5A0" w14:textId="4FC2BB02" w:rsidR="00D65950" w:rsidRPr="008E7C88" w:rsidRDefault="0061379B" w:rsidP="008E7C88">
      <w:pPr>
        <w:tabs>
          <w:tab w:val="left" w:pos="378"/>
          <w:tab w:val="left" w:pos="851"/>
          <w:tab w:val="left" w:pos="993"/>
          <w:tab w:val="left" w:pos="1276"/>
        </w:tabs>
        <w:kinsoku w:val="0"/>
        <w:overflowPunct w:val="0"/>
        <w:spacing w:after="0" w:line="240" w:lineRule="auto"/>
        <w:jc w:val="both"/>
        <w:rPr>
          <w:rFonts w:ascii="Times New Roman" w:eastAsia="Times New Roman" w:hAnsi="Times New Roman" w:cs="Times New Roman"/>
          <w:sz w:val="24"/>
          <w:szCs w:val="24"/>
        </w:rPr>
      </w:pPr>
      <w:r w:rsidRPr="008E7C88">
        <w:rPr>
          <w:rFonts w:ascii="Times New Roman" w:eastAsia="Times New Roman" w:hAnsi="Times New Roman" w:cs="Times New Roman"/>
          <w:sz w:val="24"/>
          <w:szCs w:val="24"/>
        </w:rPr>
        <w:tab/>
      </w:r>
      <w:r w:rsidRPr="008E7C88">
        <w:rPr>
          <w:rFonts w:ascii="Times New Roman" w:eastAsia="Times New Roman" w:hAnsi="Times New Roman" w:cs="Times New Roman"/>
          <w:sz w:val="24"/>
          <w:szCs w:val="24"/>
        </w:rPr>
        <w:tab/>
      </w:r>
      <w:r w:rsidR="00E172CC" w:rsidRPr="008E7C88">
        <w:rPr>
          <w:rFonts w:ascii="Times New Roman" w:eastAsia="Times New Roman" w:hAnsi="Times New Roman" w:cs="Times New Roman"/>
          <w:sz w:val="24"/>
          <w:szCs w:val="24"/>
        </w:rPr>
        <w:t>4.2</w:t>
      </w:r>
      <w:r w:rsidRPr="008E7C88">
        <w:rPr>
          <w:rFonts w:ascii="Times New Roman" w:eastAsia="Times New Roman" w:hAnsi="Times New Roman" w:cs="Times New Roman"/>
          <w:sz w:val="24"/>
          <w:szCs w:val="24"/>
        </w:rPr>
        <w:t>.4</w:t>
      </w:r>
      <w:r w:rsidR="003E2173" w:rsidRPr="008E7C88">
        <w:rPr>
          <w:rFonts w:ascii="Times New Roman" w:eastAsia="Times New Roman" w:hAnsi="Times New Roman" w:cs="Times New Roman"/>
          <w:sz w:val="24"/>
          <w:szCs w:val="24"/>
        </w:rPr>
        <w:t>.8</w:t>
      </w:r>
      <w:r w:rsidR="004E5C87" w:rsidRPr="008E7C88">
        <w:rPr>
          <w:rFonts w:ascii="Times New Roman" w:eastAsia="Times New Roman" w:hAnsi="Times New Roman" w:cs="Times New Roman"/>
          <w:sz w:val="24"/>
          <w:szCs w:val="24"/>
        </w:rPr>
        <w:t xml:space="preserve">. </w:t>
      </w:r>
      <w:r w:rsidR="00D83130" w:rsidRPr="008E7C88">
        <w:rPr>
          <w:rFonts w:ascii="Times New Roman" w:eastAsia="Times New Roman" w:hAnsi="Times New Roman" w:cs="Times New Roman"/>
          <w:sz w:val="24"/>
          <w:szCs w:val="24"/>
        </w:rPr>
        <w:t>S</w:t>
      </w:r>
      <w:r w:rsidR="00DB13A3" w:rsidRPr="008E7C88">
        <w:rPr>
          <w:rFonts w:ascii="Times New Roman" w:eastAsia="Times New Roman" w:hAnsi="Times New Roman" w:cs="Times New Roman"/>
          <w:sz w:val="24"/>
          <w:szCs w:val="24"/>
        </w:rPr>
        <w:t>avivaldybės</w:t>
      </w:r>
      <w:r w:rsidR="00D83130" w:rsidRPr="008E7C88">
        <w:rPr>
          <w:rFonts w:ascii="Times New Roman" w:eastAsia="Times New Roman" w:hAnsi="Times New Roman" w:cs="Times New Roman"/>
          <w:sz w:val="24"/>
          <w:szCs w:val="24"/>
        </w:rPr>
        <w:t xml:space="preserve"> </w:t>
      </w:r>
      <w:r w:rsidR="00F357D8" w:rsidRPr="008E7C88">
        <w:rPr>
          <w:rFonts w:ascii="Times New Roman" w:eastAsia="Times New Roman" w:hAnsi="Times New Roman" w:cs="Times New Roman"/>
          <w:sz w:val="24"/>
          <w:szCs w:val="24"/>
        </w:rPr>
        <w:t>mero potvarkis</w:t>
      </w:r>
      <w:r w:rsidR="00DB13A3" w:rsidRPr="008E7C88">
        <w:rPr>
          <w:rFonts w:ascii="Times New Roman" w:eastAsia="Times New Roman" w:hAnsi="Times New Roman" w:cs="Times New Roman"/>
          <w:sz w:val="24"/>
          <w:szCs w:val="24"/>
        </w:rPr>
        <w:t xml:space="preserve"> dėl </w:t>
      </w:r>
      <w:r w:rsidR="00D83130" w:rsidRPr="008E7C88">
        <w:rPr>
          <w:rFonts w:ascii="Times New Roman" w:eastAsia="Times New Roman" w:hAnsi="Times New Roman" w:cs="Times New Roman"/>
          <w:sz w:val="24"/>
          <w:szCs w:val="24"/>
        </w:rPr>
        <w:t>Detaliojo</w:t>
      </w:r>
      <w:r w:rsidR="00DB13A3" w:rsidRPr="008E7C88">
        <w:rPr>
          <w:rFonts w:ascii="Times New Roman" w:eastAsia="Times New Roman" w:hAnsi="Times New Roman" w:cs="Times New Roman"/>
          <w:sz w:val="24"/>
          <w:szCs w:val="24"/>
        </w:rPr>
        <w:t xml:space="preserve"> plano patvirtinimo.</w:t>
      </w:r>
    </w:p>
    <w:p w14:paraId="5D2C6895" w14:textId="42619B5E" w:rsidR="00505EFD" w:rsidRPr="008E7C88" w:rsidRDefault="00CE3FBA" w:rsidP="008E7C88">
      <w:pPr>
        <w:pStyle w:val="ListParagraph"/>
        <w:numPr>
          <w:ilvl w:val="1"/>
          <w:numId w:val="10"/>
        </w:numPr>
        <w:spacing w:after="0" w:line="240" w:lineRule="auto"/>
        <w:jc w:val="both"/>
        <w:rPr>
          <w:rFonts w:ascii="Times New Roman" w:hAnsi="Times New Roman" w:cs="Times New Roman"/>
          <w:sz w:val="24"/>
          <w:szCs w:val="24"/>
        </w:rPr>
      </w:pPr>
      <w:r w:rsidRPr="008E7C88">
        <w:rPr>
          <w:rFonts w:ascii="Times New Roman" w:hAnsi="Times New Roman" w:cs="Times New Roman"/>
          <w:sz w:val="24"/>
          <w:szCs w:val="24"/>
        </w:rPr>
        <w:t>Parengiami du popieriniai Detaliojo plano bylų egzemplioriai ir du skaitmeniniai.</w:t>
      </w:r>
    </w:p>
    <w:p w14:paraId="40A4E459" w14:textId="77777777" w:rsidR="00FE11BB" w:rsidRPr="008E7C88" w:rsidRDefault="00FE11BB" w:rsidP="008E7C88">
      <w:pPr>
        <w:pStyle w:val="ListParagraph"/>
        <w:spacing w:after="0" w:line="240" w:lineRule="auto"/>
        <w:ind w:left="0" w:firstLine="851"/>
        <w:rPr>
          <w:rFonts w:ascii="Times New Roman" w:hAnsi="Times New Roman" w:cs="Times New Roman"/>
          <w:sz w:val="24"/>
          <w:szCs w:val="24"/>
        </w:rPr>
      </w:pPr>
    </w:p>
    <w:p w14:paraId="1E1419CD" w14:textId="77777777" w:rsidR="002D5099" w:rsidRPr="008E7C88" w:rsidRDefault="002D5099" w:rsidP="008E7C88">
      <w:pPr>
        <w:shd w:val="clear" w:color="auto" w:fill="FFFFFF"/>
        <w:tabs>
          <w:tab w:val="center" w:pos="4819"/>
        </w:tabs>
        <w:spacing w:after="0" w:line="240" w:lineRule="auto"/>
        <w:textAlignment w:val="baseline"/>
        <w:rPr>
          <w:rFonts w:ascii="Times New Roman" w:eastAsia="Times New Roman" w:hAnsi="Times New Roman" w:cs="Times New Roman"/>
          <w:color w:val="000000"/>
          <w:sz w:val="24"/>
          <w:szCs w:val="24"/>
          <w:lang w:eastAsia="lt-LT"/>
        </w:rPr>
      </w:pPr>
      <w:r w:rsidRPr="008E7C88">
        <w:rPr>
          <w:rFonts w:ascii="Times New Roman" w:eastAsia="Times New Roman" w:hAnsi="Times New Roman" w:cs="Times New Roman"/>
          <w:color w:val="000000"/>
          <w:sz w:val="24"/>
          <w:szCs w:val="24"/>
          <w:lang w:eastAsia="lt-LT"/>
        </w:rPr>
        <w:t>Parengė</w:t>
      </w:r>
    </w:p>
    <w:p w14:paraId="042E9149" w14:textId="67716327" w:rsidR="002D5099" w:rsidRPr="008E7C88" w:rsidRDefault="002D5099" w:rsidP="008E7C88">
      <w:pPr>
        <w:shd w:val="clear" w:color="auto" w:fill="FFFFFF"/>
        <w:tabs>
          <w:tab w:val="center" w:pos="4819"/>
        </w:tabs>
        <w:spacing w:after="0" w:line="240" w:lineRule="auto"/>
        <w:textAlignment w:val="baseline"/>
        <w:rPr>
          <w:rFonts w:ascii="Times New Roman" w:eastAsia="Times New Roman" w:hAnsi="Times New Roman" w:cs="Times New Roman"/>
          <w:color w:val="000000"/>
          <w:sz w:val="24"/>
          <w:szCs w:val="24"/>
          <w:lang w:eastAsia="lt-LT"/>
        </w:rPr>
      </w:pPr>
      <w:r w:rsidRPr="008E7C88">
        <w:rPr>
          <w:rFonts w:ascii="Times New Roman" w:eastAsia="Times New Roman" w:hAnsi="Times New Roman" w:cs="Times New Roman"/>
          <w:color w:val="000000"/>
          <w:sz w:val="24"/>
          <w:szCs w:val="24"/>
          <w:lang w:eastAsia="lt-LT"/>
        </w:rPr>
        <w:t>Architektūros ir urbanistikos skyriaus vedėja-vyriausioji architektė</w:t>
      </w:r>
    </w:p>
    <w:p w14:paraId="3CB37C87" w14:textId="65CB9F33" w:rsidR="00216E84" w:rsidRPr="008E7C88" w:rsidRDefault="002D5099" w:rsidP="008E7C88">
      <w:pPr>
        <w:shd w:val="clear" w:color="auto" w:fill="FFFFFF"/>
        <w:tabs>
          <w:tab w:val="center" w:pos="4819"/>
        </w:tabs>
        <w:spacing w:after="0" w:line="240" w:lineRule="auto"/>
        <w:textAlignment w:val="baseline"/>
        <w:rPr>
          <w:rFonts w:ascii="Times New Roman" w:eastAsia="Times New Roman" w:hAnsi="Times New Roman" w:cs="Times New Roman"/>
          <w:color w:val="000000"/>
          <w:sz w:val="24"/>
          <w:szCs w:val="24"/>
          <w:lang w:eastAsia="lt-LT"/>
        </w:rPr>
      </w:pPr>
      <w:r w:rsidRPr="008E7C88">
        <w:rPr>
          <w:rFonts w:ascii="Times New Roman" w:eastAsia="Times New Roman" w:hAnsi="Times New Roman" w:cs="Times New Roman"/>
          <w:color w:val="000000"/>
          <w:sz w:val="24"/>
          <w:szCs w:val="24"/>
          <w:lang w:eastAsia="lt-LT"/>
        </w:rPr>
        <w:t>Vita Valaitienė</w:t>
      </w:r>
    </w:p>
    <w:sectPr w:rsidR="00216E84" w:rsidRPr="008E7C8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F8D75" w14:textId="77777777" w:rsidR="00372F23" w:rsidRDefault="00372F23" w:rsidP="00305A8F">
      <w:pPr>
        <w:spacing w:after="0" w:line="240" w:lineRule="auto"/>
      </w:pPr>
      <w:r>
        <w:separator/>
      </w:r>
    </w:p>
  </w:endnote>
  <w:endnote w:type="continuationSeparator" w:id="0">
    <w:p w14:paraId="75ECEA28" w14:textId="77777777" w:rsidR="00372F23" w:rsidRDefault="00372F23" w:rsidP="0030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A1FE5" w14:textId="77777777" w:rsidR="00372F23" w:rsidRDefault="00372F23" w:rsidP="00305A8F">
      <w:pPr>
        <w:spacing w:after="0" w:line="240" w:lineRule="auto"/>
      </w:pPr>
      <w:r>
        <w:separator/>
      </w:r>
    </w:p>
  </w:footnote>
  <w:footnote w:type="continuationSeparator" w:id="0">
    <w:p w14:paraId="119571BB" w14:textId="77777777" w:rsidR="00372F23" w:rsidRDefault="00372F23" w:rsidP="00305A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9C9"/>
    <w:multiLevelType w:val="hybridMultilevel"/>
    <w:tmpl w:val="0C14A278"/>
    <w:lvl w:ilvl="0" w:tplc="8B50F894">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309213A0"/>
    <w:multiLevelType w:val="multilevel"/>
    <w:tmpl w:val="4B569770"/>
    <w:lvl w:ilvl="0">
      <w:start w:val="4"/>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3ABB5301"/>
    <w:multiLevelType w:val="hybridMultilevel"/>
    <w:tmpl w:val="A9AE0BAE"/>
    <w:lvl w:ilvl="0" w:tplc="3D3CB5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AF9734E"/>
    <w:multiLevelType w:val="multilevel"/>
    <w:tmpl w:val="D3B20AA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713" w:hanging="720"/>
      </w:pPr>
      <w:rPr>
        <w:rFonts w:hint="default"/>
        <w:b/>
      </w:rPr>
    </w:lvl>
    <w:lvl w:ilvl="3">
      <w:start w:val="1"/>
      <w:numFmt w:val="decimal"/>
      <w:isLgl/>
      <w:lvlText w:val="%1.%2.%3.%4."/>
      <w:lvlJc w:val="left"/>
      <w:pPr>
        <w:ind w:left="1855"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499" w:hanging="1080"/>
      </w:pPr>
      <w:rPr>
        <w:rFonts w:hint="default"/>
        <w:b/>
      </w:rPr>
    </w:lvl>
    <w:lvl w:ilvl="6">
      <w:start w:val="1"/>
      <w:numFmt w:val="decimal"/>
      <w:isLgl/>
      <w:lvlText w:val="%1.%2.%3.%4.%5.%6.%7."/>
      <w:lvlJc w:val="left"/>
      <w:pPr>
        <w:ind w:left="3001" w:hanging="1440"/>
      </w:pPr>
      <w:rPr>
        <w:rFonts w:hint="default"/>
        <w:b/>
      </w:rPr>
    </w:lvl>
    <w:lvl w:ilvl="7">
      <w:start w:val="1"/>
      <w:numFmt w:val="decimal"/>
      <w:isLgl/>
      <w:lvlText w:val="%1.%2.%3.%4.%5.%6.%7.%8."/>
      <w:lvlJc w:val="left"/>
      <w:pPr>
        <w:ind w:left="3143" w:hanging="1440"/>
      </w:pPr>
      <w:rPr>
        <w:rFonts w:hint="default"/>
        <w:b/>
      </w:rPr>
    </w:lvl>
    <w:lvl w:ilvl="8">
      <w:start w:val="1"/>
      <w:numFmt w:val="decimal"/>
      <w:isLgl/>
      <w:lvlText w:val="%1.%2.%3.%4.%5.%6.%7.%8.%9."/>
      <w:lvlJc w:val="left"/>
      <w:pPr>
        <w:ind w:left="3645" w:hanging="1800"/>
      </w:pPr>
      <w:rPr>
        <w:rFonts w:hint="default"/>
        <w:b/>
      </w:rPr>
    </w:lvl>
  </w:abstractNum>
  <w:abstractNum w:abstractNumId="4" w15:restartNumberingAfterBreak="0">
    <w:nsid w:val="4F5A6EA5"/>
    <w:multiLevelType w:val="hybridMultilevel"/>
    <w:tmpl w:val="436881CE"/>
    <w:lvl w:ilvl="0" w:tplc="DD36DE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20946"/>
    <w:multiLevelType w:val="hybridMultilevel"/>
    <w:tmpl w:val="87F092FA"/>
    <w:lvl w:ilvl="0" w:tplc="A9BE6A5A">
      <w:start w:val="1"/>
      <w:numFmt w:val="decimal"/>
      <w:lvlText w:val="%1."/>
      <w:lvlJc w:val="left"/>
      <w:pPr>
        <w:ind w:left="2291" w:hanging="360"/>
      </w:pPr>
      <w:rPr>
        <w:rFonts w:hint="default"/>
      </w:rPr>
    </w:lvl>
    <w:lvl w:ilvl="1" w:tplc="04270019" w:tentative="1">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6" w15:restartNumberingAfterBreak="0">
    <w:nsid w:val="55BA0C0E"/>
    <w:multiLevelType w:val="hybridMultilevel"/>
    <w:tmpl w:val="A760846E"/>
    <w:lvl w:ilvl="0" w:tplc="B02C3BD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A977DCD"/>
    <w:multiLevelType w:val="multilevel"/>
    <w:tmpl w:val="14D0CD94"/>
    <w:lvl w:ilvl="0">
      <w:start w:val="1"/>
      <w:numFmt w:val="decimal"/>
      <w:lvlText w:val="%1."/>
      <w:lvlJc w:val="left"/>
      <w:pPr>
        <w:ind w:left="1210" w:hanging="360"/>
      </w:pPr>
      <w:rPr>
        <w:rFonts w:hint="default"/>
      </w:rPr>
    </w:lvl>
    <w:lvl w:ilvl="1">
      <w:start w:val="1"/>
      <w:numFmt w:val="decimal"/>
      <w:isLgl/>
      <w:lvlText w:val="%1.%2."/>
      <w:lvlJc w:val="left"/>
      <w:pPr>
        <w:ind w:left="1214" w:hanging="360"/>
      </w:pPr>
      <w:rPr>
        <w:rFonts w:hint="default"/>
      </w:rPr>
    </w:lvl>
    <w:lvl w:ilvl="2">
      <w:start w:val="1"/>
      <w:numFmt w:val="decimal"/>
      <w:isLgl/>
      <w:lvlText w:val="%1.%2.%3."/>
      <w:lvlJc w:val="left"/>
      <w:pPr>
        <w:ind w:left="1578" w:hanging="720"/>
      </w:pPr>
      <w:rPr>
        <w:rFonts w:hint="default"/>
      </w:rPr>
    </w:lvl>
    <w:lvl w:ilvl="3">
      <w:start w:val="1"/>
      <w:numFmt w:val="decimal"/>
      <w:isLgl/>
      <w:lvlText w:val="%1.%2.%3.%4."/>
      <w:lvlJc w:val="left"/>
      <w:pPr>
        <w:ind w:left="1582" w:hanging="720"/>
      </w:pPr>
      <w:rPr>
        <w:rFonts w:hint="default"/>
      </w:rPr>
    </w:lvl>
    <w:lvl w:ilvl="4">
      <w:start w:val="1"/>
      <w:numFmt w:val="decimal"/>
      <w:isLgl/>
      <w:lvlText w:val="%1.%2.%3.%4.%5."/>
      <w:lvlJc w:val="left"/>
      <w:pPr>
        <w:ind w:left="1946"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14" w:hanging="1440"/>
      </w:pPr>
      <w:rPr>
        <w:rFonts w:hint="default"/>
      </w:rPr>
    </w:lvl>
    <w:lvl w:ilvl="7">
      <w:start w:val="1"/>
      <w:numFmt w:val="decimal"/>
      <w:isLgl/>
      <w:lvlText w:val="%1.%2.%3.%4.%5.%6.%7.%8."/>
      <w:lvlJc w:val="left"/>
      <w:pPr>
        <w:ind w:left="2318" w:hanging="1440"/>
      </w:pPr>
      <w:rPr>
        <w:rFonts w:hint="default"/>
      </w:rPr>
    </w:lvl>
    <w:lvl w:ilvl="8">
      <w:start w:val="1"/>
      <w:numFmt w:val="decimal"/>
      <w:isLgl/>
      <w:lvlText w:val="%1.%2.%3.%4.%5.%6.%7.%8.%9."/>
      <w:lvlJc w:val="left"/>
      <w:pPr>
        <w:ind w:left="2682" w:hanging="1800"/>
      </w:pPr>
      <w:rPr>
        <w:rFonts w:hint="default"/>
      </w:rPr>
    </w:lvl>
  </w:abstractNum>
  <w:abstractNum w:abstractNumId="8" w15:restartNumberingAfterBreak="0">
    <w:nsid w:val="6D9A7B02"/>
    <w:multiLevelType w:val="multilevel"/>
    <w:tmpl w:val="93A2174C"/>
    <w:lvl w:ilvl="0">
      <w:start w:val="10"/>
      <w:numFmt w:val="decimal"/>
      <w:lvlText w:val="%1."/>
      <w:lvlJc w:val="left"/>
      <w:pPr>
        <w:ind w:left="480" w:hanging="480"/>
      </w:pPr>
      <w:rPr>
        <w:rFonts w:hint="default"/>
      </w:rPr>
    </w:lvl>
    <w:lvl w:ilvl="1">
      <w:start w:val="2"/>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9" w15:restartNumberingAfterBreak="0">
    <w:nsid w:val="7C663985"/>
    <w:multiLevelType w:val="multilevel"/>
    <w:tmpl w:val="C8308A44"/>
    <w:lvl w:ilvl="0">
      <w:start w:val="2"/>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97452341">
    <w:abstractNumId w:val="4"/>
  </w:num>
  <w:num w:numId="2" w16cid:durableId="1965110451">
    <w:abstractNumId w:val="6"/>
  </w:num>
  <w:num w:numId="3" w16cid:durableId="1610316117">
    <w:abstractNumId w:val="5"/>
  </w:num>
  <w:num w:numId="4" w16cid:durableId="766269418">
    <w:abstractNumId w:val="2"/>
  </w:num>
  <w:num w:numId="5" w16cid:durableId="389161240">
    <w:abstractNumId w:val="0"/>
  </w:num>
  <w:num w:numId="6" w16cid:durableId="1033576914">
    <w:abstractNumId w:val="7"/>
  </w:num>
  <w:num w:numId="7" w16cid:durableId="1044718331">
    <w:abstractNumId w:val="8"/>
  </w:num>
  <w:num w:numId="8" w16cid:durableId="1990553170">
    <w:abstractNumId w:val="3"/>
  </w:num>
  <w:num w:numId="9" w16cid:durableId="1533226414">
    <w:abstractNumId w:val="9"/>
  </w:num>
  <w:num w:numId="10" w16cid:durableId="11141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A4"/>
    <w:rsid w:val="00014B32"/>
    <w:rsid w:val="00020AFE"/>
    <w:rsid w:val="00025445"/>
    <w:rsid w:val="0003259F"/>
    <w:rsid w:val="000608A7"/>
    <w:rsid w:val="000710AE"/>
    <w:rsid w:val="00081459"/>
    <w:rsid w:val="00095307"/>
    <w:rsid w:val="000A049E"/>
    <w:rsid w:val="000B248F"/>
    <w:rsid w:val="000C0D80"/>
    <w:rsid w:val="000C7619"/>
    <w:rsid w:val="000F1819"/>
    <w:rsid w:val="001015F2"/>
    <w:rsid w:val="001026A9"/>
    <w:rsid w:val="001050F4"/>
    <w:rsid w:val="00112DC0"/>
    <w:rsid w:val="00117BBF"/>
    <w:rsid w:val="00122CA4"/>
    <w:rsid w:val="00136D60"/>
    <w:rsid w:val="00155E7F"/>
    <w:rsid w:val="00183C93"/>
    <w:rsid w:val="00184E54"/>
    <w:rsid w:val="00186569"/>
    <w:rsid w:val="001C1ED5"/>
    <w:rsid w:val="001D1805"/>
    <w:rsid w:val="001E08D4"/>
    <w:rsid w:val="001F55D4"/>
    <w:rsid w:val="001F7A73"/>
    <w:rsid w:val="00202BD9"/>
    <w:rsid w:val="00216E84"/>
    <w:rsid w:val="00231E23"/>
    <w:rsid w:val="00296F2D"/>
    <w:rsid w:val="002B6EFC"/>
    <w:rsid w:val="002C3049"/>
    <w:rsid w:val="002C7485"/>
    <w:rsid w:val="002D5099"/>
    <w:rsid w:val="002D60D5"/>
    <w:rsid w:val="002D6EB2"/>
    <w:rsid w:val="003031D6"/>
    <w:rsid w:val="00305A8F"/>
    <w:rsid w:val="00315FBD"/>
    <w:rsid w:val="003359D5"/>
    <w:rsid w:val="00354218"/>
    <w:rsid w:val="00367585"/>
    <w:rsid w:val="00372F23"/>
    <w:rsid w:val="003B7653"/>
    <w:rsid w:val="003C05A9"/>
    <w:rsid w:val="003C2B1A"/>
    <w:rsid w:val="003C6408"/>
    <w:rsid w:val="003E2173"/>
    <w:rsid w:val="003E463C"/>
    <w:rsid w:val="00405801"/>
    <w:rsid w:val="004164D8"/>
    <w:rsid w:val="00423D2D"/>
    <w:rsid w:val="00470CCC"/>
    <w:rsid w:val="00477120"/>
    <w:rsid w:val="00485F8F"/>
    <w:rsid w:val="004E1823"/>
    <w:rsid w:val="004E5C87"/>
    <w:rsid w:val="004F3C1D"/>
    <w:rsid w:val="004F4E56"/>
    <w:rsid w:val="004F751C"/>
    <w:rsid w:val="00505EFD"/>
    <w:rsid w:val="00521859"/>
    <w:rsid w:val="00530CBF"/>
    <w:rsid w:val="0053172E"/>
    <w:rsid w:val="00535E3A"/>
    <w:rsid w:val="00537FDA"/>
    <w:rsid w:val="0054341A"/>
    <w:rsid w:val="005476E7"/>
    <w:rsid w:val="00593FD8"/>
    <w:rsid w:val="0059783E"/>
    <w:rsid w:val="005B28BD"/>
    <w:rsid w:val="005B62CC"/>
    <w:rsid w:val="005B77CB"/>
    <w:rsid w:val="005D5B4A"/>
    <w:rsid w:val="0061379B"/>
    <w:rsid w:val="006154B8"/>
    <w:rsid w:val="0063307A"/>
    <w:rsid w:val="00634749"/>
    <w:rsid w:val="006367D5"/>
    <w:rsid w:val="006433EA"/>
    <w:rsid w:val="00695695"/>
    <w:rsid w:val="006A783D"/>
    <w:rsid w:val="006C0414"/>
    <w:rsid w:val="006F18A4"/>
    <w:rsid w:val="00710DBF"/>
    <w:rsid w:val="00727B6E"/>
    <w:rsid w:val="00731B69"/>
    <w:rsid w:val="00745CFC"/>
    <w:rsid w:val="00746CCA"/>
    <w:rsid w:val="00747243"/>
    <w:rsid w:val="007504EC"/>
    <w:rsid w:val="00750BD1"/>
    <w:rsid w:val="007543BC"/>
    <w:rsid w:val="007545E2"/>
    <w:rsid w:val="007763B6"/>
    <w:rsid w:val="00787514"/>
    <w:rsid w:val="00794528"/>
    <w:rsid w:val="007D4FA4"/>
    <w:rsid w:val="007D626A"/>
    <w:rsid w:val="007E478D"/>
    <w:rsid w:val="008565ED"/>
    <w:rsid w:val="00865314"/>
    <w:rsid w:val="00876441"/>
    <w:rsid w:val="008804CC"/>
    <w:rsid w:val="0088086F"/>
    <w:rsid w:val="00891B45"/>
    <w:rsid w:val="008940C1"/>
    <w:rsid w:val="008A1474"/>
    <w:rsid w:val="008E0303"/>
    <w:rsid w:val="008E7C88"/>
    <w:rsid w:val="008F13EA"/>
    <w:rsid w:val="008F3A62"/>
    <w:rsid w:val="008F3D5D"/>
    <w:rsid w:val="0090347E"/>
    <w:rsid w:val="00920BF5"/>
    <w:rsid w:val="00921368"/>
    <w:rsid w:val="009279A6"/>
    <w:rsid w:val="00950B6F"/>
    <w:rsid w:val="00952472"/>
    <w:rsid w:val="0097528C"/>
    <w:rsid w:val="009926DB"/>
    <w:rsid w:val="009A712E"/>
    <w:rsid w:val="009B4B16"/>
    <w:rsid w:val="009C4FCF"/>
    <w:rsid w:val="009D5B7A"/>
    <w:rsid w:val="009E39EF"/>
    <w:rsid w:val="00A02811"/>
    <w:rsid w:val="00A05AAC"/>
    <w:rsid w:val="00A37F26"/>
    <w:rsid w:val="00A45E91"/>
    <w:rsid w:val="00A5034A"/>
    <w:rsid w:val="00AB0F62"/>
    <w:rsid w:val="00AC1EB1"/>
    <w:rsid w:val="00AD337B"/>
    <w:rsid w:val="00AE3DD5"/>
    <w:rsid w:val="00AF0658"/>
    <w:rsid w:val="00AF5740"/>
    <w:rsid w:val="00B07C01"/>
    <w:rsid w:val="00B108D3"/>
    <w:rsid w:val="00B230C2"/>
    <w:rsid w:val="00B35FA7"/>
    <w:rsid w:val="00B36753"/>
    <w:rsid w:val="00B36897"/>
    <w:rsid w:val="00B40D40"/>
    <w:rsid w:val="00B47467"/>
    <w:rsid w:val="00B55216"/>
    <w:rsid w:val="00B612CC"/>
    <w:rsid w:val="00B81DCA"/>
    <w:rsid w:val="00BB7265"/>
    <w:rsid w:val="00BC7FA8"/>
    <w:rsid w:val="00BD383C"/>
    <w:rsid w:val="00BE0872"/>
    <w:rsid w:val="00BE162B"/>
    <w:rsid w:val="00C03C95"/>
    <w:rsid w:val="00C13FE7"/>
    <w:rsid w:val="00C3686F"/>
    <w:rsid w:val="00C42ED7"/>
    <w:rsid w:val="00C45259"/>
    <w:rsid w:val="00C45C36"/>
    <w:rsid w:val="00C60A09"/>
    <w:rsid w:val="00C63758"/>
    <w:rsid w:val="00C660EE"/>
    <w:rsid w:val="00C72F92"/>
    <w:rsid w:val="00C76285"/>
    <w:rsid w:val="00C96B55"/>
    <w:rsid w:val="00CA36CE"/>
    <w:rsid w:val="00CB073F"/>
    <w:rsid w:val="00CD1D6C"/>
    <w:rsid w:val="00CD79EA"/>
    <w:rsid w:val="00CE3FBA"/>
    <w:rsid w:val="00CF0E3E"/>
    <w:rsid w:val="00D35DFD"/>
    <w:rsid w:val="00D3665E"/>
    <w:rsid w:val="00D44263"/>
    <w:rsid w:val="00D5427E"/>
    <w:rsid w:val="00D65950"/>
    <w:rsid w:val="00D83130"/>
    <w:rsid w:val="00D85DA2"/>
    <w:rsid w:val="00DB13A3"/>
    <w:rsid w:val="00DB3881"/>
    <w:rsid w:val="00DC70F5"/>
    <w:rsid w:val="00DD67D8"/>
    <w:rsid w:val="00DE3D29"/>
    <w:rsid w:val="00E07F86"/>
    <w:rsid w:val="00E16C55"/>
    <w:rsid w:val="00E172CC"/>
    <w:rsid w:val="00E45FCE"/>
    <w:rsid w:val="00E56141"/>
    <w:rsid w:val="00E601A7"/>
    <w:rsid w:val="00E809DF"/>
    <w:rsid w:val="00E821A3"/>
    <w:rsid w:val="00E90721"/>
    <w:rsid w:val="00EA15B6"/>
    <w:rsid w:val="00EA4E05"/>
    <w:rsid w:val="00EA7477"/>
    <w:rsid w:val="00EB3215"/>
    <w:rsid w:val="00EE69F7"/>
    <w:rsid w:val="00EF4B0E"/>
    <w:rsid w:val="00EF6F0E"/>
    <w:rsid w:val="00F00CF6"/>
    <w:rsid w:val="00F357D8"/>
    <w:rsid w:val="00F36121"/>
    <w:rsid w:val="00F52488"/>
    <w:rsid w:val="00F62FF5"/>
    <w:rsid w:val="00F81C63"/>
    <w:rsid w:val="00F84F90"/>
    <w:rsid w:val="00FA1AF4"/>
    <w:rsid w:val="00FC219E"/>
    <w:rsid w:val="00FC4F5D"/>
    <w:rsid w:val="00FE11BB"/>
    <w:rsid w:val="00FE1682"/>
    <w:rsid w:val="00FE61A3"/>
    <w:rsid w:val="00FF4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E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unktai,List Paragraph12,List Paragr1,Table of contents numbered,Medium Grid 1 - Accent 21,Sąrašo pastraipa.Bullet,Bullet,Lente,Lentele,List not in Tabl,List Paragraph1,List Paragrap,Sąrašo pastraipa;Bullet,List Paragraph Red,Bullet EY"/>
    <w:basedOn w:val="Normal"/>
    <w:link w:val="ListParagraphChar"/>
    <w:uiPriority w:val="34"/>
    <w:qFormat/>
    <w:rsid w:val="00122CA4"/>
    <w:pPr>
      <w:ind w:left="720"/>
      <w:contextualSpacing/>
    </w:pPr>
  </w:style>
  <w:style w:type="character" w:styleId="Hyperlink">
    <w:name w:val="Hyperlink"/>
    <w:basedOn w:val="DefaultParagraphFont"/>
    <w:uiPriority w:val="99"/>
    <w:unhideWhenUsed/>
    <w:rsid w:val="00122CA4"/>
    <w:rPr>
      <w:color w:val="0000FF" w:themeColor="hyperlink"/>
      <w:u w:val="single"/>
    </w:rPr>
  </w:style>
  <w:style w:type="paragraph" w:customStyle="1" w:styleId="Sraopastraipa1">
    <w:name w:val="Sąrašo pastraipa1"/>
    <w:basedOn w:val="Normal"/>
    <w:qFormat/>
    <w:rsid w:val="00EF4B0E"/>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4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63C"/>
    <w:rPr>
      <w:rFonts w:ascii="Tahoma" w:hAnsi="Tahoma" w:cs="Tahoma"/>
      <w:sz w:val="16"/>
      <w:szCs w:val="16"/>
    </w:rPr>
  </w:style>
  <w:style w:type="character" w:customStyle="1" w:styleId="ListParagraphChar">
    <w:name w:val="List Paragraph Char"/>
    <w:aliases w:val="punktai Char,List Paragraph12 Char,List Paragr1 Char,Table of contents numbered Char,Medium Grid 1 - Accent 21 Char,Sąrašo pastraipa.Bullet Char,Bullet Char,Lente Char,Lentele Char,List not in Tabl Char,List Paragraph1 Char"/>
    <w:link w:val="ListParagraph"/>
    <w:uiPriority w:val="99"/>
    <w:qFormat/>
    <w:locked/>
    <w:rsid w:val="00AE3DD5"/>
  </w:style>
  <w:style w:type="paragraph" w:customStyle="1" w:styleId="Style1">
    <w:name w:val="Style1"/>
    <w:basedOn w:val="Normal"/>
    <w:rsid w:val="00AE3DD5"/>
    <w:pPr>
      <w:spacing w:after="0" w:line="240" w:lineRule="auto"/>
    </w:pPr>
    <w:rPr>
      <w:rFonts w:ascii="Times New Roman" w:eastAsia="Times New Roman" w:hAnsi="Times New Roman" w:cs="Times New Roman"/>
      <w:sz w:val="24"/>
      <w:szCs w:val="24"/>
      <w:lang w:eastAsia="lt-LT"/>
    </w:rPr>
  </w:style>
  <w:style w:type="table" w:styleId="TableGrid">
    <w:name w:val="Table Grid"/>
    <w:basedOn w:val="TableNormal"/>
    <w:uiPriority w:val="39"/>
    <w:rsid w:val="006433E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D5099"/>
    <w:pPr>
      <w:spacing w:after="0" w:line="240" w:lineRule="auto"/>
    </w:pPr>
    <w:rPr>
      <w:kern w:val="2"/>
      <w14:ligatures w14:val="standardContextual"/>
    </w:rPr>
  </w:style>
  <w:style w:type="paragraph" w:styleId="Header">
    <w:name w:val="header"/>
    <w:basedOn w:val="Normal"/>
    <w:link w:val="HeaderChar"/>
    <w:uiPriority w:val="99"/>
    <w:unhideWhenUsed/>
    <w:rsid w:val="00305A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A8F"/>
  </w:style>
  <w:style w:type="paragraph" w:styleId="Footer">
    <w:name w:val="footer"/>
    <w:basedOn w:val="Normal"/>
    <w:link w:val="FooterChar"/>
    <w:uiPriority w:val="99"/>
    <w:unhideWhenUsed/>
    <w:rsid w:val="00305A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886783">
      <w:bodyDiv w:val="1"/>
      <w:marLeft w:val="0"/>
      <w:marRight w:val="0"/>
      <w:marTop w:val="0"/>
      <w:marBottom w:val="0"/>
      <w:divBdr>
        <w:top w:val="none" w:sz="0" w:space="0" w:color="auto"/>
        <w:left w:val="none" w:sz="0" w:space="0" w:color="auto"/>
        <w:bottom w:val="none" w:sz="0" w:space="0" w:color="auto"/>
        <w:right w:val="none" w:sz="0" w:space="0" w:color="auto"/>
      </w:divBdr>
    </w:div>
    <w:div w:id="1776562163">
      <w:bodyDiv w:val="1"/>
      <w:marLeft w:val="0"/>
      <w:marRight w:val="0"/>
      <w:marTop w:val="0"/>
      <w:marBottom w:val="0"/>
      <w:divBdr>
        <w:top w:val="none" w:sz="0" w:space="0" w:color="auto"/>
        <w:left w:val="none" w:sz="0" w:space="0" w:color="auto"/>
        <w:bottom w:val="none" w:sz="0" w:space="0" w:color="auto"/>
        <w:right w:val="none" w:sz="0" w:space="0" w:color="auto"/>
      </w:divBdr>
    </w:div>
    <w:div w:id="19586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2025-07-03T17:55:00Z</dcterms:created>
  <dcterms:modified xsi:type="dcterms:W3CDTF">2025-08-31T16:01:00Z</dcterms:modified>
</cp:coreProperties>
</file>