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ayout w:type="fixed"/>
        <w:tblLook w:val="04A0" w:firstRow="1" w:lastRow="0" w:firstColumn="1" w:lastColumn="0" w:noHBand="0" w:noVBand="1"/>
      </w:tblPr>
      <w:tblGrid>
        <w:gridCol w:w="993"/>
        <w:gridCol w:w="3118"/>
        <w:gridCol w:w="5954"/>
      </w:tblGrid>
      <w:tr w:rsidR="00F55BE9" w:rsidRPr="00EB6466" w:rsidTr="00F55BE9">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BE9"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sidRPr="00CB6583">
              <w:rPr>
                <w:rFonts w:ascii="Times New Roman" w:eastAsia="Times New Roman" w:hAnsi="Times New Roman" w:cs="Times New Roman"/>
                <w:b/>
                <w:bCs/>
                <w:noProof w:val="0"/>
                <w:sz w:val="24"/>
                <w:szCs w:val="24"/>
                <w:lang w:eastAsia="lt-LT"/>
              </w:rPr>
              <w:t xml:space="preserve">Eil. </w:t>
            </w:r>
          </w:p>
          <w:p w:rsidR="00F55BE9" w:rsidRPr="00CB6583"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Pr>
                <w:rFonts w:ascii="Times New Roman" w:eastAsia="Times New Roman" w:hAnsi="Times New Roman" w:cs="Times New Roman"/>
                <w:b/>
                <w:bCs/>
                <w:noProof w:val="0"/>
                <w:sz w:val="24"/>
                <w:szCs w:val="24"/>
                <w:lang w:eastAsia="lt-LT"/>
              </w:rPr>
              <w:t>N</w:t>
            </w:r>
            <w:r w:rsidRPr="00CB6583">
              <w:rPr>
                <w:rFonts w:ascii="Times New Roman" w:eastAsia="Times New Roman" w:hAnsi="Times New Roman" w:cs="Times New Roman"/>
                <w:b/>
                <w:bCs/>
                <w:noProof w:val="0"/>
                <w:sz w:val="24"/>
                <w:szCs w:val="24"/>
                <w:lang w:eastAsia="lt-LT"/>
              </w:rPr>
              <w:t>r.</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F55BE9" w:rsidRPr="00CB6583"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sidRPr="00CB6583">
              <w:rPr>
                <w:rFonts w:ascii="Times New Roman" w:eastAsia="Times New Roman" w:hAnsi="Times New Roman" w:cs="Times New Roman"/>
                <w:b/>
                <w:bCs/>
                <w:noProof w:val="0"/>
                <w:sz w:val="24"/>
                <w:szCs w:val="24"/>
                <w:lang w:eastAsia="lt-LT"/>
              </w:rPr>
              <w:t>Parametrai</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55BE9" w:rsidRPr="00CB6583"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sidRPr="00CB6583">
              <w:rPr>
                <w:rFonts w:ascii="Times New Roman" w:eastAsia="Times New Roman" w:hAnsi="Times New Roman" w:cs="Times New Roman"/>
                <w:b/>
                <w:bCs/>
                <w:noProof w:val="0"/>
                <w:sz w:val="24"/>
                <w:szCs w:val="24"/>
                <w:lang w:eastAsia="lt-LT"/>
              </w:rPr>
              <w:t>Reikalaujamo parametro reikšmė</w:t>
            </w:r>
          </w:p>
        </w:tc>
      </w:tr>
      <w:tr w:rsidR="00F55BE9" w:rsidRPr="00EB6466" w:rsidTr="00F55BE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55BE9" w:rsidRPr="00CB6583"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Pr>
                <w:rFonts w:ascii="Times New Roman" w:eastAsia="Times New Roman" w:hAnsi="Times New Roman" w:cs="Times New Roman"/>
                <w:b/>
                <w:bCs/>
                <w:noProof w:val="0"/>
                <w:sz w:val="24"/>
                <w:szCs w:val="24"/>
                <w:lang w:eastAsia="lt-LT"/>
              </w:rPr>
              <w:t>1</w:t>
            </w:r>
          </w:p>
        </w:tc>
        <w:tc>
          <w:tcPr>
            <w:tcW w:w="3118" w:type="dxa"/>
            <w:tcBorders>
              <w:top w:val="single" w:sz="4" w:space="0" w:color="auto"/>
              <w:left w:val="nil"/>
              <w:bottom w:val="single" w:sz="4" w:space="0" w:color="auto"/>
              <w:right w:val="single" w:sz="4" w:space="0" w:color="auto"/>
            </w:tcBorders>
            <w:shd w:val="clear" w:color="auto" w:fill="auto"/>
            <w:vAlign w:val="center"/>
          </w:tcPr>
          <w:p w:rsidR="00F55BE9" w:rsidRPr="00CB6583"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Pr>
                <w:rFonts w:ascii="Times New Roman" w:eastAsia="Times New Roman" w:hAnsi="Times New Roman" w:cs="Times New Roman"/>
                <w:b/>
                <w:bCs/>
                <w:noProof w:val="0"/>
                <w:sz w:val="24"/>
                <w:szCs w:val="24"/>
                <w:lang w:eastAsia="lt-LT"/>
              </w:rPr>
              <w:t>2</w:t>
            </w:r>
          </w:p>
        </w:tc>
        <w:tc>
          <w:tcPr>
            <w:tcW w:w="5954" w:type="dxa"/>
            <w:tcBorders>
              <w:top w:val="single" w:sz="4" w:space="0" w:color="auto"/>
              <w:left w:val="nil"/>
              <w:bottom w:val="single" w:sz="4" w:space="0" w:color="auto"/>
              <w:right w:val="single" w:sz="4" w:space="0" w:color="auto"/>
            </w:tcBorders>
            <w:shd w:val="clear" w:color="auto" w:fill="auto"/>
            <w:vAlign w:val="center"/>
          </w:tcPr>
          <w:p w:rsidR="00F55BE9" w:rsidRPr="00CB6583" w:rsidRDefault="00F55BE9" w:rsidP="00F55BE9">
            <w:pPr>
              <w:spacing w:after="0" w:line="240" w:lineRule="auto"/>
              <w:jc w:val="center"/>
              <w:rPr>
                <w:rFonts w:ascii="Times New Roman" w:eastAsia="Times New Roman" w:hAnsi="Times New Roman" w:cs="Times New Roman"/>
                <w:b/>
                <w:bCs/>
                <w:noProof w:val="0"/>
                <w:sz w:val="24"/>
                <w:szCs w:val="24"/>
                <w:lang w:eastAsia="lt-LT"/>
              </w:rPr>
            </w:pPr>
            <w:r>
              <w:rPr>
                <w:rFonts w:ascii="Times New Roman" w:eastAsia="Times New Roman" w:hAnsi="Times New Roman" w:cs="Times New Roman"/>
                <w:b/>
                <w:bCs/>
                <w:noProof w:val="0"/>
                <w:sz w:val="24"/>
                <w:szCs w:val="24"/>
                <w:lang w:eastAsia="lt-LT"/>
              </w:rPr>
              <w:t>3</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CB6583">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w:t>
            </w:r>
          </w:p>
        </w:tc>
        <w:tc>
          <w:tcPr>
            <w:tcW w:w="3118" w:type="dxa"/>
            <w:tcBorders>
              <w:top w:val="nil"/>
              <w:left w:val="nil"/>
              <w:bottom w:val="single" w:sz="4" w:space="0" w:color="auto"/>
              <w:right w:val="single" w:sz="4" w:space="0" w:color="auto"/>
            </w:tcBorders>
            <w:shd w:val="clear" w:color="auto" w:fill="auto"/>
            <w:vAlign w:val="center"/>
            <w:hideMark/>
          </w:tcPr>
          <w:p w:rsidR="00F55BE9" w:rsidRPr="00CB6583" w:rsidRDefault="00F55BE9" w:rsidP="00CB6583">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Siūlomos prekės pavadinimas (modelis, konkreti modifikacija), gamintojas, kilmės šalis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CB6583">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Nurodyti</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w:t>
            </w:r>
          </w:p>
        </w:tc>
        <w:tc>
          <w:tcPr>
            <w:tcW w:w="3118" w:type="dxa"/>
            <w:tcBorders>
              <w:top w:val="nil"/>
              <w:left w:val="nil"/>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Reikalavimai echoskopui su daviklių komplektu</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A57986">
              <w:rPr>
                <w:rFonts w:ascii="Times New Roman" w:hAnsi="Times New Roman"/>
              </w:rPr>
              <w:t>Ultragarsinė diagnostinė sistema skirta</w:t>
            </w:r>
            <w:r>
              <w:rPr>
                <w:rFonts w:ascii="Times New Roman" w:hAnsi="Times New Roman"/>
              </w:rPr>
              <w:t xml:space="preserve"> skydliaukės, </w:t>
            </w:r>
            <w:r w:rsidRPr="00A57986">
              <w:rPr>
                <w:rFonts w:ascii="Times New Roman" w:hAnsi="Times New Roman"/>
              </w:rPr>
              <w:t xml:space="preserve"> smulkių dalių, </w:t>
            </w:r>
            <w:r>
              <w:rPr>
                <w:rFonts w:ascii="Times New Roman" w:hAnsi="Times New Roman"/>
              </w:rPr>
              <w:t xml:space="preserve">MSK, abdominaliniams, </w:t>
            </w:r>
            <w:r w:rsidRPr="00A57986">
              <w:rPr>
                <w:rFonts w:ascii="Times New Roman" w:hAnsi="Times New Roman"/>
              </w:rPr>
              <w:t>kraujagyslių tyrimams</w:t>
            </w:r>
          </w:p>
        </w:tc>
      </w:tr>
      <w:tr w:rsidR="00F55BE9" w:rsidRPr="00EB6466" w:rsidTr="00F55BE9">
        <w:tc>
          <w:tcPr>
            <w:tcW w:w="993"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2.1</w:t>
            </w:r>
          </w:p>
        </w:tc>
        <w:tc>
          <w:tcPr>
            <w:tcW w:w="3118"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Sistemą sudaro</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Echoskopas,</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w:t>
            </w:r>
            <w:proofErr w:type="spellStart"/>
            <w:r w:rsidRPr="00CB6583">
              <w:rPr>
                <w:rFonts w:ascii="Times New Roman" w:eastAsia="Times New Roman" w:hAnsi="Times New Roman" w:cs="Times New Roman"/>
                <w:noProof w:val="0"/>
                <w:sz w:val="24"/>
                <w:szCs w:val="24"/>
                <w:lang w:eastAsia="lt-LT"/>
              </w:rPr>
              <w:t>Konveksinis</w:t>
            </w:r>
            <w:proofErr w:type="spellEnd"/>
            <w:r w:rsidRPr="00CB6583">
              <w:rPr>
                <w:rFonts w:ascii="Times New Roman" w:eastAsia="Times New Roman" w:hAnsi="Times New Roman" w:cs="Times New Roman"/>
                <w:noProof w:val="0"/>
                <w:sz w:val="24"/>
                <w:szCs w:val="24"/>
                <w:lang w:eastAsia="lt-LT"/>
              </w:rPr>
              <w:t xml:space="preserve"> daviklis,</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Linijinis daviklis,</w:t>
            </w:r>
          </w:p>
        </w:tc>
      </w:tr>
      <w:tr w:rsidR="00F55BE9" w:rsidRPr="00EB6466" w:rsidTr="00F55BE9">
        <w:tc>
          <w:tcPr>
            <w:tcW w:w="993" w:type="dxa"/>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w:t>
            </w:r>
          </w:p>
        </w:tc>
        <w:tc>
          <w:tcPr>
            <w:tcW w:w="3118" w:type="dxa"/>
            <w:tcBorders>
              <w:top w:val="single" w:sz="4" w:space="0" w:color="auto"/>
              <w:left w:val="nil"/>
              <w:bottom w:val="nil"/>
              <w:right w:val="single" w:sz="4" w:space="0" w:color="auto"/>
            </w:tcBorders>
            <w:shd w:val="clear" w:color="auto" w:fill="auto"/>
            <w:noWrap/>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Reikalavimai echoskopui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r>
      <w:tr w:rsidR="00F55BE9" w:rsidRPr="00EB6466" w:rsidTr="00F55BE9">
        <w:tc>
          <w:tcPr>
            <w:tcW w:w="993"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w:t>
            </w:r>
          </w:p>
        </w:tc>
        <w:tc>
          <w:tcPr>
            <w:tcW w:w="3118"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C36299">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Paskirtis (kartu pateikiama programinė įranga)</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Vidaus organų diagnostikai,</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Smulkių struktūrų tyrimams atlikti,</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Kraujagyslių tyrimams atlikti.</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4. MSK tyrimams atlikti,</w:t>
            </w:r>
          </w:p>
        </w:tc>
      </w:tr>
      <w:tr w:rsidR="00F55BE9" w:rsidRPr="00EB6466" w:rsidTr="00F55BE9">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3.2</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Monitorius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LED, OLED arba lygiavertės technologijos,</w:t>
            </w:r>
          </w:p>
        </w:tc>
      </w:tr>
      <w:tr w:rsidR="00F55BE9" w:rsidRPr="00EB6466" w:rsidTr="00F55BE9">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Ekrano įstrižainė ≥ 54 cm,</w:t>
            </w:r>
          </w:p>
        </w:tc>
      </w:tr>
      <w:tr w:rsidR="00F55BE9" w:rsidRPr="00EB6466" w:rsidTr="00F55BE9">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Skiriamoji geba ≥ (1920 x 1080) taškų,</w:t>
            </w:r>
          </w:p>
        </w:tc>
      </w:tr>
      <w:tr w:rsidR="00F55BE9" w:rsidRPr="00EB6466" w:rsidTr="00F55BE9">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4. Nulenkiamas į horizontalią padėtį transportavimo metu.</w:t>
            </w:r>
          </w:p>
        </w:tc>
      </w:tr>
      <w:tr w:rsidR="00F55BE9" w:rsidRPr="00EB6466" w:rsidTr="00F55BE9">
        <w:tc>
          <w:tcPr>
            <w:tcW w:w="993" w:type="dxa"/>
            <w:vMerge w:val="restart"/>
            <w:tcBorders>
              <w:top w:val="nil"/>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3.3</w:t>
            </w:r>
          </w:p>
        </w:tc>
        <w:tc>
          <w:tcPr>
            <w:tcW w:w="3118" w:type="dxa"/>
            <w:vMerge w:val="restart"/>
            <w:tcBorders>
              <w:top w:val="nil"/>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Lietimui jautrus sistemos funkcijų valdymo monitorius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 30 cm ekrano įstrižainės su „</w:t>
            </w:r>
            <w:proofErr w:type="spellStart"/>
            <w:r w:rsidRPr="00CB6583">
              <w:rPr>
                <w:rFonts w:ascii="Times New Roman" w:eastAsia="Times New Roman" w:hAnsi="Times New Roman" w:cs="Times New Roman"/>
                <w:noProof w:val="0"/>
                <w:sz w:val="24"/>
                <w:szCs w:val="24"/>
                <w:lang w:eastAsia="lt-LT"/>
              </w:rPr>
              <w:t>swipe</w:t>
            </w:r>
            <w:proofErr w:type="spellEnd"/>
            <w:r w:rsidRPr="00CB6583">
              <w:rPr>
                <w:rFonts w:ascii="Times New Roman" w:eastAsia="Times New Roman" w:hAnsi="Times New Roman" w:cs="Times New Roman"/>
                <w:noProof w:val="0"/>
                <w:sz w:val="24"/>
                <w:szCs w:val="24"/>
                <w:lang w:eastAsia="lt-LT"/>
              </w:rPr>
              <w:t>“ arba lygiaverčiu funkcionalumu,</w:t>
            </w:r>
          </w:p>
        </w:tc>
      </w:tr>
      <w:tr w:rsidR="00F55BE9" w:rsidRPr="00EB6466" w:rsidTr="00F55BE9">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TGC (angliškai: </w:t>
            </w:r>
            <w:proofErr w:type="spellStart"/>
            <w:r w:rsidRPr="00CB6583">
              <w:rPr>
                <w:rFonts w:ascii="Times New Roman" w:eastAsia="Times New Roman" w:hAnsi="Times New Roman" w:cs="Times New Roman"/>
                <w:noProof w:val="0"/>
                <w:sz w:val="24"/>
                <w:szCs w:val="24"/>
                <w:lang w:eastAsia="lt-LT"/>
              </w:rPr>
              <w:t>Time</w:t>
            </w:r>
            <w:proofErr w:type="spellEnd"/>
            <w:r w:rsidRPr="00CB6583">
              <w:rPr>
                <w:rFonts w:ascii="Times New Roman" w:eastAsia="Times New Roman" w:hAnsi="Times New Roman" w:cs="Times New Roman"/>
                <w:noProof w:val="0"/>
                <w:sz w:val="24"/>
                <w:szCs w:val="24"/>
                <w:lang w:eastAsia="lt-LT"/>
              </w:rPr>
              <w:t xml:space="preserve"> </w:t>
            </w:r>
            <w:proofErr w:type="spellStart"/>
            <w:r w:rsidRPr="00CB6583">
              <w:rPr>
                <w:rFonts w:ascii="Times New Roman" w:eastAsia="Times New Roman" w:hAnsi="Times New Roman" w:cs="Times New Roman"/>
                <w:noProof w:val="0"/>
                <w:sz w:val="24"/>
                <w:szCs w:val="24"/>
                <w:lang w:eastAsia="lt-LT"/>
              </w:rPr>
              <w:t>Gain</w:t>
            </w:r>
            <w:proofErr w:type="spellEnd"/>
            <w:r w:rsidRPr="00CB6583">
              <w:rPr>
                <w:rFonts w:ascii="Times New Roman" w:eastAsia="Times New Roman" w:hAnsi="Times New Roman" w:cs="Times New Roman"/>
                <w:noProof w:val="0"/>
                <w:sz w:val="24"/>
                <w:szCs w:val="24"/>
                <w:lang w:eastAsia="lt-LT"/>
              </w:rPr>
              <w:t xml:space="preserve"> </w:t>
            </w:r>
            <w:proofErr w:type="spellStart"/>
            <w:r w:rsidRPr="00CB6583">
              <w:rPr>
                <w:rFonts w:ascii="Times New Roman" w:eastAsia="Times New Roman" w:hAnsi="Times New Roman" w:cs="Times New Roman"/>
                <w:noProof w:val="0"/>
                <w:sz w:val="24"/>
                <w:szCs w:val="24"/>
                <w:lang w:eastAsia="lt-LT"/>
              </w:rPr>
              <w:t>Compensation</w:t>
            </w:r>
            <w:proofErr w:type="spellEnd"/>
            <w:r w:rsidRPr="00CB6583">
              <w:rPr>
                <w:rFonts w:ascii="Times New Roman" w:eastAsia="Times New Roman" w:hAnsi="Times New Roman" w:cs="Times New Roman"/>
                <w:noProof w:val="0"/>
                <w:sz w:val="24"/>
                <w:szCs w:val="24"/>
                <w:lang w:eastAsia="lt-LT"/>
              </w:rPr>
              <w:t>) kreivės reguliavimas valdymo panelėje arba sensoriniame ekrane.</w:t>
            </w:r>
          </w:p>
        </w:tc>
      </w:tr>
      <w:tr w:rsidR="00F55BE9" w:rsidRPr="00EB6466" w:rsidTr="00F55BE9">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Skaitmeninė klaviatūra arba klaviatūra valdymo panelėje.</w:t>
            </w:r>
          </w:p>
        </w:tc>
      </w:tr>
      <w:tr w:rsidR="00F55BE9" w:rsidRPr="00EB6466" w:rsidTr="00F55BE9">
        <w:tc>
          <w:tcPr>
            <w:tcW w:w="993" w:type="dxa"/>
            <w:vMerge w:val="restart"/>
            <w:tcBorders>
              <w:top w:val="nil"/>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3.4</w:t>
            </w:r>
          </w:p>
        </w:tc>
        <w:tc>
          <w:tcPr>
            <w:tcW w:w="3118" w:type="dxa"/>
            <w:vMerge w:val="restart"/>
            <w:tcBorders>
              <w:top w:val="nil"/>
              <w:left w:val="single" w:sz="4" w:space="0" w:color="auto"/>
              <w:bottom w:val="single" w:sz="4" w:space="0" w:color="000000"/>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Sistemos valdymo pultas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Reguliuojamas valdymo pulto aukščio diapazonas ≥ 15 cm</w:t>
            </w:r>
          </w:p>
        </w:tc>
      </w:tr>
      <w:tr w:rsidR="00F55BE9" w:rsidRPr="00EB6466" w:rsidTr="00F55BE9">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9521F">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Valdymo pulto pasukimas </w:t>
            </w:r>
            <w:r w:rsidR="0039521F">
              <w:rPr>
                <w:rFonts w:ascii="Times New Roman" w:eastAsia="Times New Roman" w:hAnsi="Times New Roman" w:cs="Times New Roman"/>
                <w:noProof w:val="0"/>
                <w:sz w:val="24"/>
                <w:szCs w:val="24"/>
                <w:lang w:eastAsia="lt-LT"/>
              </w:rPr>
              <w:t>ne mažiau kaip po 45</w:t>
            </w:r>
            <w:r w:rsidRPr="00CB6583">
              <w:rPr>
                <w:rFonts w:ascii="Times New Roman" w:eastAsia="Times New Roman" w:hAnsi="Times New Roman" w:cs="Times New Roman"/>
                <w:noProof w:val="0"/>
                <w:sz w:val="24"/>
                <w:szCs w:val="24"/>
                <w:lang w:eastAsia="lt-LT"/>
              </w:rPr>
              <w:t>°</w:t>
            </w:r>
            <w:r w:rsidR="0039521F">
              <w:rPr>
                <w:rFonts w:ascii="Times New Roman" w:eastAsia="Times New Roman" w:hAnsi="Times New Roman" w:cs="Times New Roman"/>
                <w:noProof w:val="0"/>
                <w:sz w:val="24"/>
                <w:szCs w:val="24"/>
                <w:lang w:eastAsia="lt-LT"/>
              </w:rPr>
              <w:t xml:space="preserve"> į abi puses.</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3.5</w:t>
            </w:r>
          </w:p>
        </w:tc>
        <w:tc>
          <w:tcPr>
            <w:tcW w:w="3118"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Aktyvios jungtys davikliams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4</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3.6</w:t>
            </w:r>
          </w:p>
        </w:tc>
        <w:tc>
          <w:tcPr>
            <w:tcW w:w="3118"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Skaitmeninio signalo jungtis papildomam monitoriui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proofErr w:type="spellStart"/>
            <w:r w:rsidRPr="00CB6583">
              <w:rPr>
                <w:rFonts w:ascii="Times New Roman" w:eastAsia="Times New Roman" w:hAnsi="Times New Roman" w:cs="Times New Roman"/>
                <w:noProof w:val="0"/>
                <w:sz w:val="24"/>
                <w:szCs w:val="24"/>
                <w:lang w:eastAsia="lt-LT"/>
              </w:rPr>
              <w:t>DisplayPort</w:t>
            </w:r>
            <w:proofErr w:type="spellEnd"/>
            <w:r w:rsidRPr="00CB6583">
              <w:rPr>
                <w:rFonts w:ascii="Times New Roman" w:eastAsia="Times New Roman" w:hAnsi="Times New Roman" w:cs="Times New Roman"/>
                <w:noProof w:val="0"/>
                <w:sz w:val="24"/>
                <w:szCs w:val="24"/>
                <w:lang w:eastAsia="lt-LT"/>
              </w:rPr>
              <w:t xml:space="preserve"> arba HDMI arba lygiavertės</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3.7</w:t>
            </w:r>
          </w:p>
        </w:tc>
        <w:tc>
          <w:tcPr>
            <w:tcW w:w="3118"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Maksimalus vaizduojamas (skenuojamas) gylis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40 cm</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3.8</w:t>
            </w:r>
          </w:p>
        </w:tc>
        <w:tc>
          <w:tcPr>
            <w:tcW w:w="3118"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Maksimali kadrų juostos atmintis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2 000 kadrų arba ≥ 1 GB arba ≥ 300 s.</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3.9</w:t>
            </w:r>
          </w:p>
        </w:tc>
        <w:tc>
          <w:tcPr>
            <w:tcW w:w="3118"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Maksimalus kadrų dažnis 2D režime</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1900 kadrų/s</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3.10</w:t>
            </w:r>
          </w:p>
        </w:tc>
        <w:tc>
          <w:tcPr>
            <w:tcW w:w="3118" w:type="dxa"/>
            <w:tcBorders>
              <w:top w:val="nil"/>
              <w:left w:val="nil"/>
              <w:bottom w:val="single" w:sz="4" w:space="0" w:color="auto"/>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Kadrų dažnis </w:t>
            </w:r>
            <w:proofErr w:type="spellStart"/>
            <w:r w:rsidRPr="00CB6583">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režime</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200 kadrų/sek.</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3.11</w:t>
            </w:r>
          </w:p>
        </w:tc>
        <w:tc>
          <w:tcPr>
            <w:tcW w:w="3118"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Maksimalus pulsų dažnis spalvinio ir spektrinio </w:t>
            </w:r>
            <w:proofErr w:type="spellStart"/>
            <w:r w:rsidRPr="00CB6583">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režimuose</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 30 </w:t>
            </w:r>
            <w:proofErr w:type="spellStart"/>
            <w:r w:rsidRPr="00CB6583">
              <w:rPr>
                <w:rFonts w:ascii="Times New Roman" w:eastAsia="Times New Roman" w:hAnsi="Times New Roman" w:cs="Times New Roman"/>
                <w:noProof w:val="0"/>
                <w:sz w:val="24"/>
                <w:szCs w:val="24"/>
                <w:lang w:eastAsia="lt-LT"/>
              </w:rPr>
              <w:t>kHz</w:t>
            </w:r>
            <w:proofErr w:type="spellEnd"/>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3.12</w:t>
            </w:r>
          </w:p>
        </w:tc>
        <w:tc>
          <w:tcPr>
            <w:tcW w:w="3118"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Sistemos palaikomų daviklių dažnio diapazonas (ne siauresnis už nurodytą)</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Nuo 1 iki 21 MHz</w:t>
            </w:r>
          </w:p>
        </w:tc>
      </w:tr>
      <w:tr w:rsidR="00F55BE9" w:rsidRPr="00EB6466" w:rsidTr="00F55BE9">
        <w:tc>
          <w:tcPr>
            <w:tcW w:w="993" w:type="dxa"/>
            <w:vMerge w:val="restart"/>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3.13</w:t>
            </w:r>
          </w:p>
        </w:tc>
        <w:tc>
          <w:tcPr>
            <w:tcW w:w="3118" w:type="dxa"/>
            <w:vMerge w:val="restart"/>
            <w:tcBorders>
              <w:top w:val="nil"/>
              <w:left w:val="single" w:sz="4" w:space="0" w:color="auto"/>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Skenavimo režimai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2D,</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Trapecinis vaizdavimas,</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3. Spalvinis </w:t>
            </w:r>
            <w:proofErr w:type="spellStart"/>
            <w:r w:rsidRPr="00CB6583">
              <w:rPr>
                <w:rFonts w:ascii="Times New Roman" w:eastAsia="Times New Roman" w:hAnsi="Times New Roman" w:cs="Times New Roman"/>
                <w:noProof w:val="0"/>
                <w:sz w:val="24"/>
                <w:szCs w:val="24"/>
                <w:lang w:eastAsia="lt-LT"/>
              </w:rPr>
              <w:t>dopleris</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4. Galios </w:t>
            </w:r>
            <w:proofErr w:type="spellStart"/>
            <w:r w:rsidRPr="00CB6583">
              <w:rPr>
                <w:rFonts w:ascii="Times New Roman" w:eastAsia="Times New Roman" w:hAnsi="Times New Roman" w:cs="Times New Roman"/>
                <w:noProof w:val="0"/>
                <w:sz w:val="24"/>
                <w:szCs w:val="24"/>
                <w:lang w:eastAsia="lt-LT"/>
              </w:rPr>
              <w:t>dopleris</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5. Audinių </w:t>
            </w:r>
            <w:proofErr w:type="spellStart"/>
            <w:r w:rsidRPr="00CB6583">
              <w:rPr>
                <w:rFonts w:ascii="Times New Roman" w:eastAsia="Times New Roman" w:hAnsi="Times New Roman" w:cs="Times New Roman"/>
                <w:noProof w:val="0"/>
                <w:sz w:val="24"/>
                <w:szCs w:val="24"/>
                <w:lang w:eastAsia="lt-LT"/>
              </w:rPr>
              <w:t>dopleris</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6. Pulsinės bangos </w:t>
            </w:r>
            <w:proofErr w:type="spellStart"/>
            <w:r w:rsidRPr="00CB6583">
              <w:rPr>
                <w:rFonts w:ascii="Times New Roman" w:eastAsia="Times New Roman" w:hAnsi="Times New Roman" w:cs="Times New Roman"/>
                <w:noProof w:val="0"/>
                <w:sz w:val="24"/>
                <w:szCs w:val="24"/>
                <w:lang w:eastAsia="lt-LT"/>
              </w:rPr>
              <w:t>dopleris</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7. HPRF pulsinės bangos </w:t>
            </w:r>
            <w:proofErr w:type="spellStart"/>
            <w:r w:rsidRPr="00CB6583">
              <w:rPr>
                <w:rFonts w:ascii="Times New Roman" w:eastAsia="Times New Roman" w:hAnsi="Times New Roman" w:cs="Times New Roman"/>
                <w:noProof w:val="0"/>
                <w:sz w:val="24"/>
                <w:szCs w:val="24"/>
                <w:lang w:eastAsia="lt-LT"/>
              </w:rPr>
              <w:t>dopleris</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8. Realaus laiko </w:t>
            </w:r>
            <w:proofErr w:type="spellStart"/>
            <w:r w:rsidRPr="00CB6583">
              <w:rPr>
                <w:rFonts w:ascii="Times New Roman" w:eastAsia="Times New Roman" w:hAnsi="Times New Roman" w:cs="Times New Roman"/>
                <w:noProof w:val="0"/>
                <w:sz w:val="24"/>
                <w:szCs w:val="24"/>
                <w:lang w:eastAsia="lt-LT"/>
              </w:rPr>
              <w:t>elastografijos</w:t>
            </w:r>
            <w:proofErr w:type="spellEnd"/>
            <w:r w:rsidRPr="00CB6583">
              <w:rPr>
                <w:rFonts w:ascii="Times New Roman" w:eastAsia="Times New Roman" w:hAnsi="Times New Roman" w:cs="Times New Roman"/>
                <w:noProof w:val="0"/>
                <w:sz w:val="24"/>
                <w:szCs w:val="24"/>
                <w:lang w:eastAsia="lt-LT"/>
              </w:rPr>
              <w:t xml:space="preserve"> režimas paremtas ultragarsiniais impulsais</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9. Audinių harmoninis vaizdavimas su pulso inversija,</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10. Specializuotas režimas, skirtas silpnos kraujotakos vizualizacijai</w:t>
            </w:r>
          </w:p>
        </w:tc>
      </w:tr>
      <w:tr w:rsidR="00F55BE9" w:rsidRPr="00EB6466" w:rsidTr="00F55BE9">
        <w:tc>
          <w:tcPr>
            <w:tcW w:w="993"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3.14</w:t>
            </w:r>
          </w:p>
        </w:tc>
        <w:tc>
          <w:tcPr>
            <w:tcW w:w="3118" w:type="dxa"/>
            <w:vMerge w:val="restart"/>
            <w:tcBorders>
              <w:top w:val="single" w:sz="4" w:space="0" w:color="auto"/>
              <w:left w:val="single" w:sz="4" w:space="0" w:color="auto"/>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2D režimas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 256 pilkumo skalės lygių,</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 350 </w:t>
            </w:r>
            <w:proofErr w:type="spellStart"/>
            <w:r w:rsidRPr="00CB6583">
              <w:rPr>
                <w:rFonts w:ascii="Times New Roman" w:eastAsia="Times New Roman" w:hAnsi="Times New Roman" w:cs="Times New Roman"/>
                <w:noProof w:val="0"/>
                <w:sz w:val="24"/>
                <w:szCs w:val="24"/>
                <w:lang w:eastAsia="lt-LT"/>
              </w:rPr>
              <w:t>dB</w:t>
            </w:r>
            <w:proofErr w:type="spellEnd"/>
            <w:r w:rsidRPr="00CB6583">
              <w:rPr>
                <w:rFonts w:ascii="Times New Roman" w:eastAsia="Times New Roman" w:hAnsi="Times New Roman" w:cs="Times New Roman"/>
                <w:noProof w:val="0"/>
                <w:sz w:val="24"/>
                <w:szCs w:val="24"/>
                <w:lang w:eastAsia="lt-LT"/>
              </w:rPr>
              <w:t xml:space="preserve"> dinaminis diapazonas (”</w:t>
            </w:r>
            <w:proofErr w:type="spellStart"/>
            <w:r w:rsidRPr="00CB6583">
              <w:rPr>
                <w:rFonts w:ascii="Times New Roman" w:eastAsia="Times New Roman" w:hAnsi="Times New Roman" w:cs="Times New Roman"/>
                <w:noProof w:val="0"/>
                <w:sz w:val="24"/>
                <w:szCs w:val="24"/>
                <w:lang w:eastAsia="lt-LT"/>
              </w:rPr>
              <w:t>dynamic</w:t>
            </w:r>
            <w:proofErr w:type="spellEnd"/>
            <w:r w:rsidRPr="00CB6583">
              <w:rPr>
                <w:rFonts w:ascii="Times New Roman" w:eastAsia="Times New Roman" w:hAnsi="Times New Roman" w:cs="Times New Roman"/>
                <w:noProof w:val="0"/>
                <w:sz w:val="24"/>
                <w:szCs w:val="24"/>
                <w:lang w:eastAsia="lt-LT"/>
              </w:rPr>
              <w:t xml:space="preserve"> range“),</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Skaitmeninių kanalų skaičius ≥ 11 M,</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4. Vaizdo didinimas realiame laike ir sustabdytame vaizde.</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5. Dinaminis gaunamo signalo fokusavimo optimizavimas arba lygiavertė technologija;</w:t>
            </w:r>
          </w:p>
        </w:tc>
      </w:tr>
      <w:tr w:rsidR="00F55BE9" w:rsidRPr="00EB6466" w:rsidTr="00F55BE9">
        <w:tc>
          <w:tcPr>
            <w:tcW w:w="993"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3.15</w:t>
            </w:r>
          </w:p>
        </w:tc>
        <w:tc>
          <w:tcPr>
            <w:tcW w:w="3118" w:type="dxa"/>
            <w:vMerge w:val="restart"/>
            <w:tcBorders>
              <w:top w:val="single" w:sz="4" w:space="0" w:color="auto"/>
              <w:left w:val="single" w:sz="4" w:space="0" w:color="auto"/>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Tyrimų optimizavimas 2D ir </w:t>
            </w:r>
            <w:proofErr w:type="spellStart"/>
            <w:r w:rsidRPr="00CB6583">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režimuose</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1. Vaizdo optimizavimas vieno mygtuko paspaudimu 2D ir </w:t>
            </w:r>
            <w:proofErr w:type="spellStart"/>
            <w:r w:rsidRPr="00CB6583">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režimuose,</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757789">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Nuolatiniai pilkosios skalės parametrų nustatymai realiu laiku, dinaminis stiprinimo kompensavimas kiekvienai skenavimo linijai. Galimybė veikti 2D ir </w:t>
            </w:r>
            <w:proofErr w:type="spellStart"/>
            <w:r w:rsidR="00757789">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režimuose;</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3. Automatinis mėginio padėties ir kampo nustatymas spalvinio </w:t>
            </w:r>
            <w:proofErr w:type="spellStart"/>
            <w:r w:rsidRPr="00CB6583">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režime vieno mygtuko paspaudimu;</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4. Automatinis mėginio padėties ir kampo nustatymas pulsinio </w:t>
            </w:r>
            <w:proofErr w:type="spellStart"/>
            <w:r w:rsidRPr="00CB6583">
              <w:rPr>
                <w:rFonts w:ascii="Times New Roman" w:eastAsia="Times New Roman" w:hAnsi="Times New Roman" w:cs="Times New Roman"/>
                <w:noProof w:val="0"/>
                <w:sz w:val="24"/>
                <w:szCs w:val="24"/>
                <w:lang w:eastAsia="lt-LT"/>
              </w:rPr>
              <w:t>doplerio</w:t>
            </w:r>
            <w:proofErr w:type="spellEnd"/>
            <w:r w:rsidRPr="00CB6583">
              <w:rPr>
                <w:rFonts w:ascii="Times New Roman" w:eastAsia="Times New Roman" w:hAnsi="Times New Roman" w:cs="Times New Roman"/>
                <w:noProof w:val="0"/>
                <w:sz w:val="24"/>
                <w:szCs w:val="24"/>
                <w:lang w:eastAsia="lt-LT"/>
              </w:rPr>
              <w:t xml:space="preserve"> režime vieno mygtuko paspaudimu;</w:t>
            </w:r>
          </w:p>
        </w:tc>
      </w:tr>
      <w:tr w:rsidR="00F55BE9" w:rsidRPr="00EB6466" w:rsidTr="00F55BE9">
        <w:tc>
          <w:tcPr>
            <w:tcW w:w="993"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3.16</w:t>
            </w:r>
          </w:p>
        </w:tc>
        <w:tc>
          <w:tcPr>
            <w:tcW w:w="3118" w:type="dxa"/>
            <w:vMerge w:val="restart"/>
            <w:tcBorders>
              <w:top w:val="single" w:sz="4" w:space="0" w:color="auto"/>
              <w:left w:val="single" w:sz="4" w:space="0" w:color="auto"/>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Specialūs skenavimo režimai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w:t>
            </w:r>
            <w:r>
              <w:rPr>
                <w:rFonts w:ascii="Times New Roman" w:eastAsia="Times New Roman" w:hAnsi="Times New Roman" w:cs="Times New Roman"/>
                <w:noProof w:val="0"/>
                <w:sz w:val="24"/>
                <w:szCs w:val="24"/>
                <w:lang w:eastAsia="lt-LT"/>
              </w:rPr>
              <w:t>a</w:t>
            </w:r>
            <w:r w:rsidRPr="00CB6583">
              <w:rPr>
                <w:rFonts w:ascii="Times New Roman" w:eastAsia="Times New Roman" w:hAnsi="Times New Roman" w:cs="Times New Roman"/>
                <w:noProof w:val="0"/>
                <w:sz w:val="24"/>
                <w:szCs w:val="24"/>
                <w:lang w:eastAsia="lt-LT"/>
              </w:rPr>
              <w:t xml:space="preserve">siūlyti vieną iš nurodytų </w:t>
            </w:r>
            <w:proofErr w:type="spellStart"/>
            <w:r w:rsidRPr="00CB6583">
              <w:rPr>
                <w:rFonts w:ascii="Times New Roman" w:eastAsia="Times New Roman" w:hAnsi="Times New Roman" w:cs="Times New Roman"/>
                <w:noProof w:val="0"/>
                <w:sz w:val="24"/>
                <w:szCs w:val="24"/>
                <w:lang w:eastAsia="lt-LT"/>
              </w:rPr>
              <w:t>funkcionalumų</w:t>
            </w:r>
            <w:proofErr w:type="spellEnd"/>
            <w:r w:rsidRPr="00CB6583">
              <w:rPr>
                <w:rFonts w:ascii="Times New Roman" w:eastAsia="Times New Roman" w:hAnsi="Times New Roman" w:cs="Times New Roman"/>
                <w:noProof w:val="0"/>
                <w:sz w:val="24"/>
                <w:szCs w:val="24"/>
                <w:lang w:eastAsia="lt-LT"/>
              </w:rPr>
              <w:t>: 1 arba 2),</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w:t>
            </w:r>
            <w:proofErr w:type="spellStart"/>
            <w:r w:rsidRPr="00CB6583">
              <w:rPr>
                <w:rFonts w:ascii="Times New Roman" w:eastAsia="Times New Roman" w:hAnsi="Times New Roman" w:cs="Times New Roman"/>
                <w:noProof w:val="0"/>
                <w:sz w:val="24"/>
                <w:szCs w:val="24"/>
                <w:lang w:eastAsia="lt-LT"/>
              </w:rPr>
              <w:t>Tripleksinis</w:t>
            </w:r>
            <w:proofErr w:type="spellEnd"/>
            <w:r w:rsidRPr="00CB6583">
              <w:rPr>
                <w:rFonts w:ascii="Times New Roman" w:eastAsia="Times New Roman" w:hAnsi="Times New Roman" w:cs="Times New Roman"/>
                <w:noProof w:val="0"/>
                <w:sz w:val="24"/>
                <w:szCs w:val="24"/>
                <w:lang w:eastAsia="lt-LT"/>
              </w:rPr>
              <w:t xml:space="preserve"> režimas,</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Sudvejintas režimas, kai galimi du tiriamo regiono vaizdai vienu metu - vienas tiesioginis, kitas užšaldytas,</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4. Vaizdų sumavimo režimas - vaizdas sudaromas iš kelių vaizdų, gaunamų kreipiant skenavimo spindulį keliais skirtingais kampais,</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5. Specialūs programiniai algoritmai triukšmams ir artefaktams mažinti.</w:t>
            </w:r>
          </w:p>
        </w:tc>
      </w:tr>
      <w:tr w:rsidR="00F55BE9" w:rsidRPr="00EB6466" w:rsidTr="00F55BE9">
        <w:tc>
          <w:tcPr>
            <w:tcW w:w="993" w:type="dxa"/>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3.17</w:t>
            </w:r>
          </w:p>
        </w:tc>
        <w:tc>
          <w:tcPr>
            <w:tcW w:w="3118" w:type="dxa"/>
            <w:tcBorders>
              <w:top w:val="single" w:sz="4" w:space="0" w:color="auto"/>
              <w:left w:val="nil"/>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Matavimai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1. Programinė įranga kepenų </w:t>
            </w:r>
            <w:proofErr w:type="spellStart"/>
            <w:r w:rsidRPr="00CB6583">
              <w:rPr>
                <w:rFonts w:ascii="Times New Roman" w:eastAsia="Times New Roman" w:hAnsi="Times New Roman" w:cs="Times New Roman"/>
                <w:noProof w:val="0"/>
                <w:sz w:val="24"/>
                <w:szCs w:val="24"/>
                <w:lang w:eastAsia="lt-LT"/>
              </w:rPr>
              <w:t>riebalingumo</w:t>
            </w:r>
            <w:proofErr w:type="spellEnd"/>
            <w:r w:rsidRPr="00CB6583">
              <w:rPr>
                <w:rFonts w:ascii="Times New Roman" w:eastAsia="Times New Roman" w:hAnsi="Times New Roman" w:cs="Times New Roman"/>
                <w:noProof w:val="0"/>
                <w:sz w:val="24"/>
                <w:szCs w:val="24"/>
                <w:lang w:eastAsia="lt-LT"/>
              </w:rPr>
              <w:t xml:space="preserve"> kiekybiniam įvertinimui su spalviniais signalo kokybės žemėlapiais</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2. Automatiniai PW </w:t>
            </w:r>
            <w:proofErr w:type="spellStart"/>
            <w:r w:rsidRPr="00CB6583">
              <w:rPr>
                <w:rFonts w:ascii="Times New Roman" w:eastAsia="Times New Roman" w:hAnsi="Times New Roman" w:cs="Times New Roman"/>
                <w:noProof w:val="0"/>
                <w:sz w:val="24"/>
                <w:szCs w:val="24"/>
                <w:lang w:eastAsia="lt-LT"/>
              </w:rPr>
              <w:t>dopleriniai</w:t>
            </w:r>
            <w:proofErr w:type="spellEnd"/>
            <w:r w:rsidRPr="00CB6583">
              <w:rPr>
                <w:rFonts w:ascii="Times New Roman" w:eastAsia="Times New Roman" w:hAnsi="Times New Roman" w:cs="Times New Roman"/>
                <w:noProof w:val="0"/>
                <w:sz w:val="24"/>
                <w:szCs w:val="24"/>
                <w:lang w:eastAsia="lt-LT"/>
              </w:rPr>
              <w:t xml:space="preserve"> skaičiavimai realiame laike;</w:t>
            </w:r>
          </w:p>
        </w:tc>
      </w:tr>
      <w:tr w:rsidR="00F55BE9" w:rsidRPr="00EB6466" w:rsidTr="00F55BE9">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3.18</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Automatinio tyrimo eigos protokolavimo pakopomis funkcija, pagreitinanti tyrimo </w:t>
            </w:r>
            <w:r w:rsidRPr="00CB6583">
              <w:rPr>
                <w:rFonts w:ascii="Times New Roman" w:eastAsia="Times New Roman" w:hAnsi="Times New Roman" w:cs="Times New Roman"/>
                <w:noProof w:val="0"/>
                <w:sz w:val="24"/>
                <w:szCs w:val="24"/>
                <w:lang w:eastAsia="lt-LT"/>
              </w:rPr>
              <w:lastRenderedPageBreak/>
              <w:t>eigą ir dokumentavimą, su sekančiomis funkcijomis: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lastRenderedPageBreak/>
              <w:t>1. Tyrimo protokolo pasirinkimas, sustabdymas, pratęsimas,</w:t>
            </w:r>
          </w:p>
        </w:tc>
      </w:tr>
      <w:tr w:rsidR="00F55BE9" w:rsidRPr="00EB6466" w:rsidTr="00F55BE9">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Anotacijų, žymeklių, matavimų išsaugojimas,</w:t>
            </w:r>
          </w:p>
        </w:tc>
      </w:tr>
      <w:tr w:rsidR="00F55BE9" w:rsidRPr="00EB6466" w:rsidTr="00F55BE9">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Galimybė kurti naujus protokolus ir redaguoti esamus.</w:t>
            </w:r>
          </w:p>
        </w:tc>
      </w:tr>
      <w:tr w:rsidR="00F55BE9" w:rsidRPr="00EB6466" w:rsidTr="00F55BE9">
        <w:tc>
          <w:tcPr>
            <w:tcW w:w="993" w:type="dxa"/>
            <w:vMerge w:val="restart"/>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lastRenderedPageBreak/>
              <w:t>3.19</w:t>
            </w:r>
          </w:p>
        </w:tc>
        <w:tc>
          <w:tcPr>
            <w:tcW w:w="3118" w:type="dxa"/>
            <w:vMerge w:val="restart"/>
            <w:tcBorders>
              <w:top w:val="nil"/>
              <w:left w:val="single" w:sz="4" w:space="0" w:color="auto"/>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Paciento duomenų archyvavimo galimybės</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1. ≥ 512 GB talpos vidinis diskas, </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USB arba lygiavertė jungtis duomenų perdavimui DICOM arba lygiaverčiais formatais,</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DICOM standarto palaikomos funkcijos (arba lygiavertės):</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3.1 </w:t>
            </w:r>
            <w:proofErr w:type="spellStart"/>
            <w:r w:rsidRPr="00CB6583">
              <w:rPr>
                <w:rFonts w:ascii="Times New Roman" w:eastAsia="Times New Roman" w:hAnsi="Times New Roman" w:cs="Times New Roman"/>
                <w:noProof w:val="0"/>
                <w:sz w:val="24"/>
                <w:szCs w:val="24"/>
                <w:lang w:eastAsia="lt-LT"/>
              </w:rPr>
              <w:t>Send</w:t>
            </w:r>
            <w:proofErr w:type="spellEnd"/>
            <w:r w:rsidRPr="00CB6583">
              <w:rPr>
                <w:rFonts w:ascii="Times New Roman" w:eastAsia="Times New Roman" w:hAnsi="Times New Roman" w:cs="Times New Roman"/>
                <w:noProof w:val="0"/>
                <w:sz w:val="24"/>
                <w:szCs w:val="24"/>
                <w:lang w:eastAsia="lt-LT"/>
              </w:rPr>
              <w:t xml:space="preserve"> (arba </w:t>
            </w:r>
            <w:proofErr w:type="spellStart"/>
            <w:r w:rsidRPr="00CB6583">
              <w:rPr>
                <w:rFonts w:ascii="Times New Roman" w:eastAsia="Times New Roman" w:hAnsi="Times New Roman" w:cs="Times New Roman"/>
                <w:noProof w:val="0"/>
                <w:sz w:val="24"/>
                <w:szCs w:val="24"/>
                <w:lang w:eastAsia="lt-LT"/>
              </w:rPr>
              <w:t>Store</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3.2 </w:t>
            </w:r>
            <w:proofErr w:type="spellStart"/>
            <w:r w:rsidRPr="00CB6583">
              <w:rPr>
                <w:rFonts w:ascii="Times New Roman" w:eastAsia="Times New Roman" w:hAnsi="Times New Roman" w:cs="Times New Roman"/>
                <w:noProof w:val="0"/>
                <w:sz w:val="24"/>
                <w:szCs w:val="24"/>
                <w:lang w:eastAsia="lt-LT"/>
              </w:rPr>
              <w:t>Print</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nil"/>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3.3 </w:t>
            </w:r>
            <w:proofErr w:type="spellStart"/>
            <w:r w:rsidRPr="00CB6583">
              <w:rPr>
                <w:rFonts w:ascii="Times New Roman" w:eastAsia="Times New Roman" w:hAnsi="Times New Roman" w:cs="Times New Roman"/>
                <w:noProof w:val="0"/>
                <w:sz w:val="24"/>
                <w:szCs w:val="24"/>
                <w:lang w:eastAsia="lt-LT"/>
              </w:rPr>
              <w:t>Worklist</w:t>
            </w:r>
            <w:proofErr w:type="spellEnd"/>
            <w:r w:rsidRPr="00CB6583">
              <w:rPr>
                <w:rFonts w:ascii="Times New Roman" w:eastAsia="Times New Roman" w:hAnsi="Times New Roman" w:cs="Times New Roman"/>
                <w:noProof w:val="0"/>
                <w:sz w:val="24"/>
                <w:szCs w:val="24"/>
                <w:lang w:eastAsia="lt-LT"/>
              </w:rPr>
              <w:t>.</w:t>
            </w:r>
          </w:p>
        </w:tc>
      </w:tr>
      <w:tr w:rsidR="00F55BE9" w:rsidRPr="00EB6466" w:rsidTr="00F55BE9">
        <w:tc>
          <w:tcPr>
            <w:tcW w:w="993" w:type="dxa"/>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3.20</w:t>
            </w:r>
          </w:p>
        </w:tc>
        <w:tc>
          <w:tcPr>
            <w:tcW w:w="3118" w:type="dxa"/>
            <w:tcBorders>
              <w:top w:val="single" w:sz="4" w:space="0" w:color="auto"/>
              <w:left w:val="nil"/>
              <w:bottom w:val="nil"/>
              <w:right w:val="single" w:sz="4" w:space="0" w:color="auto"/>
            </w:tcBorders>
            <w:shd w:val="clear" w:color="auto" w:fill="auto"/>
            <w:noWrap/>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Ultragarsinės diagnostinės sistemos konstrukcija</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Sistema su ratukais, stabdoma atskirais arba centriniu stabdžiu</w:t>
            </w:r>
          </w:p>
        </w:tc>
      </w:tr>
      <w:tr w:rsidR="00F55BE9" w:rsidRPr="00EB6466" w:rsidTr="00F55BE9">
        <w:tc>
          <w:tcPr>
            <w:tcW w:w="993" w:type="dxa"/>
            <w:vMerge w:val="restart"/>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4.</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Reikalavimai </w:t>
            </w:r>
            <w:proofErr w:type="spellStart"/>
            <w:r w:rsidRPr="00CB6583">
              <w:rPr>
                <w:rFonts w:ascii="Times New Roman" w:eastAsia="Times New Roman" w:hAnsi="Times New Roman" w:cs="Times New Roman"/>
                <w:noProof w:val="0"/>
                <w:sz w:val="24"/>
                <w:szCs w:val="24"/>
                <w:lang w:eastAsia="lt-LT"/>
              </w:rPr>
              <w:t>konveksiniam</w:t>
            </w:r>
            <w:proofErr w:type="spellEnd"/>
            <w:r w:rsidRPr="00CB6583">
              <w:rPr>
                <w:rFonts w:ascii="Times New Roman" w:eastAsia="Times New Roman" w:hAnsi="Times New Roman" w:cs="Times New Roman"/>
                <w:noProof w:val="0"/>
                <w:sz w:val="24"/>
                <w:szCs w:val="24"/>
                <w:lang w:eastAsia="lt-LT"/>
              </w:rPr>
              <w:t xml:space="preserve"> davikliui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Dažnio diapazonas (ne siauresnis už nurodytą) - nuo 1 iki 5 MHz,</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Elementų skaičius ≥ 160,</w:t>
            </w:r>
          </w:p>
        </w:tc>
      </w:tr>
      <w:tr w:rsidR="00F55BE9" w:rsidRPr="00EB6466" w:rsidTr="00F55BE9">
        <w:tc>
          <w:tcPr>
            <w:tcW w:w="993" w:type="dxa"/>
            <w:vMerge/>
            <w:tcBorders>
              <w:top w:val="single" w:sz="4" w:space="0" w:color="auto"/>
              <w:left w:val="single" w:sz="4" w:space="0" w:color="auto"/>
              <w:bottom w:val="nil"/>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3. Apžiūros kampas (angliškai: </w:t>
            </w:r>
            <w:proofErr w:type="spellStart"/>
            <w:r w:rsidRPr="00CB6583">
              <w:rPr>
                <w:rFonts w:ascii="Times New Roman" w:eastAsia="Times New Roman" w:hAnsi="Times New Roman" w:cs="Times New Roman"/>
                <w:noProof w:val="0"/>
                <w:sz w:val="24"/>
                <w:szCs w:val="24"/>
                <w:lang w:eastAsia="lt-LT"/>
              </w:rPr>
              <w:t>Field</w:t>
            </w:r>
            <w:proofErr w:type="spellEnd"/>
            <w:r w:rsidRPr="00CB6583">
              <w:rPr>
                <w:rFonts w:ascii="Times New Roman" w:eastAsia="Times New Roman" w:hAnsi="Times New Roman" w:cs="Times New Roman"/>
                <w:noProof w:val="0"/>
                <w:sz w:val="24"/>
                <w:szCs w:val="24"/>
                <w:lang w:eastAsia="lt-LT"/>
              </w:rPr>
              <w:t xml:space="preserve"> </w:t>
            </w:r>
            <w:proofErr w:type="spellStart"/>
            <w:r w:rsidRPr="00CB6583">
              <w:rPr>
                <w:rFonts w:ascii="Times New Roman" w:eastAsia="Times New Roman" w:hAnsi="Times New Roman" w:cs="Times New Roman"/>
                <w:noProof w:val="0"/>
                <w:sz w:val="24"/>
                <w:szCs w:val="24"/>
                <w:lang w:eastAsia="lt-LT"/>
              </w:rPr>
              <w:t>of</w:t>
            </w:r>
            <w:proofErr w:type="spellEnd"/>
            <w:r w:rsidRPr="00CB6583">
              <w:rPr>
                <w:rFonts w:ascii="Times New Roman" w:eastAsia="Times New Roman" w:hAnsi="Times New Roman" w:cs="Times New Roman"/>
                <w:noProof w:val="0"/>
                <w:sz w:val="24"/>
                <w:szCs w:val="24"/>
                <w:lang w:eastAsia="lt-LT"/>
              </w:rPr>
              <w:t xml:space="preserve"> </w:t>
            </w:r>
            <w:proofErr w:type="spellStart"/>
            <w:r w:rsidRPr="00CB6583">
              <w:rPr>
                <w:rFonts w:ascii="Times New Roman" w:eastAsia="Times New Roman" w:hAnsi="Times New Roman" w:cs="Times New Roman"/>
                <w:noProof w:val="0"/>
                <w:sz w:val="24"/>
                <w:szCs w:val="24"/>
                <w:lang w:eastAsia="lt-LT"/>
              </w:rPr>
              <w:t>view</w:t>
            </w:r>
            <w:proofErr w:type="spellEnd"/>
            <w:r w:rsidRPr="00CB6583">
              <w:rPr>
                <w:rFonts w:ascii="Times New Roman" w:eastAsia="Times New Roman" w:hAnsi="Times New Roman" w:cs="Times New Roman"/>
                <w:noProof w:val="0"/>
                <w:sz w:val="24"/>
                <w:szCs w:val="24"/>
                <w:lang w:eastAsia="lt-LT"/>
              </w:rPr>
              <w:t>) ≥ 70°</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4. Monokristalinė arba </w:t>
            </w:r>
            <w:proofErr w:type="spellStart"/>
            <w:r w:rsidRPr="00CB6583">
              <w:rPr>
                <w:rFonts w:ascii="Times New Roman" w:eastAsia="Times New Roman" w:hAnsi="Times New Roman" w:cs="Times New Roman"/>
                <w:noProof w:val="0"/>
                <w:sz w:val="24"/>
                <w:szCs w:val="24"/>
                <w:lang w:eastAsia="lt-LT"/>
              </w:rPr>
              <w:t>matricinė</w:t>
            </w:r>
            <w:proofErr w:type="spellEnd"/>
            <w:r w:rsidRPr="00CB6583">
              <w:rPr>
                <w:rFonts w:ascii="Times New Roman" w:eastAsia="Times New Roman" w:hAnsi="Times New Roman" w:cs="Times New Roman"/>
                <w:noProof w:val="0"/>
                <w:sz w:val="24"/>
                <w:szCs w:val="24"/>
                <w:lang w:eastAsia="lt-LT"/>
              </w:rPr>
              <w:t>, arba lygiavertė technologija</w:t>
            </w:r>
          </w:p>
        </w:tc>
      </w:tr>
      <w:tr w:rsidR="00F55BE9" w:rsidRPr="00EB6466" w:rsidTr="00F55BE9">
        <w:tc>
          <w:tcPr>
            <w:tcW w:w="993" w:type="dxa"/>
            <w:tcBorders>
              <w:top w:val="single" w:sz="4" w:space="0" w:color="auto"/>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5.</w:t>
            </w:r>
          </w:p>
        </w:tc>
        <w:tc>
          <w:tcPr>
            <w:tcW w:w="3118" w:type="dxa"/>
            <w:tcBorders>
              <w:top w:val="nil"/>
              <w:left w:val="nil"/>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Reikalavimai linijiniam davikliui</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1. Dažnio diapazonas  (ne siauresnis už nurodytą) - nuo 3.5 iki 15 MHz,</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2. Elementų skaičius ≥ 960</w:t>
            </w:r>
          </w:p>
        </w:tc>
      </w:tr>
      <w:tr w:rsidR="00F55BE9" w:rsidRPr="00EB6466" w:rsidTr="00F55BE9">
        <w:tc>
          <w:tcPr>
            <w:tcW w:w="993" w:type="dxa"/>
            <w:tcBorders>
              <w:top w:val="nil"/>
              <w:left w:val="single" w:sz="4" w:space="0" w:color="auto"/>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nil"/>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3. Apžvalgos laukas ≥ 50 mm</w:t>
            </w:r>
          </w:p>
        </w:tc>
      </w:tr>
      <w:tr w:rsidR="00F55BE9" w:rsidRPr="00EB6466" w:rsidTr="00F55BE9">
        <w:tc>
          <w:tcPr>
            <w:tcW w:w="993" w:type="dxa"/>
            <w:tcBorders>
              <w:top w:val="nil"/>
              <w:left w:val="single" w:sz="4" w:space="0" w:color="auto"/>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3118"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w:t>
            </w:r>
          </w:p>
        </w:tc>
        <w:tc>
          <w:tcPr>
            <w:tcW w:w="5954" w:type="dxa"/>
            <w:tcBorders>
              <w:top w:val="nil"/>
              <w:left w:val="nil"/>
              <w:bottom w:val="single" w:sz="4" w:space="0" w:color="auto"/>
              <w:right w:val="single" w:sz="4" w:space="0" w:color="auto"/>
            </w:tcBorders>
            <w:shd w:val="clear" w:color="auto" w:fill="auto"/>
            <w:hideMark/>
          </w:tcPr>
          <w:p w:rsidR="00F55BE9" w:rsidRPr="00CB6583" w:rsidRDefault="00F55BE9" w:rsidP="003025FC">
            <w:pPr>
              <w:spacing w:after="0" w:line="240" w:lineRule="auto"/>
              <w:jc w:val="both"/>
              <w:rPr>
                <w:rFonts w:ascii="Times New Roman" w:eastAsia="Times New Roman" w:hAnsi="Times New Roman" w:cs="Times New Roman"/>
                <w:noProof w:val="0"/>
                <w:sz w:val="24"/>
                <w:szCs w:val="24"/>
                <w:lang w:eastAsia="lt-LT"/>
              </w:rPr>
            </w:pPr>
            <w:r w:rsidRPr="00CB6583">
              <w:rPr>
                <w:rFonts w:ascii="Times New Roman" w:eastAsia="Times New Roman" w:hAnsi="Times New Roman" w:cs="Times New Roman"/>
                <w:noProof w:val="0"/>
                <w:sz w:val="24"/>
                <w:szCs w:val="24"/>
                <w:lang w:eastAsia="lt-LT"/>
              </w:rPr>
              <w:t xml:space="preserve">4. Monokristalinė arba </w:t>
            </w:r>
            <w:proofErr w:type="spellStart"/>
            <w:r w:rsidRPr="00CB6583">
              <w:rPr>
                <w:rFonts w:ascii="Times New Roman" w:eastAsia="Times New Roman" w:hAnsi="Times New Roman" w:cs="Times New Roman"/>
                <w:noProof w:val="0"/>
                <w:sz w:val="24"/>
                <w:szCs w:val="24"/>
                <w:lang w:eastAsia="lt-LT"/>
              </w:rPr>
              <w:t>matricinė</w:t>
            </w:r>
            <w:proofErr w:type="spellEnd"/>
            <w:r w:rsidRPr="00CB6583">
              <w:rPr>
                <w:rFonts w:ascii="Times New Roman" w:eastAsia="Times New Roman" w:hAnsi="Times New Roman" w:cs="Times New Roman"/>
                <w:noProof w:val="0"/>
                <w:sz w:val="24"/>
                <w:szCs w:val="24"/>
                <w:lang w:eastAsia="lt-LT"/>
              </w:rPr>
              <w:t>, arba lygiavertė technologija</w:t>
            </w:r>
          </w:p>
        </w:tc>
      </w:tr>
    </w:tbl>
    <w:p w:rsidR="00EB6466" w:rsidRDefault="00EB6466">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895E7A" w:rsidRDefault="00895E7A">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B7364E" w:rsidRDefault="00B7364E">
      <w:pPr>
        <w:rPr>
          <w:rFonts w:ascii="Times New Roman" w:hAnsi="Times New Roman" w:cs="Times New Roman"/>
        </w:rPr>
      </w:pPr>
    </w:p>
    <w:p w:rsidR="006D3CF7" w:rsidRPr="00895E7A" w:rsidRDefault="00EB6466">
      <w:pPr>
        <w:rPr>
          <w:rFonts w:ascii="Times New Roman" w:hAnsi="Times New Roman" w:cs="Times New Roman"/>
          <w:b/>
          <w:sz w:val="24"/>
          <w:szCs w:val="24"/>
        </w:rPr>
      </w:pPr>
      <w:r w:rsidRPr="00895E7A">
        <w:rPr>
          <w:rFonts w:ascii="Times New Roman" w:hAnsi="Times New Roman" w:cs="Times New Roman"/>
          <w:b/>
          <w:sz w:val="24"/>
          <w:szCs w:val="24"/>
        </w:rPr>
        <w:lastRenderedPageBreak/>
        <w:t>PASIŪLYMŲ VERTINIMAS</w:t>
      </w:r>
    </w:p>
    <w:p w:rsidR="00EB6466" w:rsidRPr="00871A0C" w:rsidRDefault="00EB6466" w:rsidP="00871A0C">
      <w:pPr>
        <w:spacing w:after="0"/>
        <w:jc w:val="both"/>
        <w:rPr>
          <w:rFonts w:ascii="Times New Roman" w:hAnsi="Times New Roman" w:cs="Times New Roman"/>
          <w:sz w:val="24"/>
          <w:szCs w:val="24"/>
        </w:rPr>
      </w:pPr>
      <w:r w:rsidRPr="00871A0C">
        <w:rPr>
          <w:rFonts w:ascii="Times New Roman" w:hAnsi="Times New Roman" w:cs="Times New Roman"/>
          <w:sz w:val="24"/>
          <w:szCs w:val="24"/>
        </w:rPr>
        <w:t>1. Perkančiosios organizacijos neatmesti pasiūlymai vertinami taikant ekonomiškai naudingiausio pasiūlymo vertinimo kriterijus, kai vertinama kaina ir kokybė.</w:t>
      </w:r>
    </w:p>
    <w:p w:rsidR="00EB6466" w:rsidRPr="00871A0C" w:rsidRDefault="00EB6466" w:rsidP="00871A0C">
      <w:pPr>
        <w:spacing w:after="0"/>
        <w:jc w:val="both"/>
        <w:rPr>
          <w:rFonts w:ascii="Times New Roman" w:hAnsi="Times New Roman" w:cs="Times New Roman"/>
          <w:sz w:val="24"/>
          <w:szCs w:val="24"/>
        </w:rPr>
      </w:pPr>
      <w:r w:rsidRPr="00871A0C">
        <w:rPr>
          <w:rFonts w:ascii="Times New Roman" w:hAnsi="Times New Roman" w:cs="Times New Roman"/>
          <w:sz w:val="24"/>
          <w:szCs w:val="24"/>
        </w:rPr>
        <w:t>2. Ekonomiškai naudingiausias pasiūlymas – tai pasiūlymas, kurio balų suma, apskaičiuota pagal toliau nustatytus pasiūlymų vertinimo kriterijus ir sąlygas, yra didžiausia.</w:t>
      </w:r>
    </w:p>
    <w:p w:rsidR="00EB6466" w:rsidRPr="00871A0C" w:rsidRDefault="00EB6466" w:rsidP="00871A0C">
      <w:pPr>
        <w:spacing w:after="0"/>
        <w:jc w:val="both"/>
        <w:rPr>
          <w:rFonts w:ascii="Times New Roman" w:hAnsi="Times New Roman" w:cs="Times New Roman"/>
          <w:sz w:val="24"/>
          <w:szCs w:val="24"/>
        </w:rPr>
      </w:pPr>
      <w:r w:rsidRPr="00871A0C">
        <w:rPr>
          <w:rFonts w:ascii="Times New Roman" w:hAnsi="Times New Roman" w:cs="Times New Roman"/>
          <w:sz w:val="24"/>
          <w:szCs w:val="24"/>
        </w:rPr>
        <w:t>Numatytų vertinimo kriterijų lyginamieji svoriai:</w:t>
      </w:r>
    </w:p>
    <w:p w:rsidR="00EB6466" w:rsidRPr="00871A0C" w:rsidRDefault="00EB6466" w:rsidP="00871A0C">
      <w:pPr>
        <w:spacing w:after="0"/>
        <w:jc w:val="both"/>
        <w:rPr>
          <w:rFonts w:ascii="Times New Roman" w:hAnsi="Times New Roman" w:cs="Times New Roman"/>
          <w:sz w:val="24"/>
          <w:szCs w:val="24"/>
        </w:rPr>
      </w:pPr>
      <w:r w:rsidRPr="00871A0C">
        <w:rPr>
          <w:rFonts w:ascii="Times New Roman" w:hAnsi="Times New Roman" w:cs="Times New Roman"/>
          <w:sz w:val="24"/>
          <w:szCs w:val="24"/>
        </w:rPr>
        <w:t>1) Kaina (K) – 50;</w:t>
      </w:r>
    </w:p>
    <w:p w:rsidR="00EB6466" w:rsidRPr="00871A0C" w:rsidRDefault="00EB6466" w:rsidP="00871A0C">
      <w:pPr>
        <w:spacing w:after="0"/>
        <w:jc w:val="both"/>
        <w:rPr>
          <w:rFonts w:ascii="Times New Roman" w:hAnsi="Times New Roman" w:cs="Times New Roman"/>
          <w:sz w:val="24"/>
          <w:szCs w:val="24"/>
        </w:rPr>
      </w:pPr>
      <w:r w:rsidRPr="00871A0C">
        <w:rPr>
          <w:rFonts w:ascii="Times New Roman" w:hAnsi="Times New Roman" w:cs="Times New Roman"/>
          <w:sz w:val="24"/>
          <w:szCs w:val="24"/>
        </w:rPr>
        <w:t>2) Techniniai pranašumai (T) – 50;</w:t>
      </w:r>
    </w:p>
    <w:p w:rsidR="00EB6466" w:rsidRPr="00871A0C" w:rsidRDefault="00EB6466" w:rsidP="00871A0C">
      <w:pPr>
        <w:spacing w:after="0"/>
        <w:jc w:val="both"/>
        <w:rPr>
          <w:rFonts w:ascii="Times New Roman" w:hAnsi="Times New Roman" w:cs="Times New Roman"/>
          <w:sz w:val="24"/>
          <w:szCs w:val="24"/>
        </w:rPr>
      </w:pPr>
      <w:r w:rsidRPr="00871A0C">
        <w:rPr>
          <w:rFonts w:ascii="Times New Roman" w:hAnsi="Times New Roman" w:cs="Times New Roman"/>
          <w:sz w:val="24"/>
          <w:szCs w:val="24"/>
        </w:rPr>
        <w:t>Vertinimo kriterijai ir jų parametrų lyginamieji svoriai:</w:t>
      </w:r>
    </w:p>
    <w:tbl>
      <w:tblPr>
        <w:tblW w:w="9629" w:type="dxa"/>
        <w:tblInd w:w="118" w:type="dxa"/>
        <w:tblLook w:val="04A0" w:firstRow="1" w:lastRow="0" w:firstColumn="1" w:lastColumn="0" w:noHBand="0" w:noVBand="1"/>
      </w:tblPr>
      <w:tblGrid>
        <w:gridCol w:w="556"/>
        <w:gridCol w:w="3545"/>
        <w:gridCol w:w="1586"/>
        <w:gridCol w:w="1816"/>
        <w:gridCol w:w="2126"/>
      </w:tblGrid>
      <w:tr w:rsidR="00EB6466" w:rsidRPr="00EB6466" w:rsidTr="00F55BE9">
        <w:trPr>
          <w:trHeight w:val="645"/>
        </w:trPr>
        <w:tc>
          <w:tcPr>
            <w:tcW w:w="56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Vertinimo kriterijai</w:t>
            </w:r>
          </w:p>
        </w:tc>
        <w:tc>
          <w:tcPr>
            <w:tcW w:w="1816" w:type="dxa"/>
            <w:tcBorders>
              <w:top w:val="single" w:sz="8" w:space="0" w:color="auto"/>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Parametro lyginamasis svoris</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Lyginamasis svoris ekonominio naudingumo įvertinime</w:t>
            </w:r>
          </w:p>
        </w:tc>
      </w:tr>
      <w:tr w:rsidR="00EB6466" w:rsidRPr="00EB6466" w:rsidTr="00F55BE9">
        <w:trPr>
          <w:trHeight w:val="330"/>
        </w:trPr>
        <w:tc>
          <w:tcPr>
            <w:tcW w:w="750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Kaina (K)</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X=50</w:t>
            </w:r>
          </w:p>
        </w:tc>
      </w:tr>
      <w:tr w:rsidR="00EB6466" w:rsidRPr="00EB6466" w:rsidTr="00F55BE9">
        <w:trPr>
          <w:trHeight w:val="330"/>
        </w:trPr>
        <w:tc>
          <w:tcPr>
            <w:tcW w:w="750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Techniniai pranašumai (T)</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Y=50</w:t>
            </w:r>
          </w:p>
        </w:tc>
      </w:tr>
      <w:tr w:rsidR="00EB6466" w:rsidRPr="00EB6466" w:rsidTr="00F55BE9">
        <w:trPr>
          <w:trHeight w:val="330"/>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Nr.</w:t>
            </w:r>
          </w:p>
        </w:tc>
        <w:tc>
          <w:tcPr>
            <w:tcW w:w="3545"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Parametrai</w:t>
            </w:r>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 </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b/>
                <w:bCs/>
                <w:noProof w:val="0"/>
                <w:color w:val="000000"/>
                <w:sz w:val="24"/>
                <w:szCs w:val="24"/>
                <w:lang w:eastAsia="lt-LT"/>
              </w:rPr>
            </w:pPr>
            <w:r w:rsidRPr="00EB6466">
              <w:rPr>
                <w:rFonts w:ascii="Times New Roman" w:eastAsia="Times New Roman" w:hAnsi="Times New Roman" w:cs="Times New Roman"/>
                <w:b/>
                <w:bCs/>
                <w:noProof w:val="0"/>
                <w:color w:val="000000"/>
                <w:sz w:val="24"/>
                <w:szCs w:val="24"/>
                <w:lang w:eastAsia="lt-LT"/>
              </w:rPr>
              <w:t> </w:t>
            </w:r>
          </w:p>
        </w:tc>
      </w:tr>
      <w:tr w:rsidR="00EB6466" w:rsidRPr="00EB6466" w:rsidTr="00F55BE9">
        <w:trPr>
          <w:trHeight w:val="645"/>
        </w:trPr>
        <w:tc>
          <w:tcPr>
            <w:tcW w:w="556" w:type="dxa"/>
            <w:tcBorders>
              <w:top w:val="nil"/>
              <w:left w:val="single" w:sz="8" w:space="0" w:color="auto"/>
              <w:bottom w:val="single" w:sz="8" w:space="0" w:color="auto"/>
              <w:right w:val="nil"/>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T1</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both"/>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Bendrasis dinaminis diapazonas &gt; 380 </w:t>
            </w:r>
            <w:proofErr w:type="spellStart"/>
            <w:r w:rsidRPr="00EB6466">
              <w:rPr>
                <w:rFonts w:ascii="Times New Roman" w:eastAsia="Times New Roman" w:hAnsi="Times New Roman" w:cs="Times New Roman"/>
                <w:noProof w:val="0"/>
                <w:sz w:val="24"/>
                <w:szCs w:val="24"/>
                <w:lang w:eastAsia="lt-LT"/>
              </w:rPr>
              <w:t>dB</w:t>
            </w:r>
            <w:proofErr w:type="spellEnd"/>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lang w:eastAsia="lt-LT"/>
              </w:rPr>
            </w:pPr>
            <w:r w:rsidRPr="00EB6466">
              <w:rPr>
                <w:rFonts w:ascii="Times New Roman" w:eastAsia="Times New Roman" w:hAnsi="Times New Roman" w:cs="Times New Roman"/>
                <w:noProof w:val="0"/>
                <w:lang w:eastAsia="lt-LT"/>
              </w:rPr>
              <w:t>Statinis:</w:t>
            </w:r>
            <w:r w:rsidRPr="00EB6466">
              <w:rPr>
                <w:rFonts w:ascii="Times New Roman" w:eastAsia="Times New Roman" w:hAnsi="Times New Roman" w:cs="Times New Roman"/>
                <w:noProof w:val="0"/>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w:t>
            </w:r>
            <w:r w:rsidRPr="00EB6466">
              <w:rPr>
                <w:rFonts w:ascii="Times New Roman" w:eastAsia="Times New Roman" w:hAnsi="Times New Roman" w:cs="Times New Roman"/>
                <w:noProof w:val="0"/>
                <w:sz w:val="24"/>
                <w:szCs w:val="24"/>
                <w:vertAlign w:val="subscript"/>
                <w:lang w:eastAsia="lt-LT"/>
              </w:rPr>
              <w:t>1</w:t>
            </w:r>
            <w:r w:rsidRPr="00EB6466">
              <w:rPr>
                <w:rFonts w:ascii="Times New Roman" w:eastAsia="Times New Roman" w:hAnsi="Times New Roman" w:cs="Times New Roman"/>
                <w:noProof w:val="0"/>
                <w:sz w:val="24"/>
                <w:szCs w:val="24"/>
                <w:lang w:eastAsia="lt-LT"/>
              </w:rPr>
              <w:t xml:space="preserve"> = 0,10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Įrašyti konkrečią parametro vertę</w:t>
            </w:r>
          </w:p>
        </w:tc>
      </w:tr>
      <w:tr w:rsidR="00EB6466" w:rsidRPr="00EB6466" w:rsidTr="00F55BE9">
        <w:trPr>
          <w:trHeight w:val="870"/>
        </w:trPr>
        <w:tc>
          <w:tcPr>
            <w:tcW w:w="556" w:type="dxa"/>
            <w:tcBorders>
              <w:top w:val="nil"/>
              <w:left w:val="single" w:sz="8" w:space="0" w:color="auto"/>
              <w:bottom w:val="single" w:sz="8" w:space="0" w:color="auto"/>
              <w:right w:val="nil"/>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T2</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both"/>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Linijinio daviklio elementų skaičius ≥ 1500</w:t>
            </w:r>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lang w:eastAsia="lt-LT"/>
              </w:rPr>
            </w:pPr>
            <w:r w:rsidRPr="00EB6466">
              <w:rPr>
                <w:rFonts w:ascii="Times New Roman" w:eastAsia="Times New Roman" w:hAnsi="Times New Roman" w:cs="Times New Roman"/>
                <w:noProof w:val="0"/>
                <w:lang w:eastAsia="lt-LT"/>
              </w:rPr>
              <w:t>Statinis:</w:t>
            </w:r>
            <w:r w:rsidRPr="00EB6466">
              <w:rPr>
                <w:rFonts w:ascii="Times New Roman" w:eastAsia="Times New Roman" w:hAnsi="Times New Roman" w:cs="Times New Roman"/>
                <w:noProof w:val="0"/>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w:t>
            </w:r>
            <w:r w:rsidRPr="00EB6466">
              <w:rPr>
                <w:rFonts w:ascii="Times New Roman" w:eastAsia="Times New Roman" w:hAnsi="Times New Roman" w:cs="Times New Roman"/>
                <w:noProof w:val="0"/>
                <w:sz w:val="24"/>
                <w:szCs w:val="24"/>
                <w:vertAlign w:val="subscript"/>
                <w:lang w:eastAsia="lt-LT"/>
              </w:rPr>
              <w:t>2</w:t>
            </w:r>
            <w:r w:rsidRPr="00EB6466">
              <w:rPr>
                <w:rFonts w:ascii="Times New Roman" w:eastAsia="Times New Roman" w:hAnsi="Times New Roman" w:cs="Times New Roman"/>
                <w:noProof w:val="0"/>
                <w:sz w:val="24"/>
                <w:szCs w:val="24"/>
                <w:lang w:eastAsia="lt-LT"/>
              </w:rPr>
              <w:t xml:space="preserve"> =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Įrašyti parametro vertę: yra / nėra </w:t>
            </w:r>
          </w:p>
        </w:tc>
      </w:tr>
      <w:tr w:rsidR="00EB6466" w:rsidRPr="00EB6466" w:rsidTr="00871A0C">
        <w:trPr>
          <w:trHeight w:val="1087"/>
        </w:trPr>
        <w:tc>
          <w:tcPr>
            <w:tcW w:w="556" w:type="dxa"/>
            <w:tcBorders>
              <w:top w:val="nil"/>
              <w:left w:val="single" w:sz="8" w:space="0" w:color="auto"/>
              <w:bottom w:val="single" w:sz="8" w:space="0" w:color="auto"/>
              <w:right w:val="nil"/>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T3</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both"/>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Linijinio daviklio (p.</w:t>
            </w:r>
            <w:r w:rsidR="007317F2">
              <w:rPr>
                <w:rFonts w:ascii="Times New Roman" w:eastAsia="Times New Roman" w:hAnsi="Times New Roman" w:cs="Times New Roman"/>
                <w:noProof w:val="0"/>
                <w:sz w:val="24"/>
                <w:szCs w:val="24"/>
                <w:lang w:eastAsia="lt-LT"/>
              </w:rPr>
              <w:t>5.1.</w:t>
            </w:r>
            <w:r w:rsidRPr="00EB6466">
              <w:rPr>
                <w:rFonts w:ascii="Times New Roman" w:eastAsia="Times New Roman" w:hAnsi="Times New Roman" w:cs="Times New Roman"/>
                <w:noProof w:val="0"/>
                <w:sz w:val="24"/>
                <w:szCs w:val="24"/>
                <w:lang w:eastAsia="lt-LT"/>
              </w:rPr>
              <w:t>) viršutinė dažnio diapazono riba ne mažiau kaip 20 MHz</w:t>
            </w:r>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lang w:eastAsia="lt-LT"/>
              </w:rPr>
            </w:pPr>
            <w:r w:rsidRPr="00EB6466">
              <w:rPr>
                <w:rFonts w:ascii="Times New Roman" w:eastAsia="Times New Roman" w:hAnsi="Times New Roman" w:cs="Times New Roman"/>
                <w:noProof w:val="0"/>
                <w:lang w:eastAsia="lt-LT"/>
              </w:rPr>
              <w:t>Statinis:</w:t>
            </w:r>
            <w:r w:rsidRPr="00EB6466">
              <w:rPr>
                <w:rFonts w:ascii="Times New Roman" w:eastAsia="Times New Roman" w:hAnsi="Times New Roman" w:cs="Times New Roman"/>
                <w:noProof w:val="0"/>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w:t>
            </w:r>
            <w:r w:rsidRPr="00EB6466">
              <w:rPr>
                <w:rFonts w:ascii="Times New Roman" w:eastAsia="Times New Roman" w:hAnsi="Times New Roman" w:cs="Times New Roman"/>
                <w:noProof w:val="0"/>
                <w:sz w:val="24"/>
                <w:szCs w:val="24"/>
                <w:vertAlign w:val="subscript"/>
                <w:lang w:eastAsia="lt-LT"/>
              </w:rPr>
              <w:t>3</w:t>
            </w:r>
            <w:r w:rsidRPr="00EB6466">
              <w:rPr>
                <w:rFonts w:ascii="Times New Roman" w:eastAsia="Times New Roman" w:hAnsi="Times New Roman" w:cs="Times New Roman"/>
                <w:noProof w:val="0"/>
                <w:sz w:val="24"/>
                <w:szCs w:val="24"/>
                <w:lang w:eastAsia="lt-LT"/>
              </w:rPr>
              <w:t xml:space="preserve"> =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Įrašyti parametro vertę</w:t>
            </w:r>
          </w:p>
        </w:tc>
      </w:tr>
      <w:tr w:rsidR="00EB6466" w:rsidRPr="00EB6466" w:rsidTr="00871A0C">
        <w:trPr>
          <w:trHeight w:val="1118"/>
        </w:trPr>
        <w:tc>
          <w:tcPr>
            <w:tcW w:w="556" w:type="dxa"/>
            <w:tcBorders>
              <w:top w:val="nil"/>
              <w:left w:val="single" w:sz="8" w:space="0" w:color="auto"/>
              <w:bottom w:val="single" w:sz="8" w:space="0" w:color="auto"/>
              <w:right w:val="nil"/>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T4</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both"/>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Komplektuojamo </w:t>
            </w:r>
            <w:proofErr w:type="spellStart"/>
            <w:r w:rsidRPr="00EB6466">
              <w:rPr>
                <w:rFonts w:ascii="Times New Roman" w:eastAsia="Times New Roman" w:hAnsi="Times New Roman" w:cs="Times New Roman"/>
                <w:noProof w:val="0"/>
                <w:sz w:val="24"/>
                <w:szCs w:val="24"/>
                <w:lang w:eastAsia="lt-LT"/>
              </w:rPr>
              <w:t>konveksinio</w:t>
            </w:r>
            <w:proofErr w:type="spellEnd"/>
            <w:r w:rsidRPr="00EB6466">
              <w:rPr>
                <w:rFonts w:ascii="Times New Roman" w:eastAsia="Times New Roman" w:hAnsi="Times New Roman" w:cs="Times New Roman"/>
                <w:noProof w:val="0"/>
                <w:sz w:val="24"/>
                <w:szCs w:val="24"/>
                <w:lang w:eastAsia="lt-LT"/>
              </w:rPr>
              <w:t xml:space="preserve"> daviklio apžvalgos laukas ≥ 110°</w:t>
            </w:r>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lang w:eastAsia="lt-LT"/>
              </w:rPr>
            </w:pPr>
            <w:r w:rsidRPr="00EB6466">
              <w:rPr>
                <w:rFonts w:ascii="Times New Roman" w:eastAsia="Times New Roman" w:hAnsi="Times New Roman" w:cs="Times New Roman"/>
                <w:noProof w:val="0"/>
                <w:lang w:eastAsia="lt-LT"/>
              </w:rPr>
              <w:t>Statinis:</w:t>
            </w:r>
            <w:r w:rsidRPr="00EB6466">
              <w:rPr>
                <w:rFonts w:ascii="Times New Roman" w:eastAsia="Times New Roman" w:hAnsi="Times New Roman" w:cs="Times New Roman"/>
                <w:noProof w:val="0"/>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w:t>
            </w:r>
            <w:r w:rsidRPr="00EB6466">
              <w:rPr>
                <w:rFonts w:ascii="Times New Roman" w:eastAsia="Times New Roman" w:hAnsi="Times New Roman" w:cs="Times New Roman"/>
                <w:noProof w:val="0"/>
                <w:sz w:val="24"/>
                <w:szCs w:val="24"/>
                <w:vertAlign w:val="subscript"/>
                <w:lang w:eastAsia="lt-LT"/>
              </w:rPr>
              <w:t>4</w:t>
            </w:r>
            <w:r w:rsidRPr="00EB6466">
              <w:rPr>
                <w:rFonts w:ascii="Times New Roman" w:eastAsia="Times New Roman" w:hAnsi="Times New Roman" w:cs="Times New Roman"/>
                <w:noProof w:val="0"/>
                <w:sz w:val="24"/>
                <w:szCs w:val="24"/>
                <w:lang w:eastAsia="lt-LT"/>
              </w:rPr>
              <w:t xml:space="preserve"> = 0,10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Įrašyti parametro vertę: yra / nėra </w:t>
            </w:r>
          </w:p>
        </w:tc>
      </w:tr>
      <w:tr w:rsidR="00EB6466" w:rsidRPr="00EB6466" w:rsidTr="00F55BE9">
        <w:trPr>
          <w:trHeight w:val="1620"/>
        </w:trPr>
        <w:tc>
          <w:tcPr>
            <w:tcW w:w="556" w:type="dxa"/>
            <w:tcBorders>
              <w:top w:val="nil"/>
              <w:left w:val="single" w:sz="8" w:space="0" w:color="auto"/>
              <w:bottom w:val="single" w:sz="8" w:space="0" w:color="auto"/>
              <w:right w:val="nil"/>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T5</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both"/>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Komplektuojama kepenų </w:t>
            </w:r>
            <w:proofErr w:type="spellStart"/>
            <w:r w:rsidRPr="00EB6466">
              <w:rPr>
                <w:rFonts w:ascii="Times New Roman" w:eastAsia="Times New Roman" w:hAnsi="Times New Roman" w:cs="Times New Roman"/>
                <w:noProof w:val="0"/>
                <w:sz w:val="24"/>
                <w:szCs w:val="24"/>
                <w:lang w:eastAsia="lt-LT"/>
              </w:rPr>
              <w:t>riebalingumo</w:t>
            </w:r>
            <w:proofErr w:type="spellEnd"/>
            <w:r w:rsidRPr="00EB6466">
              <w:rPr>
                <w:rFonts w:ascii="Times New Roman" w:eastAsia="Times New Roman" w:hAnsi="Times New Roman" w:cs="Times New Roman"/>
                <w:noProof w:val="0"/>
                <w:sz w:val="24"/>
                <w:szCs w:val="24"/>
                <w:lang w:eastAsia="lt-LT"/>
              </w:rPr>
              <w:t xml:space="preserve"> </w:t>
            </w:r>
            <w:proofErr w:type="spellStart"/>
            <w:r w:rsidRPr="00EB6466">
              <w:rPr>
                <w:rFonts w:ascii="Times New Roman" w:eastAsia="Times New Roman" w:hAnsi="Times New Roman" w:cs="Times New Roman"/>
                <w:noProof w:val="0"/>
                <w:sz w:val="24"/>
                <w:szCs w:val="24"/>
                <w:lang w:eastAsia="lt-LT"/>
              </w:rPr>
              <w:t>kvantifikacijos</w:t>
            </w:r>
            <w:proofErr w:type="spellEnd"/>
            <w:r w:rsidRPr="00EB6466">
              <w:rPr>
                <w:rFonts w:ascii="Times New Roman" w:eastAsia="Times New Roman" w:hAnsi="Times New Roman" w:cs="Times New Roman"/>
                <w:noProof w:val="0"/>
                <w:sz w:val="24"/>
                <w:szCs w:val="24"/>
                <w:lang w:eastAsia="lt-LT"/>
              </w:rPr>
              <w:t xml:space="preserve"> programinė įranga su spalviniais signalo kokybės žemėlapiais ir  integruotu </w:t>
            </w:r>
            <w:proofErr w:type="spellStart"/>
            <w:r w:rsidRPr="00EB6466">
              <w:rPr>
                <w:rFonts w:ascii="Times New Roman" w:eastAsia="Times New Roman" w:hAnsi="Times New Roman" w:cs="Times New Roman"/>
                <w:noProof w:val="0"/>
                <w:sz w:val="24"/>
                <w:szCs w:val="24"/>
                <w:lang w:eastAsia="lt-LT"/>
              </w:rPr>
              <w:t>Hepatorenalinio</w:t>
            </w:r>
            <w:proofErr w:type="spellEnd"/>
            <w:r w:rsidRPr="00EB6466">
              <w:rPr>
                <w:rFonts w:ascii="Times New Roman" w:eastAsia="Times New Roman" w:hAnsi="Times New Roman" w:cs="Times New Roman"/>
                <w:noProof w:val="0"/>
                <w:sz w:val="24"/>
                <w:szCs w:val="24"/>
                <w:lang w:eastAsia="lt-LT"/>
              </w:rPr>
              <w:t xml:space="preserve"> indekso (HRI) kiekybiniu įvertinimu</w:t>
            </w:r>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lang w:eastAsia="lt-LT"/>
              </w:rPr>
            </w:pPr>
            <w:r w:rsidRPr="00EB6466">
              <w:rPr>
                <w:rFonts w:ascii="Times New Roman" w:eastAsia="Times New Roman" w:hAnsi="Times New Roman" w:cs="Times New Roman"/>
                <w:noProof w:val="0"/>
                <w:lang w:eastAsia="lt-LT"/>
              </w:rPr>
              <w:t>Statinis:</w:t>
            </w:r>
            <w:r w:rsidRPr="00EB6466">
              <w:rPr>
                <w:rFonts w:ascii="Times New Roman" w:eastAsia="Times New Roman" w:hAnsi="Times New Roman" w:cs="Times New Roman"/>
                <w:noProof w:val="0"/>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w:t>
            </w:r>
            <w:r w:rsidRPr="00EB6466">
              <w:rPr>
                <w:rFonts w:ascii="Times New Roman" w:eastAsia="Times New Roman" w:hAnsi="Times New Roman" w:cs="Times New Roman"/>
                <w:noProof w:val="0"/>
                <w:sz w:val="24"/>
                <w:szCs w:val="24"/>
                <w:vertAlign w:val="subscript"/>
                <w:lang w:eastAsia="lt-LT"/>
              </w:rPr>
              <w:t xml:space="preserve">5 </w:t>
            </w:r>
            <w:r w:rsidRPr="00EB6466">
              <w:rPr>
                <w:rFonts w:ascii="Times New Roman" w:eastAsia="Times New Roman" w:hAnsi="Times New Roman" w:cs="Times New Roman"/>
                <w:noProof w:val="0"/>
                <w:sz w:val="24"/>
                <w:szCs w:val="24"/>
                <w:lang w:eastAsia="lt-LT"/>
              </w:rPr>
              <w:t>=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Įrašyti parametro vertę: yra / nėra </w:t>
            </w:r>
          </w:p>
        </w:tc>
      </w:tr>
      <w:tr w:rsidR="00EB6466" w:rsidRPr="00EB6466" w:rsidTr="00871A0C">
        <w:trPr>
          <w:trHeight w:val="1825"/>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T6</w:t>
            </w:r>
          </w:p>
        </w:tc>
        <w:tc>
          <w:tcPr>
            <w:tcW w:w="3545"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both"/>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Specializuota programa, skirta itin mažo srauto </w:t>
            </w:r>
            <w:proofErr w:type="spellStart"/>
            <w:r w:rsidRPr="00EB6466">
              <w:rPr>
                <w:rFonts w:ascii="Times New Roman" w:eastAsia="Times New Roman" w:hAnsi="Times New Roman" w:cs="Times New Roman"/>
                <w:noProof w:val="0"/>
                <w:sz w:val="24"/>
                <w:szCs w:val="24"/>
                <w:lang w:eastAsia="lt-LT"/>
              </w:rPr>
              <w:t>mikro</w:t>
            </w:r>
            <w:proofErr w:type="spellEnd"/>
            <w:r w:rsidRPr="00EB6466">
              <w:rPr>
                <w:rFonts w:ascii="Times New Roman" w:eastAsia="Times New Roman" w:hAnsi="Times New Roman" w:cs="Times New Roman"/>
                <w:noProof w:val="0"/>
                <w:sz w:val="24"/>
                <w:szCs w:val="24"/>
                <w:lang w:eastAsia="lt-LT"/>
              </w:rPr>
              <w:t xml:space="preserve"> kraujagyslėms, kurios kadrų dažnis ne mažesnis kaip 60 kadrų per sekundę, o mažiausia kraujo srauto aptikimo riba - ne didesnė kaip 0,3 cm/s.</w:t>
            </w:r>
          </w:p>
        </w:tc>
        <w:tc>
          <w:tcPr>
            <w:tcW w:w="158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lang w:eastAsia="lt-LT"/>
              </w:rPr>
            </w:pPr>
            <w:r w:rsidRPr="00EB6466">
              <w:rPr>
                <w:rFonts w:ascii="Times New Roman" w:eastAsia="Times New Roman" w:hAnsi="Times New Roman" w:cs="Times New Roman"/>
                <w:noProof w:val="0"/>
                <w:lang w:eastAsia="lt-LT"/>
              </w:rPr>
              <w:t>Statinis:</w:t>
            </w:r>
            <w:r w:rsidRPr="00EB6466">
              <w:rPr>
                <w:rFonts w:ascii="Times New Roman" w:eastAsia="Times New Roman" w:hAnsi="Times New Roman" w:cs="Times New Roman"/>
                <w:noProof w:val="0"/>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L</w:t>
            </w:r>
            <w:r w:rsidRPr="00EB6466">
              <w:rPr>
                <w:rFonts w:ascii="Times New Roman" w:eastAsia="Times New Roman" w:hAnsi="Times New Roman" w:cs="Times New Roman"/>
                <w:noProof w:val="0"/>
                <w:sz w:val="24"/>
                <w:szCs w:val="24"/>
                <w:vertAlign w:val="subscript"/>
                <w:lang w:eastAsia="lt-LT"/>
              </w:rPr>
              <w:t xml:space="preserve">6 </w:t>
            </w:r>
            <w:r w:rsidRPr="00EB6466">
              <w:rPr>
                <w:rFonts w:ascii="Times New Roman" w:eastAsia="Times New Roman" w:hAnsi="Times New Roman" w:cs="Times New Roman"/>
                <w:noProof w:val="0"/>
                <w:sz w:val="24"/>
                <w:szCs w:val="24"/>
                <w:lang w:eastAsia="lt-LT"/>
              </w:rPr>
              <w:t>=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EB6466" w:rsidRPr="00EB6466" w:rsidRDefault="00EB6466" w:rsidP="00EB6466">
            <w:pPr>
              <w:spacing w:after="0" w:line="240" w:lineRule="auto"/>
              <w:jc w:val="center"/>
              <w:rPr>
                <w:rFonts w:ascii="Times New Roman" w:eastAsia="Times New Roman" w:hAnsi="Times New Roman" w:cs="Times New Roman"/>
                <w:noProof w:val="0"/>
                <w:sz w:val="24"/>
                <w:szCs w:val="24"/>
                <w:lang w:eastAsia="lt-LT"/>
              </w:rPr>
            </w:pPr>
            <w:r w:rsidRPr="00EB6466">
              <w:rPr>
                <w:rFonts w:ascii="Times New Roman" w:eastAsia="Times New Roman" w:hAnsi="Times New Roman" w:cs="Times New Roman"/>
                <w:noProof w:val="0"/>
                <w:sz w:val="24"/>
                <w:szCs w:val="24"/>
                <w:lang w:eastAsia="lt-LT"/>
              </w:rPr>
              <w:t xml:space="preserve">Įrašyti parametro vertę: yra / nėra </w:t>
            </w:r>
          </w:p>
        </w:tc>
      </w:tr>
    </w:tbl>
    <w:p w:rsidR="00EB6466" w:rsidRPr="00EB6466" w:rsidRDefault="00EB6466">
      <w:pPr>
        <w:rPr>
          <w:rFonts w:ascii="Times New Roman" w:hAnsi="Times New Roman" w:cs="Times New Roman"/>
        </w:rPr>
      </w:pPr>
    </w:p>
    <w:p w:rsidR="00EB6466" w:rsidRPr="00871A0C" w:rsidRDefault="00EB6466" w:rsidP="00BB3DCC">
      <w:pPr>
        <w:spacing w:after="0"/>
        <w:jc w:val="both"/>
        <w:rPr>
          <w:rFonts w:ascii="Times New Roman" w:hAnsi="Times New Roman" w:cs="Times New Roman"/>
          <w:sz w:val="24"/>
          <w:szCs w:val="24"/>
        </w:rPr>
      </w:pPr>
      <w:r w:rsidRPr="00871A0C">
        <w:rPr>
          <w:rFonts w:ascii="Times New Roman" w:hAnsi="Times New Roman" w:cs="Times New Roman"/>
          <w:sz w:val="24"/>
          <w:szCs w:val="24"/>
        </w:rPr>
        <w:lastRenderedPageBreak/>
        <w:t>Pasiūlymo ekonominio naudingumo (kainos ir kokybės santykio) apskaičiavimo tvarka (formulė) yra pateikiama žemiau:</w:t>
      </w:r>
    </w:p>
    <w:p w:rsidR="00EB6466" w:rsidRDefault="00871A0C" w:rsidP="00BB3DCC">
      <w:pPr>
        <w:spacing w:after="0"/>
        <w:jc w:val="both"/>
        <w:rPr>
          <w:rFonts w:ascii="Times New Roman" w:hAnsi="Times New Roman" w:cs="Times New Roman"/>
          <w:sz w:val="24"/>
          <w:szCs w:val="24"/>
        </w:rPr>
      </w:pPr>
      <w:r>
        <w:rPr>
          <w:rFonts w:ascii="Times New Roman" w:hAnsi="Times New Roman" w:cs="Times New Roman"/>
          <w:sz w:val="24"/>
          <w:szCs w:val="24"/>
        </w:rPr>
        <w:t>3</w:t>
      </w:r>
      <w:r w:rsidR="00EB6466" w:rsidRPr="00871A0C">
        <w:rPr>
          <w:rFonts w:ascii="Times New Roman" w:hAnsi="Times New Roman" w:cs="Times New Roman"/>
          <w:sz w:val="24"/>
          <w:szCs w:val="24"/>
        </w:rPr>
        <w:t>. Pasiūlymo ekonominis naudingumas (E) apskaičiuojamas sudedant tiekėjo pasiūlymo kainos (K) ir techninių pranašumų (T) balus:</w:t>
      </w:r>
    </w:p>
    <w:p w:rsidR="00BB3DCC" w:rsidRPr="00871A0C" w:rsidRDefault="00BB3DCC" w:rsidP="00BB3DCC">
      <w:pPr>
        <w:spacing w:after="0"/>
        <w:jc w:val="both"/>
        <w:rPr>
          <w:rFonts w:ascii="Times New Roman" w:hAnsi="Times New Roman" w:cs="Times New Roman"/>
          <w:sz w:val="24"/>
          <w:szCs w:val="24"/>
        </w:rPr>
      </w:pPr>
    </w:p>
    <w:p w:rsidR="00EB6466" w:rsidRPr="00BB3DCC" w:rsidRDefault="00EB6466" w:rsidP="00BB3DCC">
      <w:pPr>
        <w:spacing w:after="0"/>
        <w:ind w:left="2592" w:firstLine="1296"/>
        <w:jc w:val="both"/>
        <w:rPr>
          <w:rFonts w:ascii="Times New Roman" w:hAnsi="Times New Roman" w:cs="Times New Roman"/>
          <w:sz w:val="24"/>
          <w:szCs w:val="24"/>
        </w:rPr>
      </w:pPr>
      <w:r w:rsidRPr="00BB3DCC">
        <w:rPr>
          <w:rFonts w:ascii="Times New Roman" w:hAnsi="Times New Roman" w:cs="Times New Roman"/>
          <w:sz w:val="24"/>
          <w:szCs w:val="24"/>
        </w:rPr>
        <w:t>E = K + T</w:t>
      </w:r>
    </w:p>
    <w:p w:rsidR="00BB3DCC" w:rsidRPr="00BB3DCC" w:rsidRDefault="00BB3DCC" w:rsidP="00BB3DCC">
      <w:pPr>
        <w:spacing w:after="0"/>
        <w:ind w:left="2592" w:firstLine="1296"/>
        <w:jc w:val="both"/>
        <w:rPr>
          <w:rFonts w:ascii="Times New Roman" w:hAnsi="Times New Roman" w:cs="Times New Roman"/>
          <w:b/>
          <w:sz w:val="24"/>
          <w:szCs w:val="24"/>
        </w:rPr>
      </w:pPr>
    </w:p>
    <w:p w:rsidR="00EB6466" w:rsidRDefault="00871A0C" w:rsidP="00BB3DCC">
      <w:pPr>
        <w:spacing w:after="0"/>
        <w:jc w:val="both"/>
        <w:rPr>
          <w:rFonts w:ascii="Times New Roman" w:hAnsi="Times New Roman" w:cs="Times New Roman"/>
          <w:sz w:val="24"/>
          <w:szCs w:val="24"/>
        </w:rPr>
      </w:pPr>
      <w:r>
        <w:rPr>
          <w:rFonts w:ascii="Times New Roman" w:hAnsi="Times New Roman" w:cs="Times New Roman"/>
          <w:sz w:val="24"/>
          <w:szCs w:val="24"/>
        </w:rPr>
        <w:t>4</w:t>
      </w:r>
      <w:r w:rsidR="00EB6466" w:rsidRPr="00871A0C">
        <w:rPr>
          <w:rFonts w:ascii="Times New Roman" w:hAnsi="Times New Roman" w:cs="Times New Roman"/>
          <w:sz w:val="24"/>
          <w:szCs w:val="24"/>
        </w:rPr>
        <w:t>. Pasiūlymo kainos (K) balai apskaičiuojami mažiausios pasiūlytos kainos (Kmin) ir vertinamo pasiūlymo kainos (Kv) santykį padauginant iš kainos lyginamojo svorio (X):</w:t>
      </w:r>
    </w:p>
    <w:p w:rsidR="00BB3DCC" w:rsidRPr="00871A0C" w:rsidRDefault="00BB3DCC" w:rsidP="00BB3DCC">
      <w:pPr>
        <w:spacing w:after="0"/>
        <w:jc w:val="center"/>
        <w:rPr>
          <w:rFonts w:ascii="Times New Roman" w:hAnsi="Times New Roman" w:cs="Times New Roman"/>
          <w:sz w:val="24"/>
          <w:szCs w:val="24"/>
        </w:rPr>
      </w:pPr>
      <w:r w:rsidRPr="00BB3DCC">
        <w:rPr>
          <w:rFonts w:ascii="Times New Roman" w:hAnsi="Times New Roman" w:cs="Times New Roman"/>
          <w:b/>
          <w:sz w:val="24"/>
          <w:szCs w:val="24"/>
          <w:lang w:eastAsia="lt-LT"/>
        </w:rPr>
        <w:drawing>
          <wp:inline distT="0" distB="0" distL="0" distR="0" wp14:anchorId="78A59479" wp14:editId="033DDC33">
            <wp:extent cx="1210310" cy="387903"/>
            <wp:effectExtent l="0" t="0" r="0" b="0"/>
            <wp:docPr id="16" name="Picture 15">
              <a:extLst xmlns:a="http://schemas.openxmlformats.org/drawingml/2006/main">
                <a:ext uri="{FF2B5EF4-FFF2-40B4-BE49-F238E27FC236}">
                  <a16:creationId xmlns:a16="http://schemas.microsoft.com/office/drawing/2014/main"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13F532B6-C52E-4287-B711-FD0E8D601790}"/>
                        </a:ext>
                      </a:extLst>
                    </pic:cNvPr>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708" cy="409183"/>
                    </a:xfrm>
                    <a:prstGeom prst="rect">
                      <a:avLst/>
                    </a:prstGeom>
                    <a:noFill/>
                    <a:extLst/>
                  </pic:spPr>
                </pic:pic>
              </a:graphicData>
            </a:graphic>
          </wp:inline>
        </w:drawing>
      </w:r>
    </w:p>
    <w:p w:rsidR="00EB6466" w:rsidRPr="00871A0C" w:rsidRDefault="00EB6466" w:rsidP="00BB3DCC">
      <w:pPr>
        <w:spacing w:after="0"/>
        <w:jc w:val="both"/>
        <w:rPr>
          <w:rFonts w:ascii="Times New Roman" w:hAnsi="Times New Roman" w:cs="Times New Roman"/>
          <w:sz w:val="24"/>
          <w:szCs w:val="24"/>
        </w:rPr>
      </w:pPr>
    </w:p>
    <w:p w:rsidR="00EB6466" w:rsidRPr="00871A0C" w:rsidRDefault="00BB3DCC" w:rsidP="00871A0C">
      <w:pPr>
        <w:jc w:val="both"/>
        <w:rPr>
          <w:rFonts w:ascii="Times New Roman" w:hAnsi="Times New Roman" w:cs="Times New Roman"/>
          <w:sz w:val="24"/>
          <w:szCs w:val="24"/>
        </w:rPr>
      </w:pPr>
      <w:r>
        <w:rPr>
          <w:rFonts w:ascii="Times New Roman" w:hAnsi="Times New Roman" w:cs="Times New Roman"/>
          <w:sz w:val="24"/>
          <w:szCs w:val="24"/>
        </w:rPr>
        <w:t>5</w:t>
      </w:r>
      <w:r w:rsidR="00871A0C">
        <w:rPr>
          <w:rFonts w:ascii="Times New Roman" w:hAnsi="Times New Roman" w:cs="Times New Roman"/>
          <w:sz w:val="24"/>
          <w:szCs w:val="24"/>
        </w:rPr>
        <w:t xml:space="preserve">. </w:t>
      </w:r>
      <w:r w:rsidRPr="00BE0B44">
        <w:rPr>
          <w:rFonts w:ascii="Times New Roman" w:eastAsia="Times New Roman" w:hAnsi="Times New Roman" w:cs="Times New Roman"/>
          <w:sz w:val="24"/>
          <w:szCs w:val="24"/>
        </w:rPr>
        <w:t xml:space="preserve">Siūlomo objekto </w:t>
      </w:r>
      <w:r>
        <w:rPr>
          <w:rFonts w:ascii="Times New Roman" w:eastAsia="Times New Roman" w:hAnsi="Times New Roman" w:cs="Times New Roman"/>
          <w:sz w:val="24"/>
          <w:szCs w:val="24"/>
        </w:rPr>
        <w:t>techninių</w:t>
      </w:r>
      <w:r w:rsidRPr="00BE0B44">
        <w:rPr>
          <w:rFonts w:ascii="Times New Roman" w:eastAsia="Times New Roman" w:hAnsi="Times New Roman" w:cs="Times New Roman"/>
          <w:sz w:val="24"/>
          <w:szCs w:val="24"/>
        </w:rPr>
        <w:t xml:space="preserve"> pranašum</w:t>
      </w:r>
      <w:r>
        <w:rPr>
          <w:rFonts w:ascii="Times New Roman" w:eastAsia="Times New Roman" w:hAnsi="Times New Roman" w:cs="Times New Roman"/>
          <w:sz w:val="24"/>
          <w:szCs w:val="24"/>
        </w:rPr>
        <w:t>ų (T)</w:t>
      </w:r>
      <w:r w:rsidRPr="00BE0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balai</w:t>
      </w:r>
      <w:r w:rsidRPr="00BE0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apskaičiuojami </w:t>
      </w:r>
      <w:r w:rsidRPr="00BE0B44">
        <w:rPr>
          <w:rFonts w:ascii="Times New Roman" w:eastAsia="Times New Roman" w:hAnsi="Times New Roman" w:cs="Times New Roman"/>
          <w:sz w:val="24"/>
          <w:szCs w:val="24"/>
        </w:rPr>
        <w:t>statiniu vertinimo būdu ir neturi skaitinių išraiškų (atitinka arba neatitinka), todėl</w:t>
      </w:r>
      <w:r>
        <w:rPr>
          <w:rFonts w:ascii="Times New Roman" w:eastAsia="Times New Roman" w:hAnsi="Times New Roman" w:cs="Times New Roman"/>
          <w:sz w:val="24"/>
          <w:szCs w:val="24"/>
        </w:rPr>
        <w:t xml:space="preserve"> </w:t>
      </w:r>
      <w:r w:rsidRPr="00BE0B44">
        <w:rPr>
          <w:rFonts w:ascii="Times New Roman" w:eastAsia="Times New Roman" w:hAnsi="Times New Roman" w:cs="Times New Roman"/>
          <w:sz w:val="24"/>
          <w:szCs w:val="24"/>
        </w:rPr>
        <w:t>parametro įvertinimas apskaičiuojamas pagal formulę:</w:t>
      </w:r>
    </w:p>
    <w:p w:rsidR="00EB6466" w:rsidRPr="00871A0C" w:rsidRDefault="00BB3DCC" w:rsidP="00EB6466">
      <w:pPr>
        <w:rPr>
          <w:rFonts w:ascii="Times New Roman" w:hAnsi="Times New Roman" w:cs="Times New Roman"/>
          <w:sz w:val="24"/>
          <w:szCs w:val="24"/>
        </w:rPr>
      </w:pPr>
      <w:r w:rsidRPr="00871A0C">
        <w:rPr>
          <w:rFonts w:ascii="Times New Roman" w:hAnsi="Times New Roman" w:cs="Times New Roman"/>
          <w:sz w:val="24"/>
          <w:szCs w:val="24"/>
          <w:lang w:eastAsia="lt-LT"/>
        </w:rPr>
        <mc:AlternateContent>
          <mc:Choice Requires="wps">
            <w:drawing>
              <wp:anchor distT="0" distB="0" distL="114300" distR="114300" simplePos="0" relativeHeight="251657728" behindDoc="0" locked="0" layoutInCell="1" allowOverlap="1" wp14:anchorId="2D897CEB" wp14:editId="0E8A1199">
                <wp:simplePos x="0" y="0"/>
                <wp:positionH relativeFrom="column">
                  <wp:posOffset>1466850</wp:posOffset>
                </wp:positionH>
                <wp:positionV relativeFrom="paragraph">
                  <wp:posOffset>7620</wp:posOffset>
                </wp:positionV>
                <wp:extent cx="3524250" cy="636905"/>
                <wp:effectExtent l="0" t="0" r="0" b="0"/>
                <wp:wrapNone/>
                <wp:docPr id="8" name="TextBox 7">
                  <a:extLst xmlns:a="http://schemas.openxmlformats.org/drawingml/2006/main">
                    <a:ext uri="{FF2B5EF4-FFF2-40B4-BE49-F238E27FC236}">
                      <a16:creationId xmlns:a16="http://schemas.microsoft.com/office/drawing/2014/main" id="{7D97B922-070F-4A22-BB99-030BFA572388}"/>
                    </a:ext>
                  </a:extLst>
                </wp:docPr>
                <wp:cNvGraphicFramePr/>
                <a:graphic xmlns:a="http://schemas.openxmlformats.org/drawingml/2006/main">
                  <a:graphicData uri="http://schemas.microsoft.com/office/word/2010/wordprocessingShape">
                    <wps:wsp>
                      <wps:cNvSpPr txBox="1"/>
                      <wps:spPr>
                        <a:xfrm>
                          <a:off x="0" y="0"/>
                          <a:ext cx="3524250" cy="63690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8F5541" w:rsidRPr="00122165" w:rsidRDefault="008F5541" w:rsidP="00EB6466">
                            <w:pPr>
                              <w:jc w:val="center"/>
                              <w:rPr>
                                <w:rFonts w:ascii="Cambria Math" w:hAnsi="Cambria Math"/>
                                <w:i/>
                                <w:iCs/>
                                <w:color w:val="000000" w:themeColor="text1"/>
                                <w:sz w:val="24"/>
                                <w:szCs w:val="24"/>
                                <w:lang w:val="en-US"/>
                              </w:rPr>
                            </w:pPr>
                            <m:oMathPara>
                              <m:oMathParaPr>
                                <m:jc m:val="center"/>
                              </m:oMathParaPr>
                              <m:oMath>
                                <m:r>
                                  <w:rPr>
                                    <w:rFonts w:ascii="Cambria Math" w:hAnsi="Cambria Math"/>
                                    <w:color w:val="000000" w:themeColor="text1"/>
                                    <w:sz w:val="24"/>
                                    <w:szCs w:val="24"/>
                                    <w:lang w:val="en-US"/>
                                  </w:rPr>
                                  <m:t>T=(L</m:t>
                                </m:r>
                                <m:r>
                                  <m:rPr>
                                    <m:sty m:val="p"/>
                                  </m:rPr>
                                  <w:rPr>
                                    <w:rFonts w:ascii="Cambria Math" w:hAnsi="Cambria Math"/>
                                    <w:color w:val="000000" w:themeColor="text1"/>
                                    <w:sz w:val="24"/>
                                    <w:szCs w:val="24"/>
                                    <w:lang w:val="en-US"/>
                                  </w:rPr>
                                  <m:t>1+L2+L3+L4+L5+L6)</m:t>
                                </m:r>
                                <m:r>
                                  <w:rPr>
                                    <w:rFonts w:ascii="Cambria Math" w:hAnsi="Cambria Math"/>
                                    <w:color w:val="000000" w:themeColor="text1"/>
                                    <w:sz w:val="24"/>
                                    <w:szCs w:val="24"/>
                                    <w:lang w:val="en-US"/>
                                  </w:rPr>
                                  <m:t>x Y</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D897CEB" id="_x0000_t202" coordsize="21600,21600" o:spt="202" path="m,l,21600r21600,l21600,xe">
                <v:stroke joinstyle="miter"/>
                <v:path gradientshapeok="t" o:connecttype="rect"/>
              </v:shapetype>
              <v:shape id="TextBox 7" o:spid="_x0000_s1026" type="#_x0000_t202" style="position:absolute;margin-left:115.5pt;margin-top:.6pt;width:277.5pt;height:5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" filled="f" stroked="f">
                <v:textbox inset="0,0,0,0">
                  <w:txbxContent>
                    <w:p w:rsidR="008F5541" w:rsidRPr="00122165" w:rsidRDefault="008F5541" w:rsidP="00EB6466">
                      <w:pPr>
                        <w:jc w:val="center"/>
                        <w:rPr>
                          <w:rFonts w:ascii="Cambria Math" w:hAnsi="Cambria Math"/>
                          <w:i/>
                          <w:iCs/>
                          <w:color w:val="000000" w:themeColor="text1"/>
                          <w:sz w:val="24"/>
                          <w:szCs w:val="24"/>
                          <w:lang w:val="en-US"/>
                        </w:rPr>
                      </w:pPr>
                      <m:oMathPara>
                        <m:oMathParaPr>
                          <m:jc m:val="center"/>
                        </m:oMathParaPr>
                        <m:oMath>
                          <m:r>
                            <w:rPr>
                              <w:rFonts w:ascii="Cambria Math" w:hAnsi="Cambria Math"/>
                              <w:color w:val="000000" w:themeColor="text1"/>
                              <w:sz w:val="24"/>
                              <w:szCs w:val="24"/>
                              <w:lang w:val="en-US"/>
                            </w:rPr>
                            <m:t>T=(L</m:t>
                          </m:r>
                          <m:r>
                            <m:rPr>
                              <m:sty m:val="p"/>
                            </m:rPr>
                            <w:rPr>
                              <w:rFonts w:ascii="Cambria Math" w:hAnsi="Cambria Math"/>
                              <w:color w:val="000000" w:themeColor="text1"/>
                              <w:sz w:val="24"/>
                              <w:szCs w:val="24"/>
                              <w:lang w:val="en-US"/>
                            </w:rPr>
                            <m:t>1+L2+L3+L4+L5+L6)</m:t>
                          </m:r>
                          <m:r>
                            <w:rPr>
                              <w:rFonts w:ascii="Cambria Math" w:hAnsi="Cambria Math"/>
                              <w:color w:val="000000" w:themeColor="text1"/>
                              <w:sz w:val="24"/>
                              <w:szCs w:val="24"/>
                              <w:lang w:val="en-US"/>
                            </w:rPr>
                            <m:t>x Y</m:t>
                          </m:r>
                        </m:oMath>
                      </m:oMathPara>
                    </w:p>
                  </w:txbxContent>
                </v:textbox>
              </v:shape>
            </w:pict>
          </mc:Fallback>
        </mc:AlternateContent>
      </w:r>
    </w:p>
    <w:p w:rsidR="00F17E2E" w:rsidRDefault="00F17E2E" w:rsidP="00BB3DCC">
      <w:pPr>
        <w:widowControl w:val="0"/>
        <w:tabs>
          <w:tab w:val="left" w:pos="180"/>
          <w:tab w:val="left" w:pos="709"/>
          <w:tab w:val="left" w:pos="1440"/>
        </w:tabs>
        <w:autoSpaceDE w:val="0"/>
        <w:autoSpaceDN w:val="0"/>
        <w:spacing w:after="0" w:line="240" w:lineRule="auto"/>
        <w:jc w:val="both"/>
        <w:rPr>
          <w:rFonts w:ascii="Times New Roman" w:hAnsi="Times New Roman" w:cs="Times New Roman"/>
          <w:sz w:val="24"/>
          <w:szCs w:val="24"/>
        </w:rPr>
      </w:pPr>
    </w:p>
    <w:p w:rsidR="00BB3DCC" w:rsidRPr="00EF4EFF" w:rsidRDefault="00BB3DCC" w:rsidP="00BB3DCC">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6</w:t>
      </w:r>
      <w:r w:rsidRPr="00871A0C">
        <w:rPr>
          <w:rFonts w:ascii="Times New Roman" w:hAnsi="Times New Roman" w:cs="Times New Roman"/>
          <w:sz w:val="24"/>
          <w:szCs w:val="24"/>
        </w:rPr>
        <w:t>.</w:t>
      </w:r>
      <w:r w:rsidRPr="00BB3D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Techninių pranašumų</w:t>
      </w:r>
      <w:r w:rsidR="00525EA2">
        <w:rPr>
          <w:rFonts w:ascii="Times New Roman" w:eastAsia="Times New Roman" w:hAnsi="Times New Roman" w:cs="Times New Roman"/>
          <w:sz w:val="24"/>
          <w:szCs w:val="24"/>
        </w:rPr>
        <w:t xml:space="preserve"> parametrų lyginamųjų svorių </w:t>
      </w:r>
      <w:r w:rsidRPr="00EF4EFF">
        <w:rPr>
          <w:rFonts w:ascii="Times New Roman" w:eastAsia="Times New Roman" w:hAnsi="Times New Roman" w:cs="Times New Roman"/>
          <w:sz w:val="24"/>
          <w:szCs w:val="24"/>
        </w:rPr>
        <w:t>skyrimo taisyklė:</w:t>
      </w:r>
    </w:p>
    <w:p w:rsidR="00B76917" w:rsidRDefault="00B76917" w:rsidP="00B76917">
      <w:pPr>
        <w:spacing w:after="0"/>
        <w:jc w:val="both"/>
        <w:rPr>
          <w:rFonts w:ascii="Times New Roman" w:eastAsia="Times New Roman" w:hAnsi="Times New Roman" w:cs="Times New Roman"/>
          <w:sz w:val="24"/>
          <w:szCs w:val="24"/>
        </w:rPr>
      </w:pPr>
      <w:bookmarkStart w:id="0" w:name="_ftnref304"/>
      <w:bookmarkEnd w:id="0"/>
      <w:r>
        <w:rPr>
          <w:rFonts w:ascii="Times New Roman" w:eastAsia="Times New Roman" w:hAnsi="Times New Roman" w:cs="Times New Roman"/>
          <w:sz w:val="24"/>
          <w:szCs w:val="24"/>
        </w:rPr>
        <w:tab/>
      </w:r>
      <w:r w:rsidR="00BB3DCC" w:rsidRPr="006B6D4C">
        <w:rPr>
          <w:rFonts w:ascii="Times New Roman" w:eastAsia="Times New Roman" w:hAnsi="Times New Roman" w:cs="Times New Roman"/>
          <w:sz w:val="24"/>
          <w:szCs w:val="24"/>
        </w:rPr>
        <w:t>Jeigu tiekėjo pasiūlym</w:t>
      </w:r>
      <w:r w:rsidR="00BB3DCC">
        <w:rPr>
          <w:rFonts w:ascii="Times New Roman" w:eastAsia="Times New Roman" w:hAnsi="Times New Roman" w:cs="Times New Roman"/>
          <w:sz w:val="24"/>
          <w:szCs w:val="24"/>
        </w:rPr>
        <w:t>o</w:t>
      </w:r>
      <w:r w:rsidR="00BB3DCC" w:rsidRPr="006B6D4C">
        <w:rPr>
          <w:rFonts w:ascii="Times New Roman" w:eastAsia="Times New Roman" w:hAnsi="Times New Roman" w:cs="Times New Roman"/>
          <w:sz w:val="24"/>
          <w:szCs w:val="24"/>
        </w:rPr>
        <w:t xml:space="preserve"> lentelėje</w:t>
      </w:r>
      <w:r w:rsidR="00BB3DCC">
        <w:rPr>
          <w:rFonts w:ascii="Times New Roman" w:eastAsia="Times New Roman" w:hAnsi="Times New Roman" w:cs="Times New Roman"/>
          <w:sz w:val="24"/>
          <w:szCs w:val="24"/>
        </w:rPr>
        <w:t xml:space="preserve"> „</w:t>
      </w:r>
      <w:r w:rsidR="00F17E2E">
        <w:rPr>
          <w:rFonts w:ascii="Times New Roman" w:eastAsia="Times New Roman" w:hAnsi="Times New Roman" w:cs="Times New Roman"/>
          <w:sz w:val="24"/>
          <w:szCs w:val="24"/>
        </w:rPr>
        <w:t>Techninių pranašumų</w:t>
      </w:r>
      <w:r w:rsidR="00BB3DCC">
        <w:rPr>
          <w:rFonts w:ascii="Times New Roman" w:eastAsia="Times New Roman" w:hAnsi="Times New Roman" w:cs="Times New Roman"/>
          <w:sz w:val="24"/>
          <w:szCs w:val="24"/>
        </w:rPr>
        <w:t xml:space="preserve"> aprašymas“</w:t>
      </w:r>
      <w:r w:rsidR="00525EA2">
        <w:rPr>
          <w:rFonts w:ascii="Times New Roman" w:eastAsia="Times New Roman" w:hAnsi="Times New Roman" w:cs="Times New Roman"/>
          <w:sz w:val="24"/>
          <w:szCs w:val="24"/>
        </w:rPr>
        <w:t xml:space="preserve">, kiekvieno parametro </w:t>
      </w:r>
      <w:r w:rsidR="00BB3DCC" w:rsidRPr="006B6D4C">
        <w:rPr>
          <w:rFonts w:ascii="Times New Roman" w:eastAsia="Times New Roman" w:hAnsi="Times New Roman" w:cs="Times New Roman"/>
          <w:sz w:val="24"/>
          <w:szCs w:val="24"/>
        </w:rPr>
        <w:t xml:space="preserve">siūlomų </w:t>
      </w:r>
      <w:r w:rsidR="00F17E2E">
        <w:rPr>
          <w:rFonts w:ascii="Times New Roman" w:eastAsia="Times New Roman" w:hAnsi="Times New Roman" w:cs="Times New Roman"/>
          <w:sz w:val="24"/>
          <w:szCs w:val="24"/>
        </w:rPr>
        <w:t>pranašumų</w:t>
      </w:r>
      <w:r w:rsidR="00BB3DCC" w:rsidRPr="006B6D4C">
        <w:rPr>
          <w:rFonts w:ascii="Times New Roman" w:eastAsia="Times New Roman" w:hAnsi="Times New Roman" w:cs="Times New Roman"/>
          <w:sz w:val="24"/>
          <w:szCs w:val="24"/>
        </w:rPr>
        <w:t xml:space="preserve"> grafoje (</w:t>
      </w:r>
      <w:r w:rsidR="00BB3DCC">
        <w:rPr>
          <w:rFonts w:ascii="Times New Roman" w:eastAsia="Times New Roman" w:hAnsi="Times New Roman" w:cs="Times New Roman"/>
          <w:sz w:val="24"/>
          <w:szCs w:val="24"/>
        </w:rPr>
        <w:t>3</w:t>
      </w:r>
      <w:r w:rsidR="00BB3DCC" w:rsidRPr="006B6D4C">
        <w:rPr>
          <w:rFonts w:ascii="Times New Roman" w:eastAsia="Times New Roman" w:hAnsi="Times New Roman" w:cs="Times New Roman"/>
          <w:sz w:val="24"/>
          <w:szCs w:val="24"/>
        </w:rPr>
        <w:t xml:space="preserve">) bus įrašytos reikšmės, kurios atitinka  kiekvieno nustatyto parametro reikšmes, tokiam </w:t>
      </w:r>
      <w:r w:rsidR="00F17E2E">
        <w:rPr>
          <w:rFonts w:ascii="Times New Roman" w:eastAsia="Times New Roman" w:hAnsi="Times New Roman" w:cs="Times New Roman"/>
          <w:sz w:val="24"/>
          <w:szCs w:val="24"/>
        </w:rPr>
        <w:t>techniniam pranašumui (L</w:t>
      </w:r>
      <w:r w:rsidR="00BB3DCC" w:rsidRPr="006B6D4C">
        <w:rPr>
          <w:rFonts w:ascii="Times New Roman" w:eastAsia="Times New Roman" w:hAnsi="Times New Roman" w:cs="Times New Roman"/>
          <w:sz w:val="24"/>
          <w:szCs w:val="24"/>
        </w:rPr>
        <w:t xml:space="preserve">1, </w:t>
      </w:r>
      <w:r w:rsidR="00F17E2E">
        <w:rPr>
          <w:rFonts w:ascii="Times New Roman" w:eastAsia="Times New Roman" w:hAnsi="Times New Roman" w:cs="Times New Roman"/>
          <w:sz w:val="24"/>
          <w:szCs w:val="24"/>
        </w:rPr>
        <w:t>L</w:t>
      </w:r>
      <w:r w:rsidR="00BB3DCC" w:rsidRPr="006B6D4C">
        <w:rPr>
          <w:rFonts w:ascii="Times New Roman" w:eastAsia="Times New Roman" w:hAnsi="Times New Roman" w:cs="Times New Roman"/>
          <w:sz w:val="24"/>
          <w:szCs w:val="24"/>
        </w:rPr>
        <w:t xml:space="preserve">2, </w:t>
      </w:r>
      <w:r w:rsidR="00F17E2E">
        <w:rPr>
          <w:rFonts w:ascii="Times New Roman" w:eastAsia="Times New Roman" w:hAnsi="Times New Roman" w:cs="Times New Roman"/>
          <w:sz w:val="24"/>
          <w:szCs w:val="24"/>
        </w:rPr>
        <w:t>L</w:t>
      </w:r>
      <w:r w:rsidR="00BB3DCC" w:rsidRPr="006B6D4C">
        <w:rPr>
          <w:rFonts w:ascii="Times New Roman" w:eastAsia="Times New Roman" w:hAnsi="Times New Roman" w:cs="Times New Roman"/>
          <w:sz w:val="24"/>
          <w:szCs w:val="24"/>
        </w:rPr>
        <w:t>3</w:t>
      </w:r>
      <w:r w:rsidR="00F17E2E">
        <w:rPr>
          <w:rFonts w:ascii="Times New Roman" w:eastAsia="Times New Roman" w:hAnsi="Times New Roman" w:cs="Times New Roman"/>
          <w:sz w:val="24"/>
          <w:szCs w:val="24"/>
        </w:rPr>
        <w:t>, L4, L5 ar L6</w:t>
      </w:r>
      <w:r w:rsidR="00BB3DCC" w:rsidRPr="006B6D4C">
        <w:rPr>
          <w:rFonts w:ascii="Times New Roman" w:eastAsia="Times New Roman" w:hAnsi="Times New Roman" w:cs="Times New Roman"/>
          <w:sz w:val="24"/>
          <w:szCs w:val="24"/>
        </w:rPr>
        <w:t xml:space="preserve">) bus suteikiamas maksimalus </w:t>
      </w:r>
      <w:r w:rsidR="008F5541">
        <w:rPr>
          <w:rFonts w:ascii="Times New Roman" w:eastAsia="Times New Roman" w:hAnsi="Times New Roman" w:cs="Times New Roman"/>
          <w:sz w:val="24"/>
          <w:szCs w:val="24"/>
        </w:rPr>
        <w:t>lyginamasis svoris</w:t>
      </w:r>
      <w:r w:rsidR="00BB3DCC" w:rsidRPr="006B6D4C">
        <w:rPr>
          <w:rFonts w:ascii="Times New Roman" w:eastAsia="Times New Roman" w:hAnsi="Times New Roman" w:cs="Times New Roman"/>
          <w:sz w:val="24"/>
          <w:szCs w:val="24"/>
        </w:rPr>
        <w:t xml:space="preserve">, o jeigu </w:t>
      </w:r>
      <w:r w:rsidR="008F5541">
        <w:rPr>
          <w:rFonts w:ascii="Times New Roman" w:eastAsia="Times New Roman" w:hAnsi="Times New Roman" w:cs="Times New Roman"/>
          <w:sz w:val="24"/>
          <w:szCs w:val="24"/>
        </w:rPr>
        <w:t xml:space="preserve">tiekėjas siūlomų pranašumų grafoje (3) neįrašo </w:t>
      </w:r>
      <w:r w:rsidR="00BB3DCC" w:rsidRPr="006B6D4C">
        <w:rPr>
          <w:rFonts w:ascii="Times New Roman" w:eastAsia="Times New Roman" w:hAnsi="Times New Roman" w:cs="Times New Roman"/>
          <w:sz w:val="24"/>
          <w:szCs w:val="24"/>
        </w:rPr>
        <w:t>reikšmės</w:t>
      </w:r>
      <w:r w:rsidR="008F5541">
        <w:rPr>
          <w:rFonts w:ascii="Times New Roman" w:eastAsia="Times New Roman" w:hAnsi="Times New Roman" w:cs="Times New Roman"/>
          <w:sz w:val="24"/>
          <w:szCs w:val="24"/>
        </w:rPr>
        <w:t xml:space="preserve"> ar reikšmė</w:t>
      </w:r>
      <w:r w:rsidR="00BB3DCC" w:rsidRPr="006B6D4C">
        <w:rPr>
          <w:rFonts w:ascii="Times New Roman" w:eastAsia="Times New Roman" w:hAnsi="Times New Roman" w:cs="Times New Roman"/>
          <w:sz w:val="24"/>
          <w:szCs w:val="24"/>
        </w:rPr>
        <w:t xml:space="preserve"> neatitinka</w:t>
      </w:r>
      <w:r w:rsidR="00525EA2">
        <w:rPr>
          <w:rFonts w:ascii="Times New Roman" w:eastAsia="Times New Roman" w:hAnsi="Times New Roman" w:cs="Times New Roman"/>
          <w:sz w:val="24"/>
          <w:szCs w:val="24"/>
        </w:rPr>
        <w:t xml:space="preserve"> parametro</w:t>
      </w:r>
      <w:bookmarkStart w:id="1" w:name="_GoBack"/>
      <w:bookmarkEnd w:id="1"/>
      <w:r w:rsidR="008F5541">
        <w:rPr>
          <w:rFonts w:ascii="Times New Roman" w:eastAsia="Times New Roman" w:hAnsi="Times New Roman" w:cs="Times New Roman"/>
          <w:sz w:val="24"/>
          <w:szCs w:val="24"/>
        </w:rPr>
        <w:t>, tokiam techniniam pranašumui</w:t>
      </w:r>
      <w:r w:rsidR="00BB3DCC" w:rsidRPr="006B6D4C">
        <w:rPr>
          <w:rFonts w:ascii="Times New Roman" w:eastAsia="Times New Roman" w:hAnsi="Times New Roman" w:cs="Times New Roman"/>
          <w:sz w:val="24"/>
          <w:szCs w:val="24"/>
        </w:rPr>
        <w:t xml:space="preserve"> bus skiriamas minimalus </w:t>
      </w:r>
      <w:r w:rsidR="008F5541">
        <w:rPr>
          <w:rFonts w:ascii="Times New Roman" w:eastAsia="Times New Roman" w:hAnsi="Times New Roman" w:cs="Times New Roman"/>
          <w:sz w:val="24"/>
          <w:szCs w:val="24"/>
        </w:rPr>
        <w:t>lyginamasis svoris</w:t>
      </w:r>
      <w:r w:rsidR="00BB3DCC" w:rsidRPr="006B6D4C">
        <w:rPr>
          <w:rFonts w:ascii="Times New Roman" w:eastAsia="Times New Roman" w:hAnsi="Times New Roman" w:cs="Times New Roman"/>
          <w:sz w:val="24"/>
          <w:szCs w:val="24"/>
        </w:rPr>
        <w:t xml:space="preserve"> (0).</w:t>
      </w:r>
    </w:p>
    <w:p w:rsidR="00F17E2E" w:rsidRPr="00871A0C" w:rsidRDefault="00B76917" w:rsidP="00B76917">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r>
      <w:r w:rsidR="00F17E2E">
        <w:rPr>
          <w:rFonts w:ascii="Times New Roman" w:eastAsia="Times New Roman" w:hAnsi="Times New Roman" w:cs="Times New Roman"/>
          <w:sz w:val="24"/>
          <w:szCs w:val="24"/>
        </w:rPr>
        <w:t>Techninių pranašumų</w:t>
      </w:r>
      <w:r w:rsidR="00BB3DCC" w:rsidRPr="006B6D4C">
        <w:rPr>
          <w:rFonts w:ascii="Times New Roman" w:eastAsia="Times New Roman" w:hAnsi="Times New Roman" w:cs="Times New Roman"/>
          <w:sz w:val="24"/>
          <w:szCs w:val="24"/>
        </w:rPr>
        <w:t xml:space="preserve"> (T)  balai apskaičiuojami visų </w:t>
      </w:r>
      <w:r>
        <w:rPr>
          <w:rFonts w:ascii="Times New Roman" w:eastAsia="Times New Roman" w:hAnsi="Times New Roman" w:cs="Times New Roman"/>
          <w:sz w:val="24"/>
          <w:szCs w:val="24"/>
        </w:rPr>
        <w:t>techninių kriterijų</w:t>
      </w:r>
      <w:r w:rsidR="00BB3DCC" w:rsidRPr="006B6D4C">
        <w:rPr>
          <w:rFonts w:ascii="Times New Roman" w:eastAsia="Times New Roman" w:hAnsi="Times New Roman" w:cs="Times New Roman"/>
          <w:sz w:val="24"/>
          <w:szCs w:val="24"/>
        </w:rPr>
        <w:t xml:space="preserve"> parametrų įvertin</w:t>
      </w:r>
      <w:r>
        <w:rPr>
          <w:rFonts w:ascii="Times New Roman" w:eastAsia="Times New Roman" w:hAnsi="Times New Roman" w:cs="Times New Roman"/>
          <w:sz w:val="24"/>
          <w:szCs w:val="24"/>
        </w:rPr>
        <w:t>imų sumą padauginant iš techninių pranašumų lyginamojo svorio (Y)</w:t>
      </w:r>
      <w:r w:rsidR="00BB3DCC" w:rsidRPr="006B6D4C">
        <w:rPr>
          <w:rFonts w:ascii="Times New Roman" w:eastAsia="Times New Roman" w:hAnsi="Times New Roman" w:cs="Times New Roman"/>
          <w:sz w:val="24"/>
          <w:szCs w:val="24"/>
        </w:rPr>
        <w:t xml:space="preserve">, kaip nurodyta 5 punkte pateiktoje formulėje. </w:t>
      </w:r>
      <w:r w:rsidR="00BB3DCC" w:rsidRPr="00871A0C">
        <w:rPr>
          <w:rFonts w:ascii="Times New Roman" w:hAnsi="Times New Roman" w:cs="Times New Roman"/>
          <w:sz w:val="24"/>
          <w:szCs w:val="24"/>
        </w:rPr>
        <w:t xml:space="preserve"> </w:t>
      </w:r>
    </w:p>
    <w:p w:rsidR="00871A0C" w:rsidRPr="007713F6" w:rsidRDefault="00B76917" w:rsidP="00871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71A0C" w:rsidRPr="007713F6">
        <w:rPr>
          <w:rFonts w:ascii="Times New Roman" w:hAnsi="Times New Roman" w:cs="Times New Roman"/>
          <w:sz w:val="24"/>
          <w:szCs w:val="24"/>
        </w:rPr>
        <w:t xml:space="preserve">. </w:t>
      </w:r>
      <w:bookmarkStart w:id="2" w:name="_Hlk63155791"/>
      <w:r w:rsidR="00871A0C"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3" w:name="_Hlk63155819"/>
      <w:bookmarkEnd w:id="2"/>
    </w:p>
    <w:p w:rsidR="00871A0C" w:rsidRPr="00CA6090" w:rsidRDefault="00B76917" w:rsidP="00871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71A0C" w:rsidRPr="007713F6">
        <w:rPr>
          <w:rFonts w:ascii="Times New Roman" w:hAnsi="Times New Roman" w:cs="Times New Roman"/>
          <w:sz w:val="24"/>
          <w:szCs w:val="24"/>
        </w:rPr>
        <w:t xml:space="preserve">. Pasiūlymų eilė bus sudaroma ekonominio naudingumo mažėjimo tvarka. Tais atvejais, kai kelių dalyvių pasiūlymų ekonominis naudingumas yra vienodas, nustatant pasiūlymų eilę, pirmesnis į šią </w:t>
      </w:r>
      <w:r w:rsidR="00871A0C" w:rsidRPr="00CA6090">
        <w:rPr>
          <w:rFonts w:ascii="Times New Roman" w:hAnsi="Times New Roman" w:cs="Times New Roman"/>
          <w:sz w:val="24"/>
          <w:szCs w:val="24"/>
        </w:rPr>
        <w:t>eilę įrašomas dalyvis, kurio pasiūlymas CVP IS priemonėmis pateiktas anksčiausiai.</w:t>
      </w:r>
      <w:bookmarkEnd w:id="3"/>
    </w:p>
    <w:p w:rsidR="00871A0C" w:rsidRPr="00F030BD" w:rsidRDefault="00B76917" w:rsidP="00871A0C">
      <w:pPr>
        <w:spacing w:after="0" w:line="240" w:lineRule="auto"/>
        <w:jc w:val="both"/>
        <w:rPr>
          <w:rFonts w:ascii="Times New Roman" w:hAnsi="Times New Roman" w:cs="Times New Roman"/>
          <w:color w:val="FF0000"/>
          <w:sz w:val="24"/>
          <w:szCs w:val="24"/>
        </w:rPr>
      </w:pPr>
      <w:r>
        <w:rPr>
          <w:rFonts w:ascii="Times New Roman" w:hAnsi="Times New Roman"/>
          <w:sz w:val="24"/>
          <w:szCs w:val="24"/>
        </w:rPr>
        <w:t>9</w:t>
      </w:r>
      <w:r w:rsidR="00871A0C" w:rsidRPr="00CA6090">
        <w:rPr>
          <w:rFonts w:ascii="Times New Roman" w:hAnsi="Times New Roman"/>
          <w:sz w:val="24"/>
          <w:szCs w:val="24"/>
        </w:rPr>
        <w:t xml:space="preserve">. </w:t>
      </w:r>
      <w:r w:rsidR="00871A0C" w:rsidRPr="00F030BD">
        <w:rPr>
          <w:rFonts w:ascii="Times New Roman" w:hAnsi="Times New Roman"/>
          <w:color w:val="FF0000"/>
          <w:sz w:val="24"/>
          <w:szCs w:val="24"/>
        </w:rPr>
        <w:t xml:space="preserve">Tiekėjas, kuris pasiūlys bendrą pasiūlymo kainą didesnę </w:t>
      </w:r>
      <w:r w:rsidR="00871A0C" w:rsidRPr="00FA1504">
        <w:rPr>
          <w:rFonts w:ascii="Times New Roman" w:hAnsi="Times New Roman"/>
          <w:color w:val="FF0000"/>
          <w:sz w:val="24"/>
          <w:szCs w:val="24"/>
        </w:rPr>
        <w:t xml:space="preserve">nei </w:t>
      </w:r>
      <w:r w:rsidR="00BB3DCC">
        <w:rPr>
          <w:rFonts w:ascii="Times New Roman" w:hAnsi="Times New Roman"/>
          <w:color w:val="FF0000"/>
          <w:sz w:val="24"/>
          <w:szCs w:val="24"/>
        </w:rPr>
        <w:t>60 500</w:t>
      </w:r>
      <w:r w:rsidR="00871A0C" w:rsidRPr="00FA1504">
        <w:rPr>
          <w:rFonts w:ascii="Times New Roman" w:hAnsi="Times New Roman"/>
          <w:color w:val="FF0000"/>
          <w:sz w:val="24"/>
          <w:szCs w:val="24"/>
        </w:rPr>
        <w:t>,00 Eur</w:t>
      </w:r>
      <w:r w:rsidR="00BB3DCC">
        <w:rPr>
          <w:rFonts w:ascii="Times New Roman" w:hAnsi="Times New Roman"/>
          <w:color w:val="FF0000"/>
          <w:sz w:val="24"/>
          <w:szCs w:val="24"/>
        </w:rPr>
        <w:t xml:space="preserve"> su PVM</w:t>
      </w:r>
      <w:r w:rsidR="00871A0C" w:rsidRPr="00FA1504">
        <w:rPr>
          <w:rFonts w:ascii="Times New Roman" w:hAnsi="Times New Roman"/>
          <w:color w:val="FF0000"/>
          <w:sz w:val="24"/>
          <w:szCs w:val="24"/>
        </w:rPr>
        <w:t>,</w:t>
      </w:r>
      <w:r w:rsidR="00871A0C" w:rsidRPr="00F030BD">
        <w:rPr>
          <w:rFonts w:ascii="Times New Roman" w:hAnsi="Times New Roman"/>
          <w:color w:val="FF0000"/>
          <w:sz w:val="24"/>
          <w:szCs w:val="24"/>
        </w:rPr>
        <w:t xml:space="preserve"> bus atmestas dėl per didelės ir nepriimtinos kainos.</w:t>
      </w:r>
    </w:p>
    <w:p w:rsidR="00871A0C" w:rsidRPr="00F52699" w:rsidRDefault="00B76917" w:rsidP="00BB3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71A0C">
        <w:rPr>
          <w:rFonts w:ascii="Times New Roman" w:hAnsi="Times New Roman" w:cs="Times New Roman"/>
          <w:sz w:val="24"/>
          <w:szCs w:val="24"/>
        </w:rPr>
        <w:t xml:space="preserve">. </w:t>
      </w:r>
      <w:r w:rsidR="00871A0C"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871A0C" w:rsidRPr="007713F6">
        <w:rPr>
          <w:rFonts w:ascii="Times New Roman" w:hAnsi="Times New Roman" w:cs="Times New Roman"/>
          <w:b/>
          <w:bCs/>
          <w:sz w:val="24"/>
          <w:szCs w:val="24"/>
        </w:rPr>
        <w:t xml:space="preserve"> </w:t>
      </w:r>
      <w:r w:rsidR="00871A0C" w:rsidRPr="007713F6">
        <w:rPr>
          <w:rFonts w:ascii="Times New Roman" w:hAnsi="Times New Roman" w:cs="Times New Roman"/>
          <w:sz w:val="24"/>
          <w:szCs w:val="24"/>
        </w:rPr>
        <w:t xml:space="preserve">ir kurių pasiūlyta kaina neviršija pirkimui skirtų </w:t>
      </w:r>
      <w:r w:rsidR="00871A0C" w:rsidRPr="007713F6">
        <w:rPr>
          <w:rFonts w:ascii="Times New Roman" w:hAnsi="Times New Roman" w:cs="Times New Roman"/>
          <w:sz w:val="24"/>
          <w:szCs w:val="24"/>
        </w:rPr>
        <w:lastRenderedPageBreak/>
        <w:t xml:space="preserve">lėšų, nustatytų ir užfiksuotų perkančiosios organizacijos rengiamuose dokumentuose prieš pradedant pirkimo </w:t>
      </w:r>
      <w:r w:rsidR="00871A0C" w:rsidRPr="00F52699">
        <w:rPr>
          <w:rFonts w:ascii="Times New Roman" w:hAnsi="Times New Roman" w:cs="Times New Roman"/>
          <w:sz w:val="24"/>
          <w:szCs w:val="24"/>
        </w:rPr>
        <w:t>procedūrą, pasiūlytų kainų arba sąnaudų aritmetinį vidurkį.</w:t>
      </w:r>
    </w:p>
    <w:p w:rsidR="00871A0C" w:rsidRPr="00F52699" w:rsidRDefault="00B76917" w:rsidP="00BB3DCC">
      <w:pPr>
        <w:spacing w:after="0" w:line="240" w:lineRule="auto"/>
        <w:jc w:val="both"/>
        <w:rPr>
          <w:rFonts w:ascii="Times New Roman" w:hAnsi="Times New Roman" w:cs="Times New Roman"/>
          <w:bCs/>
          <w:iCs/>
          <w:sz w:val="24"/>
          <w:szCs w:val="24"/>
        </w:rPr>
      </w:pPr>
      <w:r>
        <w:rPr>
          <w:rFonts w:ascii="Times New Roman" w:hAnsi="Times New Roman" w:cs="Times New Roman"/>
          <w:iCs/>
          <w:color w:val="000000"/>
          <w:sz w:val="24"/>
          <w:szCs w:val="24"/>
        </w:rPr>
        <w:t>11</w:t>
      </w:r>
      <w:r w:rsidR="00871A0C">
        <w:rPr>
          <w:rFonts w:ascii="Times New Roman" w:hAnsi="Times New Roman" w:cs="Times New Roman"/>
          <w:iCs/>
          <w:color w:val="000000"/>
          <w:sz w:val="24"/>
          <w:szCs w:val="24"/>
        </w:rPr>
        <w:t xml:space="preserve">. </w:t>
      </w:r>
      <w:r w:rsidR="00871A0C" w:rsidRPr="00F52699">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871A0C" w:rsidRPr="00F52699">
        <w:rPr>
          <w:rFonts w:ascii="Times New Roman" w:hAnsi="Times New Roman" w:cs="Times New Roman"/>
          <w:color w:val="000000"/>
          <w:sz w:val="24"/>
          <w:szCs w:val="24"/>
        </w:rPr>
        <w:t> </w:t>
      </w:r>
      <w:r w:rsidR="00871A0C" w:rsidRPr="00F52699">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871A0C" w:rsidRPr="00EB6466" w:rsidRDefault="00871A0C" w:rsidP="00EB6466">
      <w:pPr>
        <w:rPr>
          <w:rFonts w:ascii="Times New Roman" w:hAnsi="Times New Roman" w:cs="Times New Roman"/>
        </w:rPr>
      </w:pPr>
    </w:p>
    <w:sectPr w:rsidR="00871A0C" w:rsidRPr="00EB6466" w:rsidSect="00C6149B">
      <w:pgSz w:w="11906" w:h="16838"/>
      <w:pgMar w:top="1843"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541" w:rsidRDefault="008F5541" w:rsidP="00C6149B">
      <w:pPr>
        <w:spacing w:after="0" w:line="240" w:lineRule="auto"/>
      </w:pPr>
      <w:r>
        <w:separator/>
      </w:r>
    </w:p>
  </w:endnote>
  <w:endnote w:type="continuationSeparator" w:id="0">
    <w:p w:rsidR="008F5541" w:rsidRDefault="008F5541" w:rsidP="00C6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541" w:rsidRDefault="008F5541" w:rsidP="00C6149B">
      <w:pPr>
        <w:spacing w:after="0" w:line="240" w:lineRule="auto"/>
      </w:pPr>
      <w:r>
        <w:separator/>
      </w:r>
    </w:p>
  </w:footnote>
  <w:footnote w:type="continuationSeparator" w:id="0">
    <w:p w:rsidR="008F5541" w:rsidRDefault="008F5541" w:rsidP="00C614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94"/>
    <w:rsid w:val="000D2F2B"/>
    <w:rsid w:val="00122165"/>
    <w:rsid w:val="001678E4"/>
    <w:rsid w:val="003025FC"/>
    <w:rsid w:val="00363EAC"/>
    <w:rsid w:val="00370342"/>
    <w:rsid w:val="0039521F"/>
    <w:rsid w:val="004671A8"/>
    <w:rsid w:val="00525EA2"/>
    <w:rsid w:val="0059783B"/>
    <w:rsid w:val="006146CA"/>
    <w:rsid w:val="00663850"/>
    <w:rsid w:val="006C16FC"/>
    <w:rsid w:val="006D3CF7"/>
    <w:rsid w:val="007317F2"/>
    <w:rsid w:val="00757789"/>
    <w:rsid w:val="008404A2"/>
    <w:rsid w:val="00871A0C"/>
    <w:rsid w:val="00883B59"/>
    <w:rsid w:val="00895E7A"/>
    <w:rsid w:val="008C432E"/>
    <w:rsid w:val="008F5541"/>
    <w:rsid w:val="009D63D2"/>
    <w:rsid w:val="00B25794"/>
    <w:rsid w:val="00B64281"/>
    <w:rsid w:val="00B7364E"/>
    <w:rsid w:val="00B76917"/>
    <w:rsid w:val="00BB3DCC"/>
    <w:rsid w:val="00C36299"/>
    <w:rsid w:val="00C6149B"/>
    <w:rsid w:val="00CB6583"/>
    <w:rsid w:val="00CE2705"/>
    <w:rsid w:val="00CF7399"/>
    <w:rsid w:val="00D84D20"/>
    <w:rsid w:val="00E92FA5"/>
    <w:rsid w:val="00EB6466"/>
    <w:rsid w:val="00EC7461"/>
    <w:rsid w:val="00F17E2E"/>
    <w:rsid w:val="00F55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0B7C"/>
  <w15:chartTrackingRefBased/>
  <w15:docId w15:val="{7959E84E-5B61-41A7-B423-931F6268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614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149B"/>
    <w:rPr>
      <w:noProof/>
    </w:rPr>
  </w:style>
  <w:style w:type="paragraph" w:styleId="Porat">
    <w:name w:val="footer"/>
    <w:basedOn w:val="prastasis"/>
    <w:link w:val="PoratDiagrama"/>
    <w:uiPriority w:val="99"/>
    <w:unhideWhenUsed/>
    <w:rsid w:val="00C614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149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09273">
      <w:bodyDiv w:val="1"/>
      <w:marLeft w:val="0"/>
      <w:marRight w:val="0"/>
      <w:marTop w:val="0"/>
      <w:marBottom w:val="0"/>
      <w:divBdr>
        <w:top w:val="none" w:sz="0" w:space="0" w:color="auto"/>
        <w:left w:val="none" w:sz="0" w:space="0" w:color="auto"/>
        <w:bottom w:val="none" w:sz="0" w:space="0" w:color="auto"/>
        <w:right w:val="none" w:sz="0" w:space="0" w:color="auto"/>
      </w:divBdr>
    </w:div>
    <w:div w:id="1736734075">
      <w:bodyDiv w:val="1"/>
      <w:marLeft w:val="0"/>
      <w:marRight w:val="0"/>
      <w:marTop w:val="0"/>
      <w:marBottom w:val="0"/>
      <w:divBdr>
        <w:top w:val="none" w:sz="0" w:space="0" w:color="auto"/>
        <w:left w:val="none" w:sz="0" w:space="0" w:color="auto"/>
        <w:bottom w:val="none" w:sz="0" w:space="0" w:color="auto"/>
        <w:right w:val="none" w:sz="0" w:space="0" w:color="auto"/>
      </w:divBdr>
    </w:div>
    <w:div w:id="21400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8107FC9E</Template>
  <TotalTime>20</TotalTime>
  <Pages>6</Pages>
  <Words>6637</Words>
  <Characters>3784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4</cp:revision>
  <dcterms:created xsi:type="dcterms:W3CDTF">2025-08-05T12:47:00Z</dcterms:created>
  <dcterms:modified xsi:type="dcterms:W3CDTF">2025-08-05T13:06:00Z</dcterms:modified>
</cp:coreProperties>
</file>