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2A38CC" w:rsidRDefault="0078747B" w:rsidP="00175910">
      <w:pPr>
        <w:tabs>
          <w:tab w:val="left" w:pos="8137"/>
        </w:tabs>
        <w:spacing w:before="60" w:after="60"/>
        <w:jc w:val="center"/>
        <w:rPr>
          <w:b/>
          <w:bCs/>
        </w:rPr>
      </w:pPr>
    </w:p>
    <w:p w14:paraId="6E7605E6" w14:textId="4D92AFF8" w:rsidR="00175910" w:rsidRPr="002A38CC" w:rsidRDefault="00175910" w:rsidP="002C1437">
      <w:pPr>
        <w:tabs>
          <w:tab w:val="left" w:pos="8137"/>
        </w:tabs>
        <w:spacing w:before="60" w:after="60"/>
        <w:jc w:val="center"/>
        <w:rPr>
          <w:b/>
          <w:bCs/>
        </w:rPr>
      </w:pPr>
      <w:r>
        <w:rPr>
          <w:b/>
        </w:rPr>
        <w:t xml:space="preserve">TECHNICAL SPECIFICATION</w:t>
      </w:r>
    </w:p>
    <w:p w14:paraId="0F75A7A5" w14:textId="39D201D4" w:rsidR="00ED4527" w:rsidRPr="002A38CC" w:rsidRDefault="00ED4527" w:rsidP="003617DF">
      <w:pPr>
        <w:tabs>
          <w:tab w:val="left" w:pos="8137"/>
        </w:tabs>
        <w:spacing w:before="60" w:after="60"/>
        <w:rPr>
          <w:color w:val="FF0000"/>
        </w:rPr>
      </w:pPr>
    </w:p>
    <w:tbl>
      <w:tblPr>
        <w:tblStyle w:val="Lentelstinklelis"/>
        <w:tblW w:w="0" w:type="auto"/>
        <w:tblInd w:w="0" w:type="dxa"/>
        <w:tblLook w:val="04A0" w:firstRow="1" w:lastRow="0" w:firstColumn="1" w:lastColumn="0" w:noHBand="0" w:noVBand="1"/>
      </w:tblPr>
      <w:tblGrid>
        <w:gridCol w:w="9350"/>
      </w:tblGrid>
      <w:tr w:rsidR="00ED4527" w:rsidRPr="002A38CC" w14:paraId="33DB656D"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2A38CC" w:rsidRDefault="00175910" w:rsidP="00F35A5B">
            <w:pPr>
              <w:pStyle w:val="Sraopastraipa"/>
              <w:numPr>
                <w:ilvl w:val="0"/>
                <w:numId w:val="2"/>
              </w:numPr>
              <w:rPr>
                <w:b/>
              </w:rPr>
            </w:pPr>
            <w:r>
              <w:rPr>
                <w:b/>
              </w:rPr>
              <w:t xml:space="preserve">DEFINITIONS AND ABBREVIATIONS</w:t>
            </w:r>
          </w:p>
        </w:tc>
      </w:tr>
      <w:tr w:rsidR="00ED4527" w:rsidRPr="002A38CC" w14:paraId="23CBD474" w14:textId="77777777" w:rsidTr="00770369">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51114A1C" w:rsidR="00175910" w:rsidRPr="002A38CC" w:rsidRDefault="00175910" w:rsidP="00101E29">
            <w:pPr>
              <w:pStyle w:val="Sraopastraipa"/>
              <w:numPr>
                <w:ilvl w:val="1"/>
                <w:numId w:val="2"/>
              </w:numPr>
              <w:tabs>
                <w:tab w:val="left" w:pos="567"/>
              </w:tabs>
              <w:spacing w:before="60" w:after="60"/>
              <w:ind w:left="22" w:firstLine="142"/>
              <w:jc w:val="both"/>
              <w:rPr>
                <w:iCs/>
              </w:rPr>
            </w:pPr>
            <w:r>
              <w:rPr>
                <w:b/>
                <w:bCs/>
              </w:rPr>
              <w:t xml:space="preserve">Buyer</w:t>
            </w:r>
            <w:r>
              <w:t xml:space="preserve"> - VšĮ Go Vilnius</w:t>
            </w:r>
          </w:p>
          <w:p w14:paraId="525A5ED4" w14:textId="18BD14F2" w:rsidR="00175910" w:rsidRPr="002A38CC" w:rsidRDefault="00175910" w:rsidP="00101E29">
            <w:pPr>
              <w:pStyle w:val="Sraopastraipa"/>
              <w:numPr>
                <w:ilvl w:val="1"/>
                <w:numId w:val="2"/>
              </w:numPr>
              <w:tabs>
                <w:tab w:val="left" w:pos="567"/>
              </w:tabs>
              <w:spacing w:before="60" w:after="60"/>
              <w:ind w:left="22" w:firstLine="142"/>
              <w:jc w:val="both"/>
              <w:rPr>
                <w:iCs/>
              </w:rPr>
            </w:pPr>
            <w:r>
              <w:rPr>
                <w:b/>
                <w:bCs/>
              </w:rPr>
              <w:t xml:space="preserve">Supplier </w:t>
            </w:r>
            <w:r>
              <w:t xml:space="preserve">– an economic entity – a natural person, private legal entity, public legal entity, other organizations and their divisions, or a group of such persons with whom the Buyer enters into an Agreement.</w:t>
            </w:r>
            <w:r>
              <w:t xml:space="preserve"> </w:t>
            </w:r>
          </w:p>
          <w:p w14:paraId="6FF4CFA5" w14:textId="28D94150" w:rsidR="00175910" w:rsidRPr="002A38CC" w:rsidRDefault="00175910" w:rsidP="00101E29">
            <w:pPr>
              <w:pStyle w:val="Sraopastraipa"/>
              <w:numPr>
                <w:ilvl w:val="1"/>
                <w:numId w:val="2"/>
              </w:numPr>
              <w:tabs>
                <w:tab w:val="left" w:pos="567"/>
              </w:tabs>
              <w:spacing w:before="60" w:after="60"/>
              <w:ind w:left="22" w:firstLine="142"/>
              <w:jc w:val="both"/>
              <w:rPr>
                <w:iCs/>
              </w:rPr>
            </w:pPr>
            <w:r>
              <w:rPr>
                <w:b/>
                <w:bCs/>
              </w:rPr>
              <w:t xml:space="preserve">Agreement</w:t>
            </w:r>
            <w:r>
              <w:t xml:space="preserve"> - an agreement concluded between the </w:t>
            </w:r>
            <w:r>
              <w:rPr>
                <w:b/>
              </w:rPr>
              <w:t xml:space="preserve">Supplier</w:t>
            </w:r>
            <w:r>
              <w:t xml:space="preserve"> and the </w:t>
            </w:r>
            <w:r>
              <w:rPr>
                <w:b/>
              </w:rPr>
              <w:t xml:space="preserve">Buyer</w:t>
            </w:r>
            <w:r>
              <w:t xml:space="preserve"> in relation to the Procurement object.</w:t>
            </w:r>
          </w:p>
          <w:p w14:paraId="1DCEDB9D" w14:textId="2E88BE05" w:rsidR="00175910" w:rsidRPr="002A38CC" w:rsidRDefault="00175910" w:rsidP="00101E29">
            <w:pPr>
              <w:pStyle w:val="Sraopastraipa"/>
              <w:numPr>
                <w:ilvl w:val="1"/>
                <w:numId w:val="2"/>
              </w:numPr>
              <w:tabs>
                <w:tab w:val="left" w:pos="567"/>
              </w:tabs>
              <w:spacing w:before="60" w:after="60"/>
              <w:ind w:left="22" w:firstLine="142"/>
              <w:jc w:val="both"/>
            </w:pPr>
            <w:r>
              <w:rPr>
                <w:b/>
                <w:bCs/>
              </w:rPr>
              <w:t xml:space="preserve">Procurement object</w:t>
            </w:r>
            <w:r>
              <w:t xml:space="preserve"> – Campaign to promote tourism and increase demand for flights on travel booking and technology platforms (hereinafter - the Services).</w:t>
            </w:r>
          </w:p>
        </w:tc>
      </w:tr>
      <w:tr w:rsidR="00ED4527" w:rsidRPr="002A38CC" w14:paraId="3080DFC4"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2A38CC" w:rsidRDefault="00175910" w:rsidP="0052342B">
            <w:pPr>
              <w:pStyle w:val="Sraopastraipa"/>
              <w:numPr>
                <w:ilvl w:val="0"/>
                <w:numId w:val="2"/>
              </w:numPr>
              <w:rPr>
                <w:b/>
              </w:rPr>
            </w:pPr>
            <w:r>
              <w:rPr>
                <w:b/>
              </w:rPr>
              <w:t xml:space="preserve">PROCUREMENT OBJECT AND THE QUANTITIES</w:t>
            </w:r>
            <w:r>
              <w:rPr>
                <w:b/>
              </w:rPr>
              <w:t xml:space="preserve"> </w:t>
            </w:r>
          </w:p>
        </w:tc>
      </w:tr>
      <w:tr w:rsidR="00ED4527" w:rsidRPr="002A38CC" w14:paraId="2F2D88FC" w14:textId="77777777" w:rsidTr="00EA3E55">
        <w:trPr>
          <w:trHeight w:val="841"/>
        </w:trPr>
        <w:tc>
          <w:tcPr>
            <w:tcW w:w="9350" w:type="dxa"/>
            <w:tcBorders>
              <w:top w:val="single" w:sz="4" w:space="0" w:color="auto"/>
              <w:left w:val="single" w:sz="4" w:space="0" w:color="auto"/>
              <w:bottom w:val="single" w:sz="4" w:space="0" w:color="auto"/>
              <w:right w:val="single" w:sz="4" w:space="0" w:color="auto"/>
            </w:tcBorders>
          </w:tcPr>
          <w:p w14:paraId="40BFD00C" w14:textId="6CBAAA57" w:rsidR="003011D0" w:rsidRPr="002A38CC" w:rsidRDefault="003011D0" w:rsidP="00B110D1">
            <w:pPr>
              <w:pStyle w:val="Sraopastraipa"/>
              <w:numPr>
                <w:ilvl w:val="1"/>
                <w:numId w:val="2"/>
              </w:numPr>
              <w:ind w:left="22" w:firstLine="142"/>
            </w:pPr>
            <w:r>
              <w:t xml:space="preserve">The following Services are procured:</w:t>
            </w:r>
          </w:p>
          <w:tbl>
            <w:tblPr>
              <w:tblStyle w:val="Lentelstinklelis"/>
              <w:tblW w:w="9145" w:type="dxa"/>
              <w:tblInd w:w="0" w:type="dxa"/>
              <w:tblLook w:val="04A0" w:firstRow="1" w:lastRow="0" w:firstColumn="1" w:lastColumn="0" w:noHBand="0" w:noVBand="1"/>
            </w:tblPr>
            <w:tblGrid>
              <w:gridCol w:w="562"/>
              <w:gridCol w:w="4983"/>
              <w:gridCol w:w="1890"/>
              <w:gridCol w:w="1710"/>
            </w:tblGrid>
            <w:tr w:rsidR="003011D0" w:rsidRPr="002A38CC" w14:paraId="02B3CCB0" w14:textId="77777777" w:rsidTr="009E16E2">
              <w:trPr>
                <w:trHeight w:val="300"/>
              </w:trPr>
              <w:tc>
                <w:tcPr>
                  <w:tcW w:w="562" w:type="dxa"/>
                </w:tcPr>
                <w:p w14:paraId="51CD7818" w14:textId="77777777" w:rsidR="003011D0" w:rsidRPr="002A38CC" w:rsidRDefault="003011D0" w:rsidP="00ED4527">
                  <w:r>
                    <w:t xml:space="preserve"> </w:t>
                  </w:r>
                  <w:r>
                    <w:t xml:space="preserve">No.</w:t>
                  </w:r>
                </w:p>
              </w:tc>
              <w:tc>
                <w:tcPr>
                  <w:tcW w:w="4983" w:type="dxa"/>
                </w:tcPr>
                <w:p w14:paraId="52851BDE" w14:textId="0CD5A25C" w:rsidR="003011D0" w:rsidRPr="002A38CC" w:rsidRDefault="003011D0" w:rsidP="00ED4527">
                  <w:r>
                    <w:t xml:space="preserve">Name of the service</w:t>
                  </w:r>
                </w:p>
              </w:tc>
              <w:tc>
                <w:tcPr>
                  <w:tcW w:w="1890" w:type="dxa"/>
                </w:tcPr>
                <w:p w14:paraId="064FF6E6" w14:textId="0218405F" w:rsidR="003011D0" w:rsidRPr="002A38CC" w:rsidRDefault="00DD16B6" w:rsidP="00ED4527">
                  <w:r>
                    <w:t xml:space="preserve">Preliminary quantity of the services</w:t>
                  </w:r>
                </w:p>
              </w:tc>
              <w:tc>
                <w:tcPr>
                  <w:tcW w:w="1710" w:type="dxa"/>
                </w:tcPr>
                <w:p w14:paraId="44BF873B" w14:textId="6F23F747" w:rsidR="003011D0" w:rsidRPr="002A38CC" w:rsidRDefault="003011D0" w:rsidP="00ED4527">
                  <w:r>
                    <w:t xml:space="preserve">Name of the service unit of measure</w:t>
                  </w:r>
                </w:p>
              </w:tc>
            </w:tr>
            <w:tr w:rsidR="00E73437" w:rsidRPr="002A38CC" w14:paraId="4FFBDB28" w14:textId="77777777" w:rsidTr="009E16E2">
              <w:trPr>
                <w:trHeight w:val="300"/>
              </w:trPr>
              <w:tc>
                <w:tcPr>
                  <w:tcW w:w="562" w:type="dxa"/>
                </w:tcPr>
                <w:p w14:paraId="46C01EC7" w14:textId="77777777" w:rsidR="00E73437" w:rsidRPr="002A38CC" w:rsidRDefault="00E73437" w:rsidP="00E73437">
                  <w:r>
                    <w:t xml:space="preserve">1.</w:t>
                  </w:r>
                </w:p>
              </w:tc>
              <w:tc>
                <w:tcPr>
                  <w:tcW w:w="4983" w:type="dxa"/>
                </w:tcPr>
                <w:p w14:paraId="5369A3E4" w14:textId="0B46CA7B" w:rsidR="00E73437" w:rsidRPr="00601A3E" w:rsidRDefault="00E73437" w:rsidP="00E73437">
                  <w:r>
                    <w:t xml:space="preserve">Development of advertising strategies and media plans</w:t>
                  </w:r>
                  <w:r>
                    <w:t xml:space="preserve"> </w:t>
                  </w:r>
                </w:p>
              </w:tc>
              <w:tc>
                <w:tcPr>
                  <w:tcW w:w="1890" w:type="dxa"/>
                </w:tcPr>
                <w:p w14:paraId="109BE3F5" w14:textId="35D28236" w:rsidR="00E73437" w:rsidRPr="00601A3E" w:rsidRDefault="00E73437" w:rsidP="00E73437">
                  <w:r>
                    <w:t xml:space="preserve">7</w:t>
                  </w:r>
                </w:p>
              </w:tc>
              <w:tc>
                <w:tcPr>
                  <w:tcW w:w="1710" w:type="dxa"/>
                </w:tcPr>
                <w:p w14:paraId="4784E2C1" w14:textId="67DA2DED" w:rsidR="00E73437" w:rsidRPr="00601A3E" w:rsidRDefault="00E73437" w:rsidP="00E73437">
                  <w:r>
                    <w:t xml:space="preserve">pcs.</w:t>
                  </w:r>
                </w:p>
              </w:tc>
            </w:tr>
            <w:tr w:rsidR="00E73437" w:rsidRPr="002A38CC" w14:paraId="4AD80057" w14:textId="77777777" w:rsidTr="009E16E2">
              <w:trPr>
                <w:trHeight w:val="300"/>
              </w:trPr>
              <w:tc>
                <w:tcPr>
                  <w:tcW w:w="562" w:type="dxa"/>
                </w:tcPr>
                <w:p w14:paraId="45C55147" w14:textId="660CF018" w:rsidR="00E73437" w:rsidRPr="00C80B22" w:rsidRDefault="00E73437" w:rsidP="00E73437">
                  <w:r>
                    <w:t xml:space="preserve">2.</w:t>
                  </w:r>
                </w:p>
              </w:tc>
              <w:tc>
                <w:tcPr>
                  <w:tcW w:w="4983" w:type="dxa"/>
                </w:tcPr>
                <w:p w14:paraId="3DCBE490" w14:textId="3820D4E9" w:rsidR="00E73437" w:rsidRPr="00601A3E" w:rsidRDefault="00E73437" w:rsidP="00E73437">
                  <w:r>
                    <w:t xml:space="preserve">Implementation of the campaign in accordance with the agreed media plan</w:t>
                  </w:r>
                  <w:r>
                    <w:t xml:space="preserve"> </w:t>
                  </w:r>
                </w:p>
              </w:tc>
              <w:tc>
                <w:tcPr>
                  <w:tcW w:w="1890" w:type="dxa"/>
                </w:tcPr>
                <w:p w14:paraId="5E94B321" w14:textId="4DCB3B5B" w:rsidR="00E73437" w:rsidRPr="00601A3E" w:rsidRDefault="00084C24" w:rsidP="00E73437">
                  <w:r>
                    <w:t xml:space="preserve">7</w:t>
                  </w:r>
                </w:p>
                <w:p w14:paraId="520C44FF" w14:textId="4755819D" w:rsidR="00E73437" w:rsidRPr="00601A3E" w:rsidRDefault="00E73437" w:rsidP="00E73437"/>
              </w:tc>
              <w:tc>
                <w:tcPr>
                  <w:tcW w:w="1710" w:type="dxa"/>
                </w:tcPr>
                <w:p w14:paraId="3BBFDEED" w14:textId="7D84EEA9" w:rsidR="00E73437" w:rsidRPr="00601A3E" w:rsidRDefault="00084C24" w:rsidP="00E73437">
                  <w:r>
                    <w:t xml:space="preserve">pcs.</w:t>
                  </w:r>
                </w:p>
              </w:tc>
            </w:tr>
            <w:tr w:rsidR="00E73437" w:rsidRPr="002A38CC" w14:paraId="7F7CFE69" w14:textId="77777777" w:rsidTr="009E16E2">
              <w:trPr>
                <w:trHeight w:val="300"/>
              </w:trPr>
              <w:tc>
                <w:tcPr>
                  <w:tcW w:w="562" w:type="dxa"/>
                </w:tcPr>
                <w:p w14:paraId="0AB33B4A" w14:textId="236D9F6D" w:rsidR="00E73437" w:rsidRPr="002A38CC" w:rsidRDefault="00E73437" w:rsidP="00E73437">
                  <w:r>
                    <w:t xml:space="preserve">3.</w:t>
                  </w:r>
                </w:p>
              </w:tc>
              <w:tc>
                <w:tcPr>
                  <w:tcW w:w="4983" w:type="dxa"/>
                </w:tcPr>
                <w:p w14:paraId="18F62F05" w14:textId="4DF4BC3C" w:rsidR="00E73437" w:rsidRPr="00601A3E" w:rsidRDefault="00E73437" w:rsidP="00E73437">
                  <w:r>
                    <w:t xml:space="preserve">Preparation of interim reports and data on passenger numbers</w:t>
                  </w:r>
                </w:p>
              </w:tc>
              <w:tc>
                <w:tcPr>
                  <w:tcW w:w="1890" w:type="dxa"/>
                </w:tcPr>
                <w:p w14:paraId="3776A1F1" w14:textId="56C42377" w:rsidR="00E73437" w:rsidRPr="00601A3E" w:rsidRDefault="00E73437" w:rsidP="00E73437">
                  <w:r>
                    <w:t xml:space="preserve">7</w:t>
                  </w:r>
                </w:p>
              </w:tc>
              <w:tc>
                <w:tcPr>
                  <w:tcW w:w="1710" w:type="dxa"/>
                </w:tcPr>
                <w:p w14:paraId="5D2F6D32" w14:textId="0F8F607F" w:rsidR="00E73437" w:rsidRPr="00601A3E" w:rsidRDefault="00E73437" w:rsidP="00E73437">
                  <w:r>
                    <w:t xml:space="preserve">pcs.</w:t>
                  </w:r>
                  <w:r>
                    <w:t xml:space="preserve"> </w:t>
                  </w:r>
                </w:p>
              </w:tc>
            </w:tr>
            <w:tr w:rsidR="00E73437" w:rsidRPr="002A38CC" w14:paraId="45B2A8A4" w14:textId="77777777" w:rsidTr="009E16E2">
              <w:trPr>
                <w:trHeight w:val="300"/>
              </w:trPr>
              <w:tc>
                <w:tcPr>
                  <w:tcW w:w="562" w:type="dxa"/>
                </w:tcPr>
                <w:p w14:paraId="1536E939" w14:textId="79551584" w:rsidR="00E73437" w:rsidRPr="002A38CC" w:rsidRDefault="00CE646B" w:rsidP="00E73437">
                  <w:r>
                    <w:t xml:space="preserve">4.</w:t>
                  </w:r>
                </w:p>
              </w:tc>
              <w:tc>
                <w:tcPr>
                  <w:tcW w:w="4983" w:type="dxa"/>
                </w:tcPr>
                <w:p w14:paraId="769DDF35" w14:textId="5E6F35BB" w:rsidR="00E73437" w:rsidRPr="00601A3E" w:rsidRDefault="00E73437" w:rsidP="00E73437">
                  <w:r>
                    <w:t xml:space="preserve">Preparation of the final campaign report</w:t>
                  </w:r>
                </w:p>
              </w:tc>
              <w:tc>
                <w:tcPr>
                  <w:tcW w:w="1890" w:type="dxa"/>
                </w:tcPr>
                <w:p w14:paraId="2188FA9A" w14:textId="6B6D22F1" w:rsidR="00E73437" w:rsidRPr="00601A3E" w:rsidRDefault="00E73437" w:rsidP="00E73437">
                  <w:r>
                    <w:t xml:space="preserve">7</w:t>
                  </w:r>
                </w:p>
              </w:tc>
              <w:tc>
                <w:tcPr>
                  <w:tcW w:w="1710" w:type="dxa"/>
                </w:tcPr>
                <w:p w14:paraId="1F02B3A6" w14:textId="0F69753E" w:rsidR="00E73437" w:rsidRPr="00601A3E" w:rsidRDefault="00E73437" w:rsidP="00E73437">
                  <w:r>
                    <w:t xml:space="preserve">pcs.</w:t>
                  </w:r>
                  <w:r>
                    <w:t xml:space="preserve"> </w:t>
                  </w:r>
                </w:p>
              </w:tc>
            </w:tr>
            <w:tr w:rsidR="00E73437" w:rsidRPr="002A38CC" w14:paraId="41C90D71" w14:textId="77777777" w:rsidTr="009E16E2">
              <w:trPr>
                <w:trHeight w:val="300"/>
              </w:trPr>
              <w:tc>
                <w:tcPr>
                  <w:tcW w:w="562" w:type="dxa"/>
                </w:tcPr>
                <w:p w14:paraId="34D47460" w14:textId="12B4F863" w:rsidR="00E73437" w:rsidRPr="002A38CC" w:rsidRDefault="00CE646B" w:rsidP="00E73437">
                  <w:r>
                    <w:t xml:space="preserve">5.</w:t>
                  </w:r>
                </w:p>
              </w:tc>
              <w:tc>
                <w:tcPr>
                  <w:tcW w:w="4983" w:type="dxa"/>
                </w:tcPr>
                <w:p w14:paraId="55815D1E" w14:textId="76DA89EF" w:rsidR="00E73437" w:rsidRPr="00601A3E" w:rsidRDefault="00E73437" w:rsidP="00E73437">
                  <w:r>
                    <w:t xml:space="preserve">Other services not listed above*</w:t>
                  </w:r>
                </w:p>
              </w:tc>
              <w:tc>
                <w:tcPr>
                  <w:tcW w:w="1890" w:type="dxa"/>
                </w:tcPr>
                <w:p w14:paraId="1AF4B76F" w14:textId="77777777" w:rsidR="00E73437" w:rsidRPr="00601A3E" w:rsidRDefault="00E73437" w:rsidP="00E73437">
                  <w:r>
                    <w:t xml:space="preserve">Amount of additional services from third parties 15% of the maximum quantity of Services</w:t>
                  </w:r>
                </w:p>
                <w:p w14:paraId="5EDE245C" w14:textId="22DB508A" w:rsidR="00E73437" w:rsidRPr="00601A3E" w:rsidRDefault="00E73437" w:rsidP="00E73437">
                  <w:r>
                    <w:t xml:space="preserve">EUR 105,000 excluding VAT</w:t>
                  </w:r>
                </w:p>
              </w:tc>
              <w:tc>
                <w:tcPr>
                  <w:tcW w:w="1710" w:type="dxa"/>
                </w:tcPr>
                <w:p w14:paraId="0B25BCCF" w14:textId="5DE5E1EC" w:rsidR="00E73437" w:rsidRPr="00601A3E" w:rsidRDefault="00E73437" w:rsidP="00E73437">
                  <w:r>
                    <w:t xml:space="preserve">EUR 105,000 excluding VAT</w:t>
                  </w:r>
                </w:p>
              </w:tc>
            </w:tr>
          </w:tbl>
          <w:p w14:paraId="293799B1" w14:textId="5A759CEE" w:rsidR="00F71DD7" w:rsidRDefault="001E3E89" w:rsidP="001E3E89">
            <w:pPr>
              <w:pStyle w:val="Sraopastraipa"/>
              <w:numPr>
                <w:ilvl w:val="1"/>
                <w:numId w:val="2"/>
              </w:numPr>
              <w:ind w:left="0" w:firstLine="164"/>
              <w:jc w:val="both"/>
            </w:pPr>
            <w:r>
              <w:t xml:space="preserve">A travel technology and booking platform is a digital system or website that allows you to cover a variety of functions for both individual travellers and business customers.</w:t>
            </w:r>
            <w:r>
              <w:t xml:space="preserve"> </w:t>
            </w:r>
            <w:r>
              <w:t xml:space="preserve">Such platforms use advanced technologies that can effectively reach the target audience and influence their decision to travel to a specific destination.</w:t>
            </w:r>
            <w:r>
              <w:t xml:space="preserve">  </w:t>
            </w:r>
          </w:p>
          <w:p w14:paraId="48F2C192" w14:textId="46303694" w:rsidR="00B84225" w:rsidRPr="0053106C" w:rsidRDefault="00ED4527" w:rsidP="00B84225">
            <w:pPr>
              <w:pStyle w:val="Sraopastraipa"/>
              <w:numPr>
                <w:ilvl w:val="1"/>
                <w:numId w:val="2"/>
              </w:numPr>
              <w:ind w:left="0" w:firstLine="164"/>
              <w:jc w:val="both"/>
              <w:rPr>
                <w:i/>
                <w:iCs/>
                <w:u w:val="single"/>
              </w:rPr>
            </w:pPr>
            <w:r>
              <w:t xml:space="preserve">Services will be purchased as needed, applying the rate specified in the Supplier's proposal.</w:t>
            </w:r>
            <w:r>
              <w:t xml:space="preserve"> </w:t>
            </w:r>
            <w:r>
              <w:t xml:space="preserve">The Buyer anticipates, but does not undertake, to purchase services during the term of the Agreement for an amount not exceeding EUR 847,000.00, including all taxes.</w:t>
            </w:r>
            <w:r>
              <w:t xml:space="preserve"> </w:t>
            </w:r>
            <w:r>
              <w:t xml:space="preserve">This maximum amount (volume) includes all taxes paid by the Supplier and all costs incurred by the Supplier in connection with the performance of the Agreement, as well as the amount of additional services from third parties (preliminarily EUR 105,000 excluding VAT).</w:t>
            </w:r>
          </w:p>
          <w:p w14:paraId="40C18860" w14:textId="77777777" w:rsidR="00596E08" w:rsidRPr="0053106C" w:rsidRDefault="00596E08" w:rsidP="00B84225">
            <w:pPr>
              <w:pStyle w:val="Sraopastraipa"/>
              <w:numPr>
                <w:ilvl w:val="1"/>
                <w:numId w:val="2"/>
              </w:numPr>
              <w:ind w:left="0" w:firstLine="164"/>
              <w:jc w:val="both"/>
              <w:rPr>
                <w:i/>
                <w:iCs/>
                <w:u w:val="single"/>
              </w:rPr>
            </w:pPr>
            <w:r>
              <w:t xml:space="preserve">The preliminary number of campaigns to be ordered is 7.</w:t>
            </w:r>
          </w:p>
          <w:p w14:paraId="30C5CBF0" w14:textId="0A8CE113" w:rsidR="004B0407" w:rsidRPr="00B84225" w:rsidRDefault="004B0407" w:rsidP="00B84225">
            <w:pPr>
              <w:pStyle w:val="Sraopastraipa"/>
              <w:numPr>
                <w:ilvl w:val="1"/>
                <w:numId w:val="2"/>
              </w:numPr>
              <w:ind w:left="0" w:firstLine="164"/>
              <w:jc w:val="both"/>
              <w:rPr>
                <w:i/>
                <w:iCs/>
                <w:u w:val="single"/>
              </w:rPr>
            </w:pPr>
            <w:r>
              <w:t xml:space="preserve">* Additional services may be purchased solely for the purpose of implementing tourism promotion and flight demand increase campaigns, e.g., acquisition of unforeseen data, preparation of non-traditional content formats when it was not possible to predict the need in advance, testing of ideas, etc.</w:t>
            </w:r>
            <w:r>
              <w:t xml:space="preserve"> </w:t>
            </w:r>
            <w:r>
              <w:t xml:space="preserve">The necessity of these expenses must be justified and agreed upon with the Buyer.</w:t>
            </w:r>
            <w:r>
              <w:t xml:space="preserve"> </w:t>
            </w:r>
            <w:r>
              <w:t xml:space="preserve">At the Buyer's request, the Supplier shall be obliged to provide at least 3 estimates from third-party suppliers within 5 working days.</w:t>
            </w:r>
            <w:r>
              <w:t xml:space="preserve"> </w:t>
            </w:r>
            <w:r>
              <w:t xml:space="preserve">Additional services will be paid for at prices that do not exceed market rates.</w:t>
            </w:r>
            <w:r>
              <w:t xml:space="preserve"> </w:t>
            </w:r>
            <w:r>
              <w:t xml:space="preserve">The Supplier's profit cannot be included in the actual costs incurred.</w:t>
            </w:r>
            <w:r>
              <w:t xml:space="preserve"> </w:t>
            </w:r>
            <w:r>
              <w:t xml:space="preserve">The Buyer has the right to request the services of another provider offering a lower price for the service.</w:t>
            </w:r>
          </w:p>
        </w:tc>
      </w:tr>
      <w:tr w:rsidR="00ED4527" w:rsidRPr="002A38CC" w14:paraId="1E4DEBA6"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0ECFA60" w14:textId="4510A2C7" w:rsidR="00175910" w:rsidRPr="00810A82" w:rsidRDefault="00810A82" w:rsidP="00810A82">
            <w:pPr>
              <w:ind w:left="360"/>
              <w:rPr>
                <w:b/>
              </w:rPr>
            </w:pPr>
            <w:r>
              <w:rPr>
                <w:b/>
              </w:rPr>
              <w:t xml:space="preserve">3. DESCRIPTION OF THE PROCUREMENT OBJECT</w:t>
            </w:r>
          </w:p>
        </w:tc>
      </w:tr>
      <w:tr w:rsidR="00ED4527" w:rsidRPr="002A38CC" w14:paraId="46D8CE07" w14:textId="77777777" w:rsidTr="00770369">
        <w:trPr>
          <w:trHeight w:val="1186"/>
        </w:trPr>
        <w:tc>
          <w:tcPr>
            <w:tcW w:w="9350" w:type="dxa"/>
            <w:tcBorders>
              <w:top w:val="single" w:sz="4" w:space="0" w:color="auto"/>
              <w:left w:val="single" w:sz="4" w:space="0" w:color="auto"/>
              <w:bottom w:val="single" w:sz="4" w:space="0" w:color="auto"/>
              <w:right w:val="single" w:sz="4" w:space="0" w:color="auto"/>
            </w:tcBorders>
            <w:hideMark/>
          </w:tcPr>
          <w:p w14:paraId="734E61CB" w14:textId="60F25BE1" w:rsidR="006C510F" w:rsidRPr="001205D0" w:rsidRDefault="00810A82" w:rsidP="00810A82">
            <w:pPr>
              <w:ind w:left="360"/>
              <w:jc w:val="both"/>
            </w:pPr>
            <w:r>
              <w:rPr>
                <w:b/>
              </w:rPr>
              <w:t xml:space="preserve">3.1. Procurement object.</w:t>
            </w:r>
            <w:r>
              <w:rPr>
                <w:b/>
              </w:rPr>
              <w:t xml:space="preserve"> </w:t>
            </w:r>
          </w:p>
          <w:p w14:paraId="50965F39" w14:textId="40D3DA15" w:rsidR="00810A82" w:rsidRPr="007C5B29" w:rsidRDefault="004F5432" w:rsidP="00810A82">
            <w:pPr>
              <w:pStyle w:val="Sraopastraipa"/>
              <w:numPr>
                <w:ilvl w:val="2"/>
                <w:numId w:val="24"/>
              </w:numPr>
              <w:jc w:val="both"/>
            </w:pPr>
            <w:r>
              <w:t xml:space="preserve">We purchase tourism promotion campaign services on travel booking and technology platforms that implement advertising display packages, i.e., automated digital advertising, where banner or video ad formats are purchased through real-time bidding (RTB) using special technology platforms.</w:t>
            </w:r>
            <w:r>
              <w:t xml:space="preserve"> </w:t>
            </w:r>
            <w:r>
              <w:t xml:space="preserve">This is automated, multi-channel advertising based on user behaviour, location, and other data, allowing for the most effective targeting of ads based on behaviour, the use of repeat ads, and the tracking of users.</w:t>
            </w:r>
            <w:r>
              <w:t xml:space="preserve"> </w:t>
            </w:r>
            <w:r>
              <w:t xml:space="preserve">The platform must have tools that can identify how many users who saw the advertisement came to Vilnius (e.g., geolocation, geofencing).</w:t>
            </w:r>
          </w:p>
          <w:p w14:paraId="70D4B667" w14:textId="77777777" w:rsidR="00810A82" w:rsidRPr="00A77016" w:rsidRDefault="006C510F" w:rsidP="00810A82">
            <w:pPr>
              <w:pStyle w:val="Sraopastraipa"/>
              <w:numPr>
                <w:ilvl w:val="2"/>
                <w:numId w:val="24"/>
              </w:numPr>
              <w:jc w:val="both"/>
            </w:pPr>
            <w:r>
              <w:t xml:space="preserve">The campaigns are organised with a view to implementing the Vilnius City Competitiveness and Attractiveness Programme to promote international communication, which aims to create a favourable economic environment for business and investment, effectively utilize the city's tourism potential, and increase the city's visibility in an international context.</w:t>
            </w:r>
            <w:r>
              <w:t xml:space="preserve"> </w:t>
            </w:r>
            <w:r>
              <w:t xml:space="preserve">The main purpose of using the Services is to increase demand for flights through marketing measures and, at the same time, attract tourists to Vilnius.</w:t>
            </w:r>
          </w:p>
          <w:p w14:paraId="6D22CDE1" w14:textId="41185A8E" w:rsidR="00810A82" w:rsidRPr="00A77016" w:rsidRDefault="007768B9" w:rsidP="00810A82">
            <w:pPr>
              <w:pStyle w:val="Sraopastraipa"/>
              <w:numPr>
                <w:ilvl w:val="2"/>
                <w:numId w:val="24"/>
              </w:numPr>
              <w:jc w:val="both"/>
            </w:pPr>
            <w:r>
              <w:t xml:space="preserve">Planned campaigns are targeted at destinations (countries, cities) that must meet the following criteria:</w:t>
            </w:r>
            <w:r>
              <w:t xml:space="preserve"> </w:t>
            </w:r>
            <w:r>
              <w:t xml:space="preserve">1) a list of routes that are important for Lithuanian business and inbound tourism, for which flight promotion measures may be implemented to ensure targeted accessibility, approved by the Ministry of Transport and Communications and the Ministry of Economy and Innovation of the Republic of Lithuania; 2) the target tourism markets (countries) of the public institution Go Vilnius, i.e.</w:t>
            </w:r>
            <w:r>
              <w:t xml:space="preserve"> </w:t>
            </w:r>
            <w:r>
              <w:t xml:space="preserve">Germany, Poland, United Kingdom, Netherlands with the possibility of adding an additional market in 2026.</w:t>
            </w:r>
          </w:p>
          <w:p w14:paraId="1A6372A8" w14:textId="68BE22D5" w:rsidR="00EA3E55" w:rsidRDefault="002A00DF" w:rsidP="00EA3E55">
            <w:pPr>
              <w:pStyle w:val="Sraopastraipa"/>
              <w:numPr>
                <w:ilvl w:val="2"/>
                <w:numId w:val="24"/>
              </w:numPr>
              <w:jc w:val="both"/>
            </w:pPr>
            <w:r>
              <w:t xml:space="preserve">Digital travel booking and technology platform-managed channels and tools must be used to implement the campaigns.</w:t>
            </w:r>
          </w:p>
          <w:p w14:paraId="6AA8DEFE" w14:textId="77777777" w:rsidR="00EA3E55" w:rsidRPr="00EA3E55" w:rsidRDefault="00EA3E55" w:rsidP="00EA3E55">
            <w:pPr>
              <w:pStyle w:val="Sraopastraipa"/>
              <w:ind w:left="1080"/>
              <w:jc w:val="both"/>
              <w:rPr>
                <w:lang w:val="lt-LT"/>
              </w:rPr>
            </w:pPr>
          </w:p>
          <w:p w14:paraId="3F14810B" w14:textId="65C41950" w:rsidR="00232233" w:rsidRDefault="00E37383" w:rsidP="001E4A85">
            <w:pPr>
              <w:pStyle w:val="Sraopastraipa"/>
              <w:numPr>
                <w:ilvl w:val="1"/>
                <w:numId w:val="24"/>
              </w:numPr>
              <w:jc w:val="both"/>
              <w:rPr>
                <w:b/>
                <w:bCs/>
              </w:rPr>
            </w:pPr>
            <w:r>
              <w:rPr>
                <w:b/>
              </w:rPr>
              <w:t xml:space="preserve">Development of advertising strategies and media plans.</w:t>
            </w:r>
          </w:p>
          <w:p w14:paraId="6FE74841" w14:textId="77777777" w:rsidR="00EA3E55" w:rsidRPr="00485818" w:rsidRDefault="00EA3E55" w:rsidP="00EA3E55">
            <w:pPr>
              <w:pStyle w:val="Sraopastraipa"/>
              <w:jc w:val="both"/>
              <w:rPr>
                <w:b/>
                <w:bCs/>
                <w:lang w:val="lt-LT"/>
              </w:rPr>
            </w:pPr>
          </w:p>
          <w:p w14:paraId="46285B7E" w14:textId="77777777" w:rsidR="008B7627" w:rsidRPr="001205D0" w:rsidRDefault="008B7627" w:rsidP="001E4A85">
            <w:pPr>
              <w:pStyle w:val="Sraopastraipa"/>
              <w:numPr>
                <w:ilvl w:val="2"/>
                <w:numId w:val="24"/>
              </w:numPr>
              <w:jc w:val="both"/>
            </w:pPr>
            <w:r>
              <w:t xml:space="preserve">The Supplier shall prepare a strategy for advertising campaigns in the target market, focused on a specific city or region specified by the Buyer, or several cities, and shall coordinate it with the Buyer.</w:t>
            </w:r>
          </w:p>
          <w:p w14:paraId="154AD9E7" w14:textId="5F315F1E" w:rsidR="008B7627" w:rsidRPr="00787317" w:rsidRDefault="008B7627" w:rsidP="00A25E24">
            <w:pPr>
              <w:pStyle w:val="Sraopastraipa"/>
              <w:numPr>
                <w:ilvl w:val="2"/>
                <w:numId w:val="24"/>
              </w:numPr>
            </w:pPr>
            <w:r>
              <w:t xml:space="preserve">When developing an advertising strategy, specify:</w:t>
            </w:r>
            <w:r>
              <w:t xml:space="preserve"> </w:t>
            </w:r>
            <w:r>
              <w:br/>
            </w:r>
            <w:r>
              <w:t xml:space="preserve">1) campaign objectives related to increasing interest in flights to Vilnius and potential passenger growth (desired campaign impact),</w:t>
            </w:r>
            <w:r>
              <w:br/>
            </w:r>
            <w:r>
              <w:t xml:space="preserve">2) target audience,</w:t>
            </w:r>
            <w:r>
              <w:br/>
            </w:r>
            <w:r>
              <w:t xml:space="preserve">3) key message and proposed positioning,</w:t>
            </w:r>
            <w:r>
              <w:br/>
            </w:r>
            <w:r>
              <w:t xml:space="preserve">4) selection of key channels and rationale.</w:t>
            </w:r>
          </w:p>
          <w:p w14:paraId="73962052" w14:textId="77777777" w:rsidR="008B7627" w:rsidRPr="00787317" w:rsidRDefault="008B7627" w:rsidP="001E4A85">
            <w:pPr>
              <w:pStyle w:val="Sraopastraipa"/>
              <w:numPr>
                <w:ilvl w:val="2"/>
                <w:numId w:val="24"/>
              </w:numPr>
              <w:jc w:val="both"/>
            </w:pPr>
            <w:r>
              <w:t xml:space="preserve">The strategy must be well-founded, well-argued, and cover digital and other advertising channels.</w:t>
            </w:r>
          </w:p>
          <w:p w14:paraId="37BD8390" w14:textId="1D83857E" w:rsidR="00F70FFC" w:rsidRPr="007C5B29" w:rsidRDefault="00F70FFC" w:rsidP="001E4A85">
            <w:pPr>
              <w:pStyle w:val="Sraopastraipa"/>
              <w:numPr>
                <w:ilvl w:val="2"/>
                <w:numId w:val="24"/>
              </w:numPr>
              <w:jc w:val="both"/>
            </w:pPr>
            <w:r>
              <w:t xml:space="preserve">The Supplier must draw up a detailed media plan for the campaign with detailed indicators and submit a budget.</w:t>
            </w:r>
            <w:r>
              <w:t xml:space="preserve"> </w:t>
            </w:r>
            <w:r>
              <w:t xml:space="preserve">Minimum indicators that the Supplier undertakes to achieve during a single campaign: ad impressions – 4 million, clicks – 15,000.</w:t>
            </w:r>
          </w:p>
          <w:p w14:paraId="662A5DF9" w14:textId="77777777" w:rsidR="00EA3E55" w:rsidRDefault="00F70FFC" w:rsidP="001E4A85">
            <w:pPr>
              <w:pStyle w:val="Sraopastraipa"/>
              <w:numPr>
                <w:ilvl w:val="2"/>
                <w:numId w:val="24"/>
              </w:numPr>
              <w:jc w:val="both"/>
            </w:pPr>
            <w:r>
              <w:t xml:space="preserve">The media plan must include the main targets:</w:t>
            </w:r>
            <w:r>
              <w:t xml:space="preserve"> </w:t>
            </w:r>
          </w:p>
          <w:p w14:paraId="625AF3CE" w14:textId="77777777" w:rsidR="00EA3E55" w:rsidRDefault="00F70FFC" w:rsidP="00EA3E55">
            <w:pPr>
              <w:pStyle w:val="Sraopastraipa"/>
              <w:ind w:left="1080"/>
              <w:jc w:val="both"/>
            </w:pPr>
            <w:r>
              <w:t xml:space="preserve">1) digital advertising reach and visibility indicators (ad impressions, number of unique users reached, frequency),</w:t>
            </w:r>
            <w:r>
              <w:t xml:space="preserve"> </w:t>
            </w:r>
          </w:p>
          <w:p w14:paraId="68AF65EC" w14:textId="07E3AA8F" w:rsidR="00EA3E55" w:rsidRDefault="00F70FFC" w:rsidP="00EA3E55">
            <w:pPr>
              <w:pStyle w:val="Sraopastraipa"/>
              <w:ind w:left="1080"/>
              <w:jc w:val="both"/>
            </w:pPr>
            <w:r>
              <w:t xml:space="preserve">2) engagement metrics (clicks, click-through rate (CTR), engagement rate),</w:t>
            </w:r>
            <w:r>
              <w:t xml:space="preserve"> </w:t>
            </w:r>
          </w:p>
          <w:p w14:paraId="5B069D74" w14:textId="77777777" w:rsidR="00EA3E55" w:rsidRDefault="00F70FFC" w:rsidP="00EA3E55">
            <w:pPr>
              <w:pStyle w:val="Sraopastraipa"/>
              <w:ind w:left="1080"/>
              <w:jc w:val="both"/>
            </w:pPr>
            <w:r>
              <w:t xml:space="preserve">3) price indicators (price per click, price per expected number of impressions),</w:t>
            </w:r>
            <w:r>
              <w:t xml:space="preserve"> </w:t>
            </w:r>
          </w:p>
          <w:p w14:paraId="7C6CF5F0" w14:textId="4139E6C4" w:rsidR="00F70FFC" w:rsidRPr="007C5B29" w:rsidRDefault="00F70FFC" w:rsidP="001D56FB">
            <w:pPr>
              <w:pStyle w:val="Sraopastraipa"/>
              <w:ind w:left="1080"/>
            </w:pPr>
            <w:r>
              <w:t xml:space="preserve">4) the number of tourists who arrived thanks to the campaign, </w:t>
            </w:r>
            <w:r>
              <w:br/>
            </w:r>
            <w:r>
              <w:t xml:space="preserve">5) indicators for other measures proposed in the media plan, if such measures are proposed.</w:t>
            </w:r>
            <w:r>
              <w:t xml:space="preserve"> </w:t>
            </w:r>
          </w:p>
          <w:p w14:paraId="13E746AE" w14:textId="36E265F4" w:rsidR="008A500C" w:rsidRPr="007C5B29" w:rsidRDefault="008A500C" w:rsidP="00F3175C">
            <w:pPr>
              <w:pStyle w:val="Sraopastraipa"/>
              <w:numPr>
                <w:ilvl w:val="2"/>
                <w:numId w:val="24"/>
              </w:numPr>
            </w:pPr>
            <w:r>
              <w:t xml:space="preserve">The media plan must present the planned impact of the campaign on attracting tourists:</w:t>
            </w:r>
            <w:r>
              <w:t xml:space="preserve"> </w:t>
            </w:r>
            <w:r>
              <w:br/>
            </w:r>
            <w:r>
              <w:t xml:space="preserve">1) the number of searches for trips to Vilnius and a comparison with the previous period,</w:t>
            </w:r>
            <w:r>
              <w:br/>
            </w:r>
            <w:r>
              <w:t xml:space="preserve">2) planned number of trips purchased and tourists,</w:t>
            </w:r>
            <w:r>
              <w:br/>
            </w:r>
            <w:r>
              <w:t xml:space="preserve">3) planned economic benefit to the city (in Euro),</w:t>
            </w:r>
            <w:r>
              <w:br/>
            </w:r>
            <w:r>
              <w:t xml:space="preserve">4) return on investment (ROI) indicator, specifying the proposed investment and return per tourist attracted.</w:t>
            </w:r>
            <w:r>
              <w:t xml:space="preserve"> </w:t>
            </w:r>
          </w:p>
          <w:p w14:paraId="2E7624B4" w14:textId="6DB2C6D8" w:rsidR="0013167D" w:rsidRPr="007C5B29" w:rsidRDefault="00CE651B" w:rsidP="0013167D">
            <w:pPr>
              <w:pStyle w:val="Sraopastraipa"/>
              <w:numPr>
                <w:ilvl w:val="2"/>
                <w:numId w:val="24"/>
              </w:numPr>
              <w:jc w:val="both"/>
            </w:pPr>
            <w:r>
              <w:t xml:space="preserve">The media plan must include a list of the necessary materials:</w:t>
            </w:r>
            <w:r>
              <w:br/>
            </w:r>
            <w:r>
              <w:t xml:space="preserve">1) Video formats (e.g., MP4, MOV), duration (in seconds), aspect ratio (e.g., 16:9, 9:16), maximum size (MB), codec, etc.</w:t>
            </w:r>
          </w:p>
          <w:p w14:paraId="056ACA50" w14:textId="7E834A28" w:rsidR="0013167D" w:rsidRPr="007C5B29" w:rsidRDefault="0013167D" w:rsidP="0013167D">
            <w:pPr>
              <w:pStyle w:val="Sraopastraipa"/>
              <w:numPr>
                <w:ilvl w:val="0"/>
                <w:numId w:val="26"/>
              </w:numPr>
              <w:jc w:val="both"/>
            </w:pPr>
            <w:r>
              <w:t xml:space="preserve">Banner ad formats (e.g., JPEG, PNG, HTML5), sizes (e.g., 300x250, 728x90, 160x600, 1080x1920, etc.),</w:t>
            </w:r>
          </w:p>
          <w:p w14:paraId="68A300BD" w14:textId="25619930" w:rsidR="00651680" w:rsidRPr="007C5B29" w:rsidRDefault="000B0FEC" w:rsidP="000B0FEC">
            <w:pPr>
              <w:ind w:left="1080"/>
              <w:jc w:val="both"/>
            </w:pPr>
            <w:r>
              <w:t xml:space="preserve">3) Structure of text advertisements or content entries (copy) – character limits, style, etc.</w:t>
            </w:r>
          </w:p>
          <w:p w14:paraId="153EB4AD" w14:textId="29825267" w:rsidR="00651680" w:rsidRPr="007C5B29" w:rsidRDefault="000B0FEC" w:rsidP="000B0FEC">
            <w:pPr>
              <w:ind w:left="1080"/>
            </w:pPr>
            <w:r>
              <w:t xml:space="preserve">4) other possible material.</w:t>
            </w:r>
          </w:p>
          <w:p w14:paraId="65F91425" w14:textId="623F9E48" w:rsidR="00F70FFC" w:rsidRPr="007C5B29" w:rsidRDefault="00F70FFC" w:rsidP="001E4A85">
            <w:pPr>
              <w:pStyle w:val="Sraopastraipa"/>
              <w:numPr>
                <w:ilvl w:val="2"/>
                <w:numId w:val="24"/>
              </w:numPr>
              <w:jc w:val="both"/>
            </w:pPr>
            <w:r>
              <w:t xml:space="preserve">The media plan must be adjusted at the request of the Customer, and the final version must be agreed upon with the Customer.</w:t>
            </w:r>
          </w:p>
          <w:p w14:paraId="6039C3CA" w14:textId="489A8B72" w:rsidR="00084306" w:rsidRPr="007C5B29" w:rsidRDefault="00084306" w:rsidP="001E4A85">
            <w:pPr>
              <w:pStyle w:val="Sraopastraipa"/>
              <w:numPr>
                <w:ilvl w:val="2"/>
                <w:numId w:val="24"/>
              </w:numPr>
              <w:jc w:val="both"/>
            </w:pPr>
            <w:r>
              <w:t xml:space="preserve">The Supplier is fully responsible for the preparation of a high-quality strategy and media plan, ensuring that they meet the Buyer's objectives and quality requirements.</w:t>
            </w:r>
            <w:r>
              <w:t xml:space="preserve"> </w:t>
            </w:r>
            <w:r>
              <w:t xml:space="preserve">The strategy and media plan must be based on data, market analysis, and clearly defined communication goals and indicators (KPIs).</w:t>
            </w:r>
          </w:p>
          <w:p w14:paraId="1F86B665" w14:textId="467DB947" w:rsidR="00F70FFC" w:rsidRDefault="00F70FFC" w:rsidP="001E4A85">
            <w:pPr>
              <w:pStyle w:val="Sraopastraipa"/>
              <w:numPr>
                <w:ilvl w:val="2"/>
                <w:numId w:val="24"/>
              </w:numPr>
              <w:jc w:val="both"/>
            </w:pPr>
            <w:r>
              <w:t xml:space="preserve">The preliminary duration of a single campaign is 3 months.</w:t>
            </w:r>
            <w:r>
              <w:t xml:space="preserve"> </w:t>
            </w:r>
            <w:r>
              <w:t xml:space="preserve">The duration can be adjusted as needed.</w:t>
            </w:r>
          </w:p>
          <w:p w14:paraId="4151F9C2" w14:textId="77777777" w:rsidR="00EA3E55" w:rsidRPr="00787317" w:rsidRDefault="00EA3E55" w:rsidP="00EA3E55">
            <w:pPr>
              <w:pStyle w:val="Sraopastraipa"/>
              <w:ind w:left="1080"/>
              <w:jc w:val="both"/>
              <w:rPr>
                <w:lang w:val="lt-LT"/>
              </w:rPr>
            </w:pPr>
          </w:p>
          <w:p w14:paraId="2D1D1BB7" w14:textId="392534D2" w:rsidR="009C2E5B" w:rsidRDefault="007960A6" w:rsidP="001E4A85">
            <w:pPr>
              <w:pStyle w:val="Sraopastraipa"/>
              <w:numPr>
                <w:ilvl w:val="1"/>
                <w:numId w:val="24"/>
              </w:numPr>
              <w:jc w:val="both"/>
              <w:rPr>
                <w:b/>
                <w:bCs/>
              </w:rPr>
            </w:pPr>
            <w:r>
              <w:rPr>
                <w:b/>
              </w:rPr>
              <w:t xml:space="preserve">Implementation of the campaign in accordance with the agreed media plan:</w:t>
            </w:r>
          </w:p>
          <w:p w14:paraId="2B364D9C" w14:textId="77777777" w:rsidR="00EA3E55" w:rsidRPr="007C5B29" w:rsidRDefault="00EA3E55" w:rsidP="00EA3E55">
            <w:pPr>
              <w:pStyle w:val="Sraopastraipa"/>
              <w:jc w:val="both"/>
              <w:rPr>
                <w:b/>
                <w:bCs/>
                <w:lang w:val="lt-LT"/>
              </w:rPr>
            </w:pPr>
          </w:p>
          <w:p w14:paraId="6AD842BA" w14:textId="0C970810" w:rsidR="00C8683D" w:rsidRPr="007C5B29" w:rsidRDefault="00D2342D" w:rsidP="001E4A85">
            <w:pPr>
              <w:pStyle w:val="Sraopastraipa"/>
              <w:numPr>
                <w:ilvl w:val="2"/>
                <w:numId w:val="24"/>
              </w:numPr>
              <w:jc w:val="both"/>
            </w:pPr>
            <w:r>
              <w:t xml:space="preserve">The Supplier must implement the approved media plan using advertising channels agreed in advance with the Buyer, in accordance with the established deadlines and campaign duration.</w:t>
            </w:r>
            <w:r>
              <w:t xml:space="preserve"> </w:t>
            </w:r>
            <w:r>
              <w:t xml:space="preserve">Any deviations from the plan are only possible with the prior written consent of the Buyer.</w:t>
            </w:r>
            <w:r>
              <w:t xml:space="preserve"> </w:t>
            </w:r>
          </w:p>
          <w:p w14:paraId="50BD0DAD" w14:textId="10B780E3" w:rsidR="009C2E5B" w:rsidRPr="00C8683D" w:rsidRDefault="009C2E5B" w:rsidP="001E4A85">
            <w:pPr>
              <w:pStyle w:val="Sraopastraipa"/>
              <w:numPr>
                <w:ilvl w:val="2"/>
                <w:numId w:val="24"/>
              </w:numPr>
              <w:jc w:val="both"/>
            </w:pPr>
            <w:r>
              <w:t xml:space="preserve">The Buyer shall provide the Supplier with all necessary materials for the campaign: photos, texts, video materials, and other content required by the Supplier.</w:t>
            </w:r>
          </w:p>
          <w:p w14:paraId="6527A368" w14:textId="77777777" w:rsidR="009C2E5B" w:rsidRPr="00787317" w:rsidRDefault="009C2E5B" w:rsidP="001E4A85">
            <w:pPr>
              <w:pStyle w:val="Sraopastraipa"/>
              <w:numPr>
                <w:ilvl w:val="2"/>
                <w:numId w:val="24"/>
              </w:numPr>
              <w:jc w:val="both"/>
            </w:pPr>
            <w:r>
              <w:t xml:space="preserve">The campaign content package includes static and animated advertising banners, videos and their distribution in various sizes and formats, as well as text and other material necessary to implement the proposed media plan.</w:t>
            </w:r>
          </w:p>
          <w:p w14:paraId="3CB4C198" w14:textId="544DAEDE" w:rsidR="009C2E5B" w:rsidRPr="00787317" w:rsidRDefault="009C2E5B" w:rsidP="001E4A85">
            <w:pPr>
              <w:pStyle w:val="Sraopastraipa"/>
              <w:numPr>
                <w:ilvl w:val="2"/>
                <w:numId w:val="24"/>
              </w:numPr>
              <w:jc w:val="both"/>
            </w:pPr>
            <w:r>
              <w:t xml:space="preserve">The set of campaign content tools or parts of the set may be changed once during the campaign if the need arises, the information changes, or the Buyer informs of a necessity.</w:t>
            </w:r>
            <w:r>
              <w:t xml:space="preserve"> </w:t>
            </w:r>
          </w:p>
          <w:p w14:paraId="4379F51C" w14:textId="13332224" w:rsidR="00A612DD" w:rsidRPr="00787317" w:rsidRDefault="00A612DD" w:rsidP="001E4A85">
            <w:pPr>
              <w:pStyle w:val="Sraopastraipa"/>
              <w:numPr>
                <w:ilvl w:val="2"/>
                <w:numId w:val="24"/>
              </w:numPr>
              <w:jc w:val="both"/>
            </w:pPr>
            <w:r>
              <w:t xml:space="preserve">At least once a month, the Supplier has to let the Buyer's rep know how the campaign is going and email recommendations for improvements if the campaign's interim results don't match the media plan.</w:t>
            </w:r>
          </w:p>
          <w:p w14:paraId="38BCFDA7" w14:textId="51AC39E6" w:rsidR="00A612DD" w:rsidRDefault="00A612DD" w:rsidP="001E4A85">
            <w:pPr>
              <w:pStyle w:val="Sraopastraipa"/>
              <w:numPr>
                <w:ilvl w:val="2"/>
                <w:numId w:val="24"/>
              </w:numPr>
              <w:jc w:val="both"/>
            </w:pPr>
            <w:r>
              <w:t xml:space="preserve">Implement campaign optimizations agreed with the Buyer in cases where campaign results are lower than planned, or propose and implement additional measures at your own expense to achieve the set goals, e.g., propose a longer advertising period.</w:t>
            </w:r>
            <w:r>
              <w:t xml:space="preserve"> </w:t>
            </w:r>
          </w:p>
          <w:p w14:paraId="5449B494" w14:textId="77777777" w:rsidR="00EA3E55" w:rsidRDefault="00EA3E55" w:rsidP="00EA3E55">
            <w:pPr>
              <w:pStyle w:val="Sraopastraipa"/>
              <w:ind w:left="1080"/>
              <w:jc w:val="both"/>
              <w:rPr>
                <w:lang w:val="lt-LT"/>
              </w:rPr>
            </w:pPr>
          </w:p>
          <w:p w14:paraId="21920D97" w14:textId="6457B8F1" w:rsidR="008F552A" w:rsidRPr="00EA3E55" w:rsidRDefault="008F552A">
            <w:pPr>
              <w:pStyle w:val="Sraopastraipa"/>
              <w:numPr>
                <w:ilvl w:val="1"/>
                <w:numId w:val="24"/>
              </w:numPr>
              <w:jc w:val="both"/>
              <w:rPr>
                <w:b/>
                <w:bCs/>
              </w:rPr>
            </w:pPr>
            <w:r>
              <w:rPr>
                <w:b/>
              </w:rPr>
              <w:t xml:space="preserve">Preparation of interim reports and data on passenger numbers:</w:t>
            </w:r>
          </w:p>
          <w:p w14:paraId="2345CC05" w14:textId="77777777" w:rsidR="00EA3E55" w:rsidRPr="00EA3E55" w:rsidRDefault="00EA3E55" w:rsidP="00EA3E55">
            <w:pPr>
              <w:pStyle w:val="Sraopastraipa"/>
              <w:jc w:val="both"/>
              <w:rPr>
                <w:b/>
                <w:bCs/>
                <w:lang w:val="lt-LT"/>
              </w:rPr>
            </w:pPr>
          </w:p>
          <w:p w14:paraId="455BB846" w14:textId="77777777" w:rsidR="00A612DD" w:rsidRDefault="00A612DD" w:rsidP="001E4A85">
            <w:pPr>
              <w:pStyle w:val="Sraopastraipa"/>
              <w:numPr>
                <w:ilvl w:val="2"/>
                <w:numId w:val="24"/>
              </w:numPr>
              <w:jc w:val="both"/>
            </w:pPr>
            <w:r>
              <w:t xml:space="preserve">Submit an interim campaign report halfway through the planned campaign.</w:t>
            </w:r>
          </w:p>
          <w:p w14:paraId="075B97F4" w14:textId="77777777" w:rsidR="00EA3E55" w:rsidRDefault="00C46E40" w:rsidP="007D7DBF">
            <w:pPr>
              <w:pStyle w:val="Sraopastraipa"/>
              <w:numPr>
                <w:ilvl w:val="2"/>
                <w:numId w:val="24"/>
              </w:numPr>
              <w:jc w:val="both"/>
            </w:pPr>
            <w:r>
              <w:t xml:space="preserve">Submit the following:</w:t>
            </w:r>
            <w:r>
              <w:t xml:space="preserve"> </w:t>
            </w:r>
          </w:p>
          <w:p w14:paraId="1531F189" w14:textId="77777777" w:rsidR="00EA3E55" w:rsidRDefault="00C46E40" w:rsidP="00EA3E55">
            <w:pPr>
              <w:pStyle w:val="Sraopastraipa"/>
              <w:ind w:left="1080"/>
              <w:jc w:val="both"/>
            </w:pPr>
            <w:r>
              <w:t xml:space="preserve">1) digital advertising reach and visibility indicators (ad impressions, number of unique users reached, frequency),</w:t>
            </w:r>
            <w:r>
              <w:t xml:space="preserve"> </w:t>
            </w:r>
          </w:p>
          <w:p w14:paraId="6F6FD4FD" w14:textId="03293462" w:rsidR="00EA3E55" w:rsidRDefault="00C46E40" w:rsidP="00EA3E55">
            <w:pPr>
              <w:pStyle w:val="Sraopastraipa"/>
              <w:ind w:left="1080"/>
              <w:jc w:val="both"/>
            </w:pPr>
            <w:r>
              <w:t xml:space="preserve">2) engagement metrics (clicks, click-through rate (CTR), engagement percentage, etc.)</w:t>
            </w:r>
            <w:r>
              <w:t xml:space="preserve"> </w:t>
            </w:r>
          </w:p>
          <w:p w14:paraId="32999B03" w14:textId="77777777" w:rsidR="00EA3E55" w:rsidRPr="007C5B29" w:rsidRDefault="00C46E40" w:rsidP="00EA3E55">
            <w:pPr>
              <w:pStyle w:val="Sraopastraipa"/>
              <w:ind w:left="1080"/>
              <w:jc w:val="both"/>
            </w:pPr>
            <w:r>
              <w:t xml:space="preserve">3) price indicators (price per click, price per expected number of impressions),</w:t>
            </w:r>
            <w:r>
              <w:t xml:space="preserve"> </w:t>
            </w:r>
          </w:p>
          <w:p w14:paraId="36C0994A" w14:textId="429FE4C2" w:rsidR="00C62D00" w:rsidRPr="007C5B29" w:rsidRDefault="00C62D00" w:rsidP="00EA3E55">
            <w:pPr>
              <w:pStyle w:val="Sraopastraipa"/>
              <w:ind w:left="1080"/>
              <w:jc w:val="both"/>
            </w:pPr>
            <w:r>
              <w:t xml:space="preserve">4) the number of tourists who came because of the campaign,</w:t>
            </w:r>
            <w:r>
              <w:t xml:space="preserve"> </w:t>
            </w:r>
          </w:p>
          <w:p w14:paraId="5167788E" w14:textId="28034311" w:rsidR="00C46E40" w:rsidRDefault="00C62D00" w:rsidP="00EA3E55">
            <w:pPr>
              <w:pStyle w:val="Sraopastraipa"/>
              <w:ind w:left="1080"/>
              <w:jc w:val="both"/>
            </w:pPr>
            <w:r>
              <w:t xml:space="preserve">5) indicators for other measures proposed in the media plan, if such measures are proposed.</w:t>
            </w:r>
            <w:r>
              <w:t xml:space="preserve"> </w:t>
            </w:r>
          </w:p>
          <w:p w14:paraId="5B0866D9" w14:textId="77777777" w:rsidR="00EA3E55" w:rsidRPr="00EA3E55" w:rsidRDefault="00EA3E55" w:rsidP="00EA3E55">
            <w:pPr>
              <w:pStyle w:val="Sraopastraipa"/>
              <w:ind w:left="1080"/>
              <w:jc w:val="both"/>
              <w:rPr>
                <w:lang w:val="lt-LT"/>
              </w:rPr>
            </w:pPr>
          </w:p>
          <w:p w14:paraId="2F325648" w14:textId="0955B73D" w:rsidR="00485818" w:rsidRPr="00EA3E55" w:rsidRDefault="00485818" w:rsidP="00EA3E55">
            <w:pPr>
              <w:pStyle w:val="Sraopastraipa"/>
              <w:numPr>
                <w:ilvl w:val="1"/>
                <w:numId w:val="24"/>
              </w:numPr>
              <w:jc w:val="both"/>
              <w:rPr>
                <w:b/>
                <w:bCs/>
              </w:rPr>
            </w:pPr>
            <w:r>
              <w:rPr>
                <w:b/>
              </w:rPr>
              <w:t xml:space="preserve">Preparation of the final campaign report:</w:t>
            </w:r>
          </w:p>
          <w:p w14:paraId="16EF73CF" w14:textId="77777777" w:rsidR="00EA3E55" w:rsidRPr="00EA3E55" w:rsidRDefault="00EA3E55" w:rsidP="00EA3E55">
            <w:pPr>
              <w:pStyle w:val="Sraopastraipa"/>
              <w:jc w:val="both"/>
              <w:rPr>
                <w:b/>
                <w:bCs/>
                <w:lang w:val="lt-LT"/>
              </w:rPr>
            </w:pPr>
          </w:p>
          <w:p w14:paraId="6AB92FA4" w14:textId="77777777" w:rsidR="00A612DD" w:rsidRPr="00787317" w:rsidRDefault="00A612DD" w:rsidP="001E4A85">
            <w:pPr>
              <w:pStyle w:val="Sraopastraipa"/>
              <w:numPr>
                <w:ilvl w:val="2"/>
                <w:numId w:val="24"/>
              </w:numPr>
              <w:jc w:val="both"/>
            </w:pPr>
            <w:r>
              <w:t xml:space="preserve">Submit a detailed report on the entire campaign within 30 calendar days after the end of the campaign.</w:t>
            </w:r>
          </w:p>
          <w:p w14:paraId="5D659B17" w14:textId="51C3BBFE" w:rsidR="00A612DD" w:rsidRPr="00931B01" w:rsidRDefault="00A612DD" w:rsidP="001E4A85">
            <w:pPr>
              <w:pStyle w:val="Sraopastraipa"/>
              <w:numPr>
                <w:ilvl w:val="2"/>
                <w:numId w:val="24"/>
              </w:numPr>
              <w:jc w:val="both"/>
            </w:pPr>
            <w:r>
              <w:t xml:space="preserve">Within 30 calendar days after the end of the campaign, submit the indicators specified in clause 3.4.2 and the following: the number of searches for trips to Vilnius during and after the campaign and a comparison with the previous period, the number of trips purchased and tourists, economic benefits to the city (in euros), as well as the return on investment (ROI) indicator, specifying the investment and return per tourist attracted.</w:t>
            </w:r>
          </w:p>
          <w:p w14:paraId="1DFBAC81" w14:textId="58D320F5" w:rsidR="00A612DD" w:rsidRPr="007C5B29" w:rsidRDefault="00A612DD" w:rsidP="001E4A85">
            <w:pPr>
              <w:pStyle w:val="Sraopastraipa"/>
              <w:numPr>
                <w:ilvl w:val="2"/>
                <w:numId w:val="24"/>
              </w:numPr>
              <w:jc w:val="both"/>
            </w:pPr>
            <w:r>
              <w:t xml:space="preserve">In order to monitor the long-term impact of the campaign, the Supplier will be asked to provide additional tourist statistics and breakdowns for the 3 months following the campaign period, in accordance with point 3.5.2.</w:t>
            </w:r>
          </w:p>
          <w:p w14:paraId="151E4F67" w14:textId="25BAB527" w:rsidR="004641CF" w:rsidRPr="002623B5" w:rsidRDefault="004641CF" w:rsidP="00EA3E55">
            <w:pPr>
              <w:pStyle w:val="Sraopastraipa"/>
              <w:ind w:left="1080"/>
              <w:jc w:val="both"/>
              <w:textAlignment w:val="baseline"/>
              <w:rPr>
                <w:color w:val="FF0000"/>
                <w:lang w:val="lt-LT"/>
              </w:rPr>
            </w:pPr>
          </w:p>
        </w:tc>
      </w:tr>
      <w:tr w:rsidR="00ED4527" w:rsidRPr="002A38CC" w14:paraId="5FF82027"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664B172" w14:textId="62F6727B" w:rsidR="00175910" w:rsidRPr="002A38CC" w:rsidRDefault="00ED4527" w:rsidP="001E4A85">
            <w:pPr>
              <w:pStyle w:val="Sraopastraipa"/>
              <w:numPr>
                <w:ilvl w:val="0"/>
                <w:numId w:val="24"/>
              </w:numPr>
              <w:rPr>
                <w:b/>
              </w:rPr>
            </w:pPr>
            <w:r>
              <w:rPr>
                <w:b/>
              </w:rPr>
              <w:t xml:space="preserve">PLACE OF PERFORMANCE OF THE SERVICES</w:t>
            </w:r>
          </w:p>
        </w:tc>
      </w:tr>
      <w:tr w:rsidR="00ED4527" w:rsidRPr="002A38CC" w14:paraId="2491BBEA" w14:textId="77777777" w:rsidTr="00FA1D2F">
        <w:trPr>
          <w:trHeight w:val="206"/>
        </w:trPr>
        <w:tc>
          <w:tcPr>
            <w:tcW w:w="9350" w:type="dxa"/>
            <w:tcBorders>
              <w:top w:val="single" w:sz="4" w:space="0" w:color="auto"/>
              <w:left w:val="single" w:sz="4" w:space="0" w:color="auto"/>
              <w:bottom w:val="single" w:sz="4" w:space="0" w:color="auto"/>
              <w:right w:val="single" w:sz="4" w:space="0" w:color="auto"/>
            </w:tcBorders>
            <w:hideMark/>
          </w:tcPr>
          <w:p w14:paraId="4CF66BC8" w14:textId="7A5C233C" w:rsidR="00175910" w:rsidRPr="002A38CC" w:rsidRDefault="001E2EA0" w:rsidP="001E4A85">
            <w:pPr>
              <w:pStyle w:val="Sraopastraipa"/>
              <w:numPr>
                <w:ilvl w:val="1"/>
                <w:numId w:val="24"/>
              </w:numPr>
              <w:ind w:left="0" w:firstLine="164"/>
              <w:jc w:val="both"/>
              <w:rPr>
                <w:i/>
              </w:rPr>
            </w:pPr>
            <w:r>
              <w:t xml:space="preserve">Gynėjų str. 16, Vilnius (remote presentation and discussion).</w:t>
            </w:r>
          </w:p>
        </w:tc>
      </w:tr>
      <w:tr w:rsidR="00ED4527" w:rsidRPr="002A38CC" w14:paraId="65402B64"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2A38CC" w:rsidRDefault="00175910" w:rsidP="001E4A85">
            <w:pPr>
              <w:pStyle w:val="Sraopastraipa"/>
              <w:numPr>
                <w:ilvl w:val="0"/>
                <w:numId w:val="24"/>
              </w:numPr>
              <w:rPr>
                <w:b/>
              </w:rPr>
            </w:pPr>
            <w:r>
              <w:rPr>
                <w:b/>
              </w:rPr>
              <w:t xml:space="preserve">PROCEDURES AND DEADLINES FOR THE PERFORMANCE OF THE SERVICES</w:t>
            </w:r>
          </w:p>
        </w:tc>
      </w:tr>
      <w:tr w:rsidR="00ED4527" w:rsidRPr="002A38CC" w14:paraId="696EDF92" w14:textId="77777777" w:rsidTr="00770369">
        <w:trPr>
          <w:trHeight w:val="602"/>
        </w:trPr>
        <w:tc>
          <w:tcPr>
            <w:tcW w:w="9350" w:type="dxa"/>
            <w:tcBorders>
              <w:top w:val="single" w:sz="4" w:space="0" w:color="auto"/>
              <w:left w:val="single" w:sz="4" w:space="0" w:color="auto"/>
              <w:bottom w:val="single" w:sz="4" w:space="0" w:color="auto"/>
              <w:right w:val="single" w:sz="4" w:space="0" w:color="auto"/>
            </w:tcBorders>
          </w:tcPr>
          <w:p w14:paraId="6F269D83" w14:textId="6755F1B5" w:rsidR="001E2EA0" w:rsidRPr="002A38CC" w:rsidRDefault="001E2EA0" w:rsidP="008135CE">
            <w:pPr>
              <w:pStyle w:val="Sraopastraipa"/>
              <w:numPr>
                <w:ilvl w:val="1"/>
                <w:numId w:val="24"/>
              </w:numPr>
              <w:jc w:val="both"/>
            </w:pPr>
            <w:r>
              <w:t xml:space="preserve">Upon receiving an order, the Supplier must respond within 24 business hours and confirm receipt of the request.</w:t>
            </w:r>
            <w:r>
              <w:t xml:space="preserve"> </w:t>
            </w:r>
          </w:p>
          <w:p w14:paraId="2625AD7D" w14:textId="74B4442F" w:rsidR="00DD50BF" w:rsidRPr="006160BF" w:rsidRDefault="001E2EA0" w:rsidP="008135CE">
            <w:pPr>
              <w:pStyle w:val="Sraopastraipa"/>
              <w:numPr>
                <w:ilvl w:val="1"/>
                <w:numId w:val="24"/>
              </w:numPr>
              <w:jc w:val="both"/>
            </w:pPr>
            <w:r>
              <w:t xml:space="preserve">The Buyer shall submit the order to the Supplier by e-mail, specifying the following information: markets and cities targeted by the campaign, preliminary start and end dates of the campaign.</w:t>
            </w:r>
          </w:p>
          <w:p w14:paraId="796913C2" w14:textId="771FC8B9" w:rsidR="00F94F7B" w:rsidRDefault="004051B5" w:rsidP="008135CE">
            <w:pPr>
              <w:pStyle w:val="Sraopastraipa"/>
              <w:numPr>
                <w:ilvl w:val="1"/>
                <w:numId w:val="24"/>
              </w:numPr>
              <w:jc w:val="both"/>
            </w:pPr>
            <w:r>
              <w:t xml:space="preserve">The Supplier must prepare a campaign strategy for each market separately within 10 working days from the date of receipt of the order confirmation.</w:t>
            </w:r>
          </w:p>
          <w:p w14:paraId="7E9D5F53" w14:textId="2B084DE3" w:rsidR="004051B5" w:rsidRPr="00F94F7B" w:rsidRDefault="00CC0443" w:rsidP="008135CE">
            <w:pPr>
              <w:pStyle w:val="Sraopastraipa"/>
              <w:numPr>
                <w:ilvl w:val="1"/>
                <w:numId w:val="24"/>
              </w:numPr>
              <w:jc w:val="both"/>
            </w:pPr>
            <w:r>
              <w:t xml:space="preserve">The Supplier must draw up a media plan within 10 working days of the strategy being approved.</w:t>
            </w:r>
            <w:r>
              <w:t xml:space="preserve"> </w:t>
            </w:r>
            <w:r>
              <w:t xml:space="preserve">A period of 10 working days from the date of the initial proposal is allocated for correction and approval.</w:t>
            </w:r>
            <w:r>
              <w:t xml:space="preserve"> </w:t>
            </w:r>
            <w:r>
              <w:t xml:space="preserve">By agreement between the Supplier and the Buyer, the deadline may be extended by up to 5 days by email.</w:t>
            </w:r>
          </w:p>
          <w:p w14:paraId="37759643" w14:textId="3DA84300" w:rsidR="001E2EA0" w:rsidRPr="00704539" w:rsidRDefault="0064694F" w:rsidP="008135CE">
            <w:pPr>
              <w:pStyle w:val="Sraopastraipa"/>
              <w:numPr>
                <w:ilvl w:val="1"/>
                <w:numId w:val="24"/>
              </w:numPr>
              <w:jc w:val="both"/>
            </w:pPr>
            <w:r>
              <w:t xml:space="preserve">The estimate for services and more detailed terms shall be agreed with the Buyer prior to the performance of services.</w:t>
            </w:r>
            <w:r>
              <w:t xml:space="preserve"> </w:t>
            </w:r>
            <w:r>
              <w:t xml:space="preserve">Terms may be extended in agreement with the Buyer or at the Buyer's initiative in order to find the best solutions (e.g., the most appropriate time to show advertisements to tourists or plan a trip).</w:t>
            </w:r>
          </w:p>
          <w:p w14:paraId="08B93C8D" w14:textId="77777777" w:rsidR="008135CE" w:rsidRPr="00704539" w:rsidRDefault="006614F3" w:rsidP="008135CE">
            <w:pPr>
              <w:pStyle w:val="Sraopastraipa"/>
              <w:numPr>
                <w:ilvl w:val="1"/>
                <w:numId w:val="24"/>
              </w:numPr>
              <w:jc w:val="both"/>
            </w:pPr>
            <w:r>
              <w:t xml:space="preserve">After agreeing on the media plan, the Buyer shall provide the Supplier with all the necessary materials for the campaign.</w:t>
            </w:r>
          </w:p>
          <w:p w14:paraId="4F0F2BC1" w14:textId="0477F330" w:rsidR="008135CE" w:rsidRPr="00704539" w:rsidRDefault="008135CE" w:rsidP="008135CE">
            <w:pPr>
              <w:pStyle w:val="Sraopastraipa"/>
              <w:numPr>
                <w:ilvl w:val="1"/>
                <w:numId w:val="24"/>
              </w:numPr>
              <w:jc w:val="both"/>
            </w:pPr>
            <w:r>
              <w:t xml:space="preserve">The Supplier, in agreement with the Buyer, shall have the right to engage third parties to provide services.</w:t>
            </w:r>
            <w:r>
              <w:t xml:space="preserve"> </w:t>
            </w:r>
            <w:r>
              <w:t xml:space="preserve">The Service fees must include all taxes and other costs incurred by the Supplier in connection with the provision of the Services.</w:t>
            </w:r>
            <w:r>
              <w:t xml:space="preserve"> </w:t>
            </w:r>
            <w:r>
              <w:t xml:space="preserve">The Supplier must submit third-party documents supporting the expenses together with the invoice.</w:t>
            </w:r>
            <w:r>
              <w:t xml:space="preserve"> </w:t>
            </w:r>
            <w:r>
              <w:t xml:space="preserve">Costs relating to other activities of the Supplier or to the Supplier's activities under other orders shall be borne by the Supplier.</w:t>
            </w:r>
          </w:p>
          <w:p w14:paraId="36B04CF6" w14:textId="77777777" w:rsidR="00442048" w:rsidRPr="00704539" w:rsidRDefault="006D01AC" w:rsidP="008135CE">
            <w:pPr>
              <w:pStyle w:val="Sraopastraipa"/>
              <w:numPr>
                <w:ilvl w:val="1"/>
                <w:numId w:val="24"/>
              </w:numPr>
              <w:jc w:val="both"/>
            </w:pPr>
            <w:r>
              <w:t xml:space="preserve"> </w:t>
            </w:r>
            <w:r>
              <w:t xml:space="preserve">The Supplier shall be responsible for the quality of the Services specified in the Buyer's order in accordance with the agreed deadlines.</w:t>
            </w:r>
            <w:r>
              <w:t xml:space="preserve"> </w:t>
            </w:r>
          </w:p>
          <w:p w14:paraId="2485413A" w14:textId="15202DE1" w:rsidR="00442048" w:rsidRPr="002A38CC" w:rsidRDefault="00442048" w:rsidP="008135CE">
            <w:pPr>
              <w:pStyle w:val="Sraopastraipa"/>
              <w:numPr>
                <w:ilvl w:val="1"/>
                <w:numId w:val="24"/>
              </w:numPr>
              <w:jc w:val="both"/>
            </w:pPr>
            <w:r>
              <w:t xml:space="preserve">The Supplier must coordinate all service performance solutions with the Buyer and correct any defects caused by its fault at its own expense within 3 days. Services performed by the Supplier on its own initiative, without coordination with the Buyer, shall not be considered part of the agreement and shall not be paid for.</w:t>
            </w:r>
          </w:p>
          <w:p w14:paraId="04CC732A" w14:textId="7E3F9D94" w:rsidR="008725D4" w:rsidRPr="002A38CC" w:rsidRDefault="00442048" w:rsidP="008135CE">
            <w:pPr>
              <w:pStyle w:val="Sraopastraipa"/>
              <w:numPr>
                <w:ilvl w:val="1"/>
                <w:numId w:val="24"/>
              </w:numPr>
              <w:jc w:val="both"/>
            </w:pPr>
            <w:r>
              <w:t xml:space="preserve">The Supplier shall submit a VAT invoice for the Services provided and accepted during the previous month by the 6th day of the month.</w:t>
            </w:r>
            <w:r>
              <w:t xml:space="preserve"> </w:t>
            </w:r>
            <w:r>
              <w:t xml:space="preserve">Each Service must be listed on a separate line.</w:t>
            </w:r>
            <w:r>
              <w:t xml:space="preserve"> </w:t>
            </w:r>
            <w:r>
              <w:t xml:space="preserve">The Supplier will also be required to submit third-party documents supporting the expenses together with the invoice.</w:t>
            </w:r>
            <w:r>
              <w:t xml:space="preserve"> </w:t>
            </w:r>
            <w:r>
              <w:t xml:space="preserve">Costs relating to other activities of the Supplier or to the Supplier's activities under other orders shall be borne by the Supplier.</w:t>
            </w:r>
          </w:p>
          <w:p w14:paraId="0A6540AD" w14:textId="6B0F7D17" w:rsidR="00AA0261" w:rsidRPr="009E16E2" w:rsidRDefault="00AA0261" w:rsidP="008135CE">
            <w:pPr>
              <w:pStyle w:val="Sraopastraipa"/>
              <w:numPr>
                <w:ilvl w:val="1"/>
                <w:numId w:val="24"/>
              </w:numPr>
              <w:jc w:val="both"/>
            </w:pPr>
            <w:r>
              <w:t xml:space="preserve">The Buyer must pay the invoice within 30 calendar days.</w:t>
            </w:r>
          </w:p>
        </w:tc>
      </w:tr>
      <w:tr w:rsidR="00ED4527" w:rsidRPr="002A38CC" w14:paraId="27ACD223"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22C365D6" w:rsidR="00ED4527" w:rsidRPr="002A38CC" w:rsidRDefault="00442048" w:rsidP="001E4A85">
            <w:pPr>
              <w:pStyle w:val="Sraopastraipa"/>
              <w:numPr>
                <w:ilvl w:val="0"/>
                <w:numId w:val="24"/>
              </w:numPr>
              <w:rPr>
                <w:b/>
              </w:rPr>
            </w:pPr>
            <w:r>
              <w:rPr>
                <w:b/>
              </w:rPr>
              <w:t xml:space="preserve">ADVANCE PAYMENT</w:t>
            </w:r>
          </w:p>
        </w:tc>
      </w:tr>
      <w:tr w:rsidR="0085555D" w:rsidRPr="002A38CC" w14:paraId="5841A545"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tcPr>
          <w:p w14:paraId="5FE4669E" w14:textId="7F42BC5D" w:rsidR="009C1842" w:rsidRPr="002A38CC" w:rsidRDefault="00FE3340" w:rsidP="001E4A85">
            <w:pPr>
              <w:pStyle w:val="Sraopastraipa"/>
              <w:numPr>
                <w:ilvl w:val="1"/>
                <w:numId w:val="24"/>
              </w:numPr>
              <w:ind w:left="0" w:firstLine="164"/>
              <w:jc w:val="both"/>
              <w:rPr>
                <w:b/>
                <w:bCs/>
                <w:color w:val="000000"/>
              </w:rPr>
            </w:pPr>
            <w:r>
              <w:t xml:space="preserve">No advance payment will be made; payment may be made for part of the services provided in accordance with the services specified in clause 2.</w:t>
            </w:r>
          </w:p>
        </w:tc>
      </w:tr>
      <w:tr w:rsidR="0085555D" w:rsidRPr="002A38CC" w14:paraId="1A73BDED"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tcPr>
          <w:p w14:paraId="4A40290D" w14:textId="513AE061" w:rsidR="0085555D" w:rsidRPr="002A38CC" w:rsidRDefault="00314315" w:rsidP="001E4A85">
            <w:pPr>
              <w:pStyle w:val="Sraopastraipa"/>
              <w:numPr>
                <w:ilvl w:val="0"/>
                <w:numId w:val="24"/>
              </w:numPr>
              <w:rPr>
                <w:b/>
              </w:rPr>
            </w:pPr>
            <w:r>
              <w:rPr>
                <w:b/>
              </w:rPr>
              <w:t xml:space="preserve">CONTEXT OF THE COMPETITION TASK</w:t>
            </w:r>
          </w:p>
        </w:tc>
      </w:tr>
      <w:tr w:rsidR="0085555D" w:rsidRPr="002A38CC" w14:paraId="6E39DECE" w14:textId="77777777" w:rsidTr="00770369">
        <w:trPr>
          <w:trHeight w:val="241"/>
        </w:trPr>
        <w:tc>
          <w:tcPr>
            <w:tcW w:w="9350" w:type="dxa"/>
            <w:tcBorders>
              <w:top w:val="single" w:sz="4" w:space="0" w:color="auto"/>
              <w:left w:val="single" w:sz="4" w:space="0" w:color="auto"/>
              <w:bottom w:val="single" w:sz="4" w:space="0" w:color="auto"/>
              <w:right w:val="single" w:sz="4" w:space="0" w:color="auto"/>
            </w:tcBorders>
            <w:hideMark/>
          </w:tcPr>
          <w:p w14:paraId="1F041725" w14:textId="77777777" w:rsidR="00522FF4" w:rsidRPr="00522FF4" w:rsidRDefault="00522FF4" w:rsidP="00522FF4">
            <w:pPr>
              <w:pStyle w:val="Sraopastraipa"/>
              <w:numPr>
                <w:ilvl w:val="1"/>
                <w:numId w:val="24"/>
              </w:numPr>
              <w:jc w:val="both"/>
            </w:pPr>
            <w:r>
              <w:t xml:space="preserve">VšĮ Go Vilnius works with target tourism markets:</w:t>
            </w:r>
            <w:r>
              <w:t xml:space="preserve"> </w:t>
            </w:r>
            <w:r>
              <w:t xml:space="preserve">Poland, the United Kingdom, the Netherlands, Germany, and the list may expand in the future.</w:t>
            </w:r>
            <w:r>
              <w:t xml:space="preserve"> </w:t>
            </w:r>
            <w:r>
              <w:t xml:space="preserve">The main objective is to attract tourists from these markets.</w:t>
            </w:r>
          </w:p>
          <w:p w14:paraId="1D29F8C8" w14:textId="7AF8A6A7" w:rsidR="00314315" w:rsidRPr="002A38CC" w:rsidRDefault="00522FF4" w:rsidP="00522FF4">
            <w:pPr>
              <w:pStyle w:val="Sraopastraipa"/>
              <w:numPr>
                <w:ilvl w:val="1"/>
                <w:numId w:val="24"/>
              </w:numPr>
              <w:jc w:val="both"/>
              <w:rPr>
                <w:i/>
                <w:iCs/>
              </w:rPr>
            </w:pPr>
            <w:r>
              <w:t xml:space="preserve">One of the strategic goals of VšĮ Go Vilnius is to increase demand for flights from airports that are strategically important for tourism and business in order to achieve the highest possible flight occupancy rates and, at the same time, a growing number of tourists in Vilnius.</w:t>
            </w:r>
          </w:p>
        </w:tc>
      </w:tr>
      <w:tr w:rsidR="00314315" w:rsidRPr="002A38CC" w14:paraId="1A734DA5" w14:textId="77777777" w:rsidTr="00770369">
        <w:trPr>
          <w:trHeight w:val="265"/>
        </w:trPr>
        <w:tc>
          <w:tcPr>
            <w:tcW w:w="9350" w:type="dxa"/>
          </w:tcPr>
          <w:p w14:paraId="0525E949" w14:textId="01D412C0" w:rsidR="00314315" w:rsidRPr="002A38CC" w:rsidRDefault="00314315" w:rsidP="001E4A85">
            <w:pPr>
              <w:pStyle w:val="Sraopastraipa"/>
              <w:numPr>
                <w:ilvl w:val="0"/>
                <w:numId w:val="24"/>
              </w:numPr>
              <w:rPr>
                <w:b/>
              </w:rPr>
            </w:pPr>
            <w:r>
              <w:rPr>
                <w:b/>
              </w:rPr>
              <w:t xml:space="preserve">TENDER TASK</w:t>
            </w:r>
          </w:p>
        </w:tc>
      </w:tr>
      <w:tr w:rsidR="00314315" w:rsidRPr="002A38CC" w14:paraId="561D4D27" w14:textId="77777777" w:rsidTr="002F1CBB">
        <w:trPr>
          <w:trHeight w:val="629"/>
        </w:trPr>
        <w:tc>
          <w:tcPr>
            <w:tcW w:w="9350" w:type="dxa"/>
            <w:hideMark/>
          </w:tcPr>
          <w:p w14:paraId="346046D2" w14:textId="4FF12F55" w:rsidR="002227AE" w:rsidRPr="002227AE" w:rsidRDefault="003A0271" w:rsidP="002227AE">
            <w:pPr>
              <w:pStyle w:val="Sraopastraipa"/>
              <w:numPr>
                <w:ilvl w:val="1"/>
                <w:numId w:val="24"/>
              </w:numPr>
              <w:jc w:val="both"/>
            </w:pPr>
            <w:r>
              <w:rPr>
                <w:b/>
                <w:bCs/>
              </w:rPr>
              <w:t xml:space="preserve">The task is to prepare a detailed advertising campaign strategy for the travel booking and technology platform</w:t>
            </w:r>
            <w:r>
              <w:t xml:space="preserve"> (in accordance with clause 3.2 of the technical specifications) </w:t>
            </w:r>
            <w:r>
              <w:rPr>
                <w:b/>
                <w:bCs/>
              </w:rPr>
              <w:t xml:space="preserve">and a media plan</w:t>
            </w:r>
            <w:r>
              <w:t xml:space="preserve"> (in accordance with clause 3.3 of the technical specifications) for the London-Vilnius route.</w:t>
            </w:r>
          </w:p>
          <w:p w14:paraId="6C89C7EB" w14:textId="15F512F0" w:rsidR="002227AE" w:rsidRPr="003A22F9" w:rsidRDefault="002227AE" w:rsidP="002227AE">
            <w:pPr>
              <w:pStyle w:val="Sraopastraipa"/>
              <w:numPr>
                <w:ilvl w:val="1"/>
                <w:numId w:val="24"/>
              </w:numPr>
              <w:jc w:val="both"/>
            </w:pPr>
            <w:r>
              <w:t xml:space="preserve">Target audience – residents of London and the surrounding region, British citizens, people aged 20-50 with average and higher incomes, looking for convenient transport options, who more often use traditional (not low-cost) airlines, enjoy traveling, and are interested in weekend trips.</w:t>
            </w:r>
          </w:p>
          <w:p w14:paraId="7CC77635" w14:textId="28B58524" w:rsidR="002227AE" w:rsidRPr="003A22F9" w:rsidRDefault="002227AE" w:rsidP="002227AE">
            <w:pPr>
              <w:pStyle w:val="Sraopastraipa"/>
              <w:numPr>
                <w:ilvl w:val="1"/>
                <w:numId w:val="24"/>
              </w:numPr>
              <w:jc w:val="both"/>
            </w:pPr>
            <w:r>
              <w:t xml:space="preserve">The campaign will last for three months (either September–November or February–April), with an indicative budget of €60,000–90,000, including all taxes and expenses.</w:t>
            </w:r>
          </w:p>
          <w:p w14:paraId="0B0EC891" w14:textId="2FFBB0AE" w:rsidR="002227AE" w:rsidRPr="003A22F9" w:rsidRDefault="002227AE" w:rsidP="002227AE">
            <w:pPr>
              <w:pStyle w:val="Sraopastraipa"/>
              <w:numPr>
                <w:ilvl w:val="1"/>
                <w:numId w:val="24"/>
              </w:numPr>
              <w:jc w:val="both"/>
            </w:pPr>
            <w:r>
              <w:t xml:space="preserve">The advertising strategy and media plan are based on the assumption that there are at least five direct flights to Vilnius per week, and the campaign aims to increase awareness of direct flights from London to Vilnius, encourage people to consider travelling to Vilnius, and purchase airline tickets to Vilnius.</w:t>
            </w:r>
            <w:r>
              <w:t xml:space="preserve"> </w:t>
            </w:r>
          </w:p>
          <w:p w14:paraId="51311926" w14:textId="77777777" w:rsidR="002227AE" w:rsidRPr="003A22F9" w:rsidRDefault="002227AE" w:rsidP="002227AE">
            <w:pPr>
              <w:pStyle w:val="Sraopastraipa"/>
              <w:numPr>
                <w:ilvl w:val="1"/>
                <w:numId w:val="24"/>
              </w:numPr>
              <w:jc w:val="both"/>
            </w:pPr>
            <w:r>
              <w:t xml:space="preserve">The media plan must include the measures and budget broken down across all proposed advertising channels and a 3-month period.</w:t>
            </w:r>
          </w:p>
          <w:p w14:paraId="57D3481F" w14:textId="30B7FEE0" w:rsidR="002227AE" w:rsidRPr="002623B5" w:rsidRDefault="002227AE" w:rsidP="00795935">
            <w:pPr>
              <w:pStyle w:val="Sraopastraipa"/>
              <w:numPr>
                <w:ilvl w:val="1"/>
                <w:numId w:val="24"/>
              </w:numPr>
              <w:jc w:val="both"/>
            </w:pPr>
            <w:r>
              <w:rPr>
                <w:b/>
                <w:bCs/>
              </w:rPr>
              <w:t xml:space="preserve">Set campaign success metrics</w:t>
            </w:r>
            <w:r>
              <w:t xml:space="preserve">, such as the number of audiences reached through advertising channels, the number of clicks, the number of video views (if video is used), the number of conversions, number of flight searches, as well as indicate the planned impact of the campaign on the growth of demand for flights to Vilnius and the purchase of airline tickets during the campaign and 3 months after the campaign.</w:t>
            </w:r>
          </w:p>
          <w:p w14:paraId="5D8BC54F" w14:textId="23B95B1D" w:rsidR="00310D31" w:rsidRPr="008267CD" w:rsidRDefault="002227AE" w:rsidP="008267CD">
            <w:pPr>
              <w:pStyle w:val="Sraopastraipa"/>
              <w:numPr>
                <w:ilvl w:val="1"/>
                <w:numId w:val="24"/>
              </w:numPr>
              <w:jc w:val="both"/>
            </w:pPr>
            <w:r>
              <w:t xml:space="preserve">The campaign strategy and media plan are considered preliminary assessments, and their implementation is mandatory for both parties, except for those areas that the evaluation committee indicates as needing correction in its protocol.</w:t>
            </w:r>
          </w:p>
        </w:tc>
      </w:tr>
      <w:tr w:rsidR="009E16E2" w:rsidRPr="002A38CC" w14:paraId="706579A8" w14:textId="77777777" w:rsidTr="009E16E2">
        <w:trPr>
          <w:trHeight w:val="70"/>
        </w:trPr>
        <w:tc>
          <w:tcPr>
            <w:tcW w:w="9350" w:type="dxa"/>
          </w:tcPr>
          <w:p w14:paraId="257E112C" w14:textId="48683C4F" w:rsidR="009E16E2" w:rsidRPr="009E16E2" w:rsidRDefault="009E16E2" w:rsidP="001E4A85">
            <w:pPr>
              <w:pStyle w:val="Sraopastraipa"/>
              <w:numPr>
                <w:ilvl w:val="0"/>
                <w:numId w:val="24"/>
              </w:numPr>
              <w:rPr>
                <w:b/>
                <w:bCs/>
              </w:rPr>
            </w:pPr>
            <w:r>
              <w:rPr>
                <w:b/>
              </w:rPr>
              <w:t xml:space="preserve">ENVIRONMENTAL PROTECTION REQUIREMENT</w:t>
            </w:r>
          </w:p>
        </w:tc>
      </w:tr>
      <w:tr w:rsidR="009E16E2" w:rsidRPr="002A38CC" w14:paraId="26B9CB07" w14:textId="77777777" w:rsidTr="009E16E2">
        <w:trPr>
          <w:trHeight w:val="70"/>
        </w:trPr>
        <w:tc>
          <w:tcPr>
            <w:tcW w:w="9350" w:type="dxa"/>
          </w:tcPr>
          <w:p w14:paraId="19DE8ADA" w14:textId="77777777" w:rsidR="009E16E2" w:rsidRPr="009E16E2" w:rsidRDefault="009E16E2" w:rsidP="001E4A85">
            <w:pPr>
              <w:pStyle w:val="Sraopastraipa"/>
              <w:numPr>
                <w:ilvl w:val="1"/>
                <w:numId w:val="24"/>
              </w:numPr>
              <w:jc w:val="both"/>
              <w:rPr>
                <w:b/>
                <w:bCs/>
              </w:rPr>
            </w:pPr>
            <w:r>
              <w:t xml:space="preserve">The services are provided in accordance with sub-clause 4.4.3 of the description of the procedure for the application of environmental criteria in green procurement.</w:t>
            </w:r>
            <w:r w:rsidRPr="009E16E2">
              <w:rPr>
                <w:rStyle w:val="Puslapioinaosnuoroda"/>
                <w:caps/>
                <w:color w:val="000000"/>
                <w:lang w:val="lt-LT"/>
              </w:rPr>
              <w:footnoteReference w:id="1"/>
            </w:r>
          </w:p>
          <w:p w14:paraId="1F33F139" w14:textId="09818B2A" w:rsidR="009E16E2" w:rsidRPr="002A38CC" w:rsidRDefault="009E16E2" w:rsidP="001E4A85">
            <w:pPr>
              <w:pStyle w:val="Sraopastraipa"/>
              <w:numPr>
                <w:ilvl w:val="1"/>
                <w:numId w:val="24"/>
              </w:numPr>
              <w:jc w:val="both"/>
            </w:pPr>
            <w:r>
              <w:t xml:space="preserve">Electronic invoices conforming to the European Standard for Electronic Invoices shall be provided by means chosen by the Service provider.</w:t>
            </w:r>
            <w:r>
              <w:t xml:space="preserve"> </w:t>
            </w:r>
            <w:r>
              <w:t xml:space="preserve">Electronic invoices that do not comply with the European Standard for Electronic Invoicing must be submitted using the SABIS tools.</w:t>
            </w:r>
            <w:r>
              <w:t xml:space="preserve"> </w:t>
            </w:r>
            <w:hyperlink r:id="rId10" w:history="1">
              <w:r>
                <w:rPr>
                  <w:rStyle w:val="Hipersaitas"/>
                </w:rPr>
                <w:t xml:space="preserve">In the event of technical failures in the SABIS system and in the absence of the possibility to submit the accounts via SABIS, the accounts are submitted by email </w:t>
              </w:r>
            </w:hyperlink>
            <w:r>
              <w:t xml:space="preserve">info@govilnius.lt.</w:t>
            </w:r>
          </w:p>
        </w:tc>
      </w:tr>
    </w:tbl>
    <w:p w14:paraId="3D256FFC" w14:textId="77777777" w:rsidR="00175910" w:rsidRPr="002A38CC" w:rsidRDefault="00175910" w:rsidP="00175910"/>
    <w:sectPr w:rsidR="00175910" w:rsidRPr="002A38CC" w:rsidSect="00D9341D">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1314" w14:textId="77777777" w:rsidR="00435CBC" w:rsidRDefault="00435CBC" w:rsidP="009E16E2">
      <w:r>
        <w:separator/>
      </w:r>
    </w:p>
  </w:endnote>
  <w:endnote w:type="continuationSeparator" w:id="0">
    <w:p w14:paraId="69C7ADFA" w14:textId="77777777" w:rsidR="00435CBC" w:rsidRDefault="00435CBC" w:rsidP="009E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1B80" w14:textId="77777777" w:rsidR="00435CBC" w:rsidRDefault="00435CBC" w:rsidP="009E16E2">
      <w:r>
        <w:separator/>
      </w:r>
    </w:p>
  </w:footnote>
  <w:footnote w:type="continuationSeparator" w:id="0">
    <w:p w14:paraId="47B3CCF8" w14:textId="77777777" w:rsidR="00435CBC" w:rsidRDefault="00435CBC" w:rsidP="009E16E2">
      <w:r>
        <w:continuationSeparator/>
      </w:r>
    </w:p>
  </w:footnote>
  <w:footnote w:id="1">
    <w:p w14:paraId="49C4860D" w14:textId="77777777" w:rsidR="009E16E2" w:rsidRPr="00800777" w:rsidRDefault="009E16E2" w:rsidP="009E16E2">
      <w:pPr>
        <w:pStyle w:val="Puslapioinaostekstas"/>
        <w:jc w:val="both"/>
        <w:rPr>
          <w:sz w:val="18"/>
          <w:szCs w:val="18"/>
        </w:rPr>
      </w:pPr>
      <w:r>
        <w:rPr>
          <w:rStyle w:val="Puslapioinaosnuoroda"/>
          <w:sz w:val="18"/>
          <w:szCs w:val="18"/>
        </w:rPr>
        <w:footnoteRef/>
      </w:r>
      <w:r>
        <w:rPr>
          <w:sz w:val="18"/>
        </w:rPr>
        <w:t xml:space="preserve"> Order of the Minister of the Environment of the Republic of Lithuania No. D1-508 of 28 June 2011 “On the Approval of the List of Products for the Public Procurement and Procurement for which Environmental Criteria are to be Applied, Environmental Criteria and the Description of the Procedures for the Application of Environmental Criteria to be Applied by Contracting Organisations and Contracting Entities in the Procurement of Goods, Services and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9B7"/>
    <w:multiLevelType w:val="multilevel"/>
    <w:tmpl w:val="77F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54E8"/>
    <w:multiLevelType w:val="multilevel"/>
    <w:tmpl w:val="71F68874"/>
    <w:lvl w:ilvl="0">
      <w:start w:val="4"/>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656C0"/>
    <w:multiLevelType w:val="multilevel"/>
    <w:tmpl w:val="91EEFCF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25A4B"/>
    <w:multiLevelType w:val="multilevel"/>
    <w:tmpl w:val="45CC2E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9B20EC"/>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1D42526"/>
    <w:multiLevelType w:val="multilevel"/>
    <w:tmpl w:val="98B4D6AE"/>
    <w:lvl w:ilvl="0">
      <w:start w:val="3"/>
      <w:numFmt w:val="decimal"/>
      <w:lvlText w:val="%1."/>
      <w:lvlJc w:val="left"/>
      <w:pPr>
        <w:ind w:left="540" w:hanging="540"/>
      </w:pPr>
      <w:rPr>
        <w:rFonts w:eastAsia="Aptos Display" w:hint="default"/>
      </w:rPr>
    </w:lvl>
    <w:lvl w:ilvl="1">
      <w:start w:val="1"/>
      <w:numFmt w:val="decimal"/>
      <w:lvlText w:val="%1.%2."/>
      <w:lvlJc w:val="left"/>
      <w:pPr>
        <w:ind w:left="720" w:hanging="540"/>
      </w:pPr>
      <w:rPr>
        <w:rFonts w:eastAsia="Aptos Display" w:hint="default"/>
      </w:rPr>
    </w:lvl>
    <w:lvl w:ilvl="2">
      <w:start w:val="1"/>
      <w:numFmt w:val="decimal"/>
      <w:lvlText w:val="%1.%2.%3."/>
      <w:lvlJc w:val="left"/>
      <w:pPr>
        <w:ind w:left="1080" w:hanging="720"/>
      </w:pPr>
      <w:rPr>
        <w:rFonts w:eastAsia="Aptos Display" w:hint="default"/>
      </w:rPr>
    </w:lvl>
    <w:lvl w:ilvl="3">
      <w:start w:val="1"/>
      <w:numFmt w:val="decimal"/>
      <w:lvlText w:val="%1.%2.%3.%4."/>
      <w:lvlJc w:val="left"/>
      <w:pPr>
        <w:ind w:left="1260" w:hanging="720"/>
      </w:pPr>
      <w:rPr>
        <w:rFonts w:eastAsia="Aptos Display" w:hint="default"/>
      </w:rPr>
    </w:lvl>
    <w:lvl w:ilvl="4">
      <w:start w:val="1"/>
      <w:numFmt w:val="decimal"/>
      <w:lvlText w:val="%1.%2.%3.%4.%5."/>
      <w:lvlJc w:val="left"/>
      <w:pPr>
        <w:ind w:left="1800" w:hanging="1080"/>
      </w:pPr>
      <w:rPr>
        <w:rFonts w:eastAsia="Aptos Display" w:hint="default"/>
      </w:rPr>
    </w:lvl>
    <w:lvl w:ilvl="5">
      <w:start w:val="1"/>
      <w:numFmt w:val="decimal"/>
      <w:lvlText w:val="%1.%2.%3.%4.%5.%6."/>
      <w:lvlJc w:val="left"/>
      <w:pPr>
        <w:ind w:left="1980" w:hanging="1080"/>
      </w:pPr>
      <w:rPr>
        <w:rFonts w:eastAsia="Aptos Display" w:hint="default"/>
      </w:rPr>
    </w:lvl>
    <w:lvl w:ilvl="6">
      <w:start w:val="1"/>
      <w:numFmt w:val="decimal"/>
      <w:lvlText w:val="%1.%2.%3.%4.%5.%6.%7."/>
      <w:lvlJc w:val="left"/>
      <w:pPr>
        <w:ind w:left="2520" w:hanging="1440"/>
      </w:pPr>
      <w:rPr>
        <w:rFonts w:eastAsia="Aptos Display" w:hint="default"/>
      </w:rPr>
    </w:lvl>
    <w:lvl w:ilvl="7">
      <w:start w:val="1"/>
      <w:numFmt w:val="decimal"/>
      <w:lvlText w:val="%1.%2.%3.%4.%5.%6.%7.%8."/>
      <w:lvlJc w:val="left"/>
      <w:pPr>
        <w:ind w:left="2700" w:hanging="1440"/>
      </w:pPr>
      <w:rPr>
        <w:rFonts w:eastAsia="Aptos Display" w:hint="default"/>
      </w:rPr>
    </w:lvl>
    <w:lvl w:ilvl="8">
      <w:start w:val="1"/>
      <w:numFmt w:val="decimal"/>
      <w:lvlText w:val="%1.%2.%3.%4.%5.%6.%7.%8.%9."/>
      <w:lvlJc w:val="left"/>
      <w:pPr>
        <w:ind w:left="3240" w:hanging="1800"/>
      </w:pPr>
      <w:rPr>
        <w:rFonts w:eastAsia="Aptos Display" w:hint="default"/>
      </w:rPr>
    </w:lvl>
  </w:abstractNum>
  <w:abstractNum w:abstractNumId="6" w15:restartNumberingAfterBreak="0">
    <w:nsid w:val="1268437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340FBF"/>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9034B34"/>
    <w:multiLevelType w:val="multilevel"/>
    <w:tmpl w:val="803CEA24"/>
    <w:lvl w:ilvl="0">
      <w:start w:val="3"/>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F681EAD"/>
    <w:multiLevelType w:val="multilevel"/>
    <w:tmpl w:val="3A5089D2"/>
    <w:lvl w:ilvl="0">
      <w:start w:val="3"/>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0D645AB"/>
    <w:multiLevelType w:val="hybridMultilevel"/>
    <w:tmpl w:val="C7CC8E5C"/>
    <w:lvl w:ilvl="0" w:tplc="ED82354C">
      <w:start w:val="1"/>
      <w:numFmt w:val="bullet"/>
      <w:lvlText w:val=""/>
      <w:lvlJc w:val="left"/>
      <w:pPr>
        <w:ind w:left="720" w:hanging="360"/>
      </w:pPr>
      <w:rPr>
        <w:rFonts w:ascii="Symbol" w:hAnsi="Symbol" w:hint="default"/>
      </w:rPr>
    </w:lvl>
    <w:lvl w:ilvl="1" w:tplc="17E03844">
      <w:start w:val="1"/>
      <w:numFmt w:val="bullet"/>
      <w:lvlText w:val="o"/>
      <w:lvlJc w:val="left"/>
      <w:pPr>
        <w:ind w:left="1440" w:hanging="360"/>
      </w:pPr>
      <w:rPr>
        <w:rFonts w:ascii="Courier New" w:hAnsi="Courier New" w:hint="default"/>
      </w:rPr>
    </w:lvl>
    <w:lvl w:ilvl="2" w:tplc="FC946690">
      <w:start w:val="1"/>
      <w:numFmt w:val="bullet"/>
      <w:lvlText w:val=""/>
      <w:lvlJc w:val="left"/>
      <w:pPr>
        <w:ind w:left="2160" w:hanging="360"/>
      </w:pPr>
      <w:rPr>
        <w:rFonts w:ascii="Wingdings" w:hAnsi="Wingdings" w:hint="default"/>
      </w:rPr>
    </w:lvl>
    <w:lvl w:ilvl="3" w:tplc="11C8674C">
      <w:start w:val="1"/>
      <w:numFmt w:val="bullet"/>
      <w:lvlText w:val=""/>
      <w:lvlJc w:val="left"/>
      <w:pPr>
        <w:ind w:left="2880" w:hanging="360"/>
      </w:pPr>
      <w:rPr>
        <w:rFonts w:ascii="Symbol" w:hAnsi="Symbol" w:hint="default"/>
      </w:rPr>
    </w:lvl>
    <w:lvl w:ilvl="4" w:tplc="6DC8F42E">
      <w:start w:val="1"/>
      <w:numFmt w:val="bullet"/>
      <w:lvlText w:val="o"/>
      <w:lvlJc w:val="left"/>
      <w:pPr>
        <w:ind w:left="3600" w:hanging="360"/>
      </w:pPr>
      <w:rPr>
        <w:rFonts w:ascii="Courier New" w:hAnsi="Courier New" w:hint="default"/>
      </w:rPr>
    </w:lvl>
    <w:lvl w:ilvl="5" w:tplc="2E3E5AD2">
      <w:start w:val="1"/>
      <w:numFmt w:val="bullet"/>
      <w:lvlText w:val=""/>
      <w:lvlJc w:val="left"/>
      <w:pPr>
        <w:ind w:left="4320" w:hanging="360"/>
      </w:pPr>
      <w:rPr>
        <w:rFonts w:ascii="Wingdings" w:hAnsi="Wingdings" w:hint="default"/>
      </w:rPr>
    </w:lvl>
    <w:lvl w:ilvl="6" w:tplc="8132F7F2">
      <w:start w:val="1"/>
      <w:numFmt w:val="bullet"/>
      <w:lvlText w:val=""/>
      <w:lvlJc w:val="left"/>
      <w:pPr>
        <w:ind w:left="5040" w:hanging="360"/>
      </w:pPr>
      <w:rPr>
        <w:rFonts w:ascii="Symbol" w:hAnsi="Symbol" w:hint="default"/>
      </w:rPr>
    </w:lvl>
    <w:lvl w:ilvl="7" w:tplc="A6103B7C">
      <w:start w:val="1"/>
      <w:numFmt w:val="bullet"/>
      <w:lvlText w:val="o"/>
      <w:lvlJc w:val="left"/>
      <w:pPr>
        <w:ind w:left="5760" w:hanging="360"/>
      </w:pPr>
      <w:rPr>
        <w:rFonts w:ascii="Courier New" w:hAnsi="Courier New" w:hint="default"/>
      </w:rPr>
    </w:lvl>
    <w:lvl w:ilvl="8" w:tplc="86E809BC">
      <w:start w:val="1"/>
      <w:numFmt w:val="bullet"/>
      <w:lvlText w:val=""/>
      <w:lvlJc w:val="left"/>
      <w:pPr>
        <w:ind w:left="6480" w:hanging="360"/>
      </w:pPr>
      <w:rPr>
        <w:rFonts w:ascii="Wingdings" w:hAnsi="Wingdings" w:hint="default"/>
      </w:rPr>
    </w:lvl>
  </w:abstractNum>
  <w:abstractNum w:abstractNumId="11" w15:restartNumberingAfterBreak="0">
    <w:nsid w:val="3A9F28B0"/>
    <w:multiLevelType w:val="multilevel"/>
    <w:tmpl w:val="31A29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287022"/>
    <w:multiLevelType w:val="hybridMultilevel"/>
    <w:tmpl w:val="112886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1D111D"/>
    <w:multiLevelType w:val="multilevel"/>
    <w:tmpl w:val="8F761EE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49B7F44"/>
    <w:multiLevelType w:val="hybridMultilevel"/>
    <w:tmpl w:val="C996166A"/>
    <w:lvl w:ilvl="0" w:tplc="4B40408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93D1177"/>
    <w:multiLevelType w:val="multilevel"/>
    <w:tmpl w:val="45CC2E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AEB0B43"/>
    <w:multiLevelType w:val="multilevel"/>
    <w:tmpl w:val="7E46D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1266A5"/>
    <w:multiLevelType w:val="multilevel"/>
    <w:tmpl w:val="22E88FAA"/>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21520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6753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099815">
    <w:abstractNumId w:val="21"/>
  </w:num>
  <w:num w:numId="4" w16cid:durableId="1594391549">
    <w:abstractNumId w:val="20"/>
  </w:num>
  <w:num w:numId="5" w16cid:durableId="1251810162">
    <w:abstractNumId w:val="19"/>
  </w:num>
  <w:num w:numId="6" w16cid:durableId="1146781165">
    <w:abstractNumId w:val="16"/>
  </w:num>
  <w:num w:numId="7" w16cid:durableId="1051616960">
    <w:abstractNumId w:val="1"/>
  </w:num>
  <w:num w:numId="8" w16cid:durableId="852185803">
    <w:abstractNumId w:val="10"/>
  </w:num>
  <w:num w:numId="9" w16cid:durableId="2036033144">
    <w:abstractNumId w:val="24"/>
  </w:num>
  <w:num w:numId="10" w16cid:durableId="1414476108">
    <w:abstractNumId w:val="7"/>
  </w:num>
  <w:num w:numId="11" w16cid:durableId="1314145361">
    <w:abstractNumId w:val="2"/>
  </w:num>
  <w:num w:numId="12" w16cid:durableId="389382059">
    <w:abstractNumId w:val="8"/>
  </w:num>
  <w:num w:numId="13" w16cid:durableId="1757554764">
    <w:abstractNumId w:val="9"/>
  </w:num>
  <w:num w:numId="14" w16cid:durableId="1740712527">
    <w:abstractNumId w:val="14"/>
  </w:num>
  <w:num w:numId="15" w16cid:durableId="626203832">
    <w:abstractNumId w:val="17"/>
  </w:num>
  <w:num w:numId="16" w16cid:durableId="460535674">
    <w:abstractNumId w:val="6"/>
  </w:num>
  <w:num w:numId="17" w16cid:durableId="1532767991">
    <w:abstractNumId w:val="11"/>
  </w:num>
  <w:num w:numId="18" w16cid:durableId="581254566">
    <w:abstractNumId w:val="12"/>
  </w:num>
  <w:num w:numId="19" w16cid:durableId="434518580">
    <w:abstractNumId w:val="0"/>
  </w:num>
  <w:num w:numId="20" w16cid:durableId="1052847420">
    <w:abstractNumId w:val="3"/>
  </w:num>
  <w:num w:numId="21" w16cid:durableId="1746340029">
    <w:abstractNumId w:val="22"/>
  </w:num>
  <w:num w:numId="22" w16cid:durableId="2115127756">
    <w:abstractNumId w:val="15"/>
  </w:num>
  <w:num w:numId="23" w16cid:durableId="1211067530">
    <w:abstractNumId w:val="4"/>
  </w:num>
  <w:num w:numId="24" w16cid:durableId="1231233178">
    <w:abstractNumId w:val="5"/>
  </w:num>
  <w:num w:numId="25" w16cid:durableId="305626185">
    <w:abstractNumId w:val="23"/>
  </w:num>
  <w:num w:numId="26" w16cid:durableId="905459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10FB"/>
    <w:rsid w:val="000023E1"/>
    <w:rsid w:val="000033BD"/>
    <w:rsid w:val="00010A8E"/>
    <w:rsid w:val="00014963"/>
    <w:rsid w:val="00016C6C"/>
    <w:rsid w:val="0002255C"/>
    <w:rsid w:val="000319DB"/>
    <w:rsid w:val="00041200"/>
    <w:rsid w:val="00057146"/>
    <w:rsid w:val="00062133"/>
    <w:rsid w:val="00071F67"/>
    <w:rsid w:val="0007372E"/>
    <w:rsid w:val="0007718A"/>
    <w:rsid w:val="000778EE"/>
    <w:rsid w:val="00083B1E"/>
    <w:rsid w:val="00084306"/>
    <w:rsid w:val="00084C24"/>
    <w:rsid w:val="000878CC"/>
    <w:rsid w:val="00094DCD"/>
    <w:rsid w:val="0009638D"/>
    <w:rsid w:val="000A3226"/>
    <w:rsid w:val="000A63FD"/>
    <w:rsid w:val="000B0FEC"/>
    <w:rsid w:val="000B5314"/>
    <w:rsid w:val="000C0615"/>
    <w:rsid w:val="000D395B"/>
    <w:rsid w:val="000D3CF9"/>
    <w:rsid w:val="000D4BDC"/>
    <w:rsid w:val="000D711A"/>
    <w:rsid w:val="000E7558"/>
    <w:rsid w:val="000F02E7"/>
    <w:rsid w:val="00101E29"/>
    <w:rsid w:val="00106B25"/>
    <w:rsid w:val="001130F3"/>
    <w:rsid w:val="001149D2"/>
    <w:rsid w:val="001205D0"/>
    <w:rsid w:val="00120AF0"/>
    <w:rsid w:val="001215BE"/>
    <w:rsid w:val="00124ABC"/>
    <w:rsid w:val="0013167D"/>
    <w:rsid w:val="001355FF"/>
    <w:rsid w:val="00137EF0"/>
    <w:rsid w:val="00154F47"/>
    <w:rsid w:val="0015646D"/>
    <w:rsid w:val="00174752"/>
    <w:rsid w:val="00175910"/>
    <w:rsid w:val="00182FD8"/>
    <w:rsid w:val="001874F6"/>
    <w:rsid w:val="00187BBC"/>
    <w:rsid w:val="0019533A"/>
    <w:rsid w:val="0019749F"/>
    <w:rsid w:val="001C07E0"/>
    <w:rsid w:val="001D19DE"/>
    <w:rsid w:val="001D56FB"/>
    <w:rsid w:val="001E2EA0"/>
    <w:rsid w:val="001E388B"/>
    <w:rsid w:val="001E3E89"/>
    <w:rsid w:val="001E4A85"/>
    <w:rsid w:val="00216D7C"/>
    <w:rsid w:val="00216FEC"/>
    <w:rsid w:val="0022057A"/>
    <w:rsid w:val="002227AE"/>
    <w:rsid w:val="00232233"/>
    <w:rsid w:val="00234C7F"/>
    <w:rsid w:val="00240BC0"/>
    <w:rsid w:val="00240FCD"/>
    <w:rsid w:val="00250C9A"/>
    <w:rsid w:val="00250DB5"/>
    <w:rsid w:val="00251E37"/>
    <w:rsid w:val="00254BCD"/>
    <w:rsid w:val="00260D6E"/>
    <w:rsid w:val="002623B5"/>
    <w:rsid w:val="00265585"/>
    <w:rsid w:val="0026619F"/>
    <w:rsid w:val="002676E1"/>
    <w:rsid w:val="0029408E"/>
    <w:rsid w:val="002970FF"/>
    <w:rsid w:val="00297150"/>
    <w:rsid w:val="002A00DF"/>
    <w:rsid w:val="002A0999"/>
    <w:rsid w:val="002A38CC"/>
    <w:rsid w:val="002A581E"/>
    <w:rsid w:val="002B1D67"/>
    <w:rsid w:val="002B348A"/>
    <w:rsid w:val="002B3C1B"/>
    <w:rsid w:val="002B596B"/>
    <w:rsid w:val="002C1437"/>
    <w:rsid w:val="002D5847"/>
    <w:rsid w:val="002D7A73"/>
    <w:rsid w:val="002E5BD4"/>
    <w:rsid w:val="002F1CBB"/>
    <w:rsid w:val="002F1EA1"/>
    <w:rsid w:val="003011D0"/>
    <w:rsid w:val="00301CD5"/>
    <w:rsid w:val="00310D31"/>
    <w:rsid w:val="00311FEC"/>
    <w:rsid w:val="00314315"/>
    <w:rsid w:val="00316013"/>
    <w:rsid w:val="0032273F"/>
    <w:rsid w:val="00336DED"/>
    <w:rsid w:val="003375E8"/>
    <w:rsid w:val="00360E15"/>
    <w:rsid w:val="003617DF"/>
    <w:rsid w:val="003649DD"/>
    <w:rsid w:val="0036661A"/>
    <w:rsid w:val="00367A1F"/>
    <w:rsid w:val="00372F77"/>
    <w:rsid w:val="00386EBA"/>
    <w:rsid w:val="0039318E"/>
    <w:rsid w:val="0039429F"/>
    <w:rsid w:val="00395D28"/>
    <w:rsid w:val="003A0271"/>
    <w:rsid w:val="003A60A9"/>
    <w:rsid w:val="003B3A86"/>
    <w:rsid w:val="003D1FA4"/>
    <w:rsid w:val="003D58CD"/>
    <w:rsid w:val="003E2124"/>
    <w:rsid w:val="003E526F"/>
    <w:rsid w:val="003E7BA7"/>
    <w:rsid w:val="003E7F9D"/>
    <w:rsid w:val="003F7671"/>
    <w:rsid w:val="00400BE5"/>
    <w:rsid w:val="00400DB7"/>
    <w:rsid w:val="00402BC3"/>
    <w:rsid w:val="00404ADB"/>
    <w:rsid w:val="004051B5"/>
    <w:rsid w:val="00412CAC"/>
    <w:rsid w:val="004135EC"/>
    <w:rsid w:val="00415F1F"/>
    <w:rsid w:val="00421E75"/>
    <w:rsid w:val="00423D13"/>
    <w:rsid w:val="00431226"/>
    <w:rsid w:val="00435CBC"/>
    <w:rsid w:val="0043B84A"/>
    <w:rsid w:val="004402FC"/>
    <w:rsid w:val="00442048"/>
    <w:rsid w:val="004456C7"/>
    <w:rsid w:val="00453A32"/>
    <w:rsid w:val="00463FC3"/>
    <w:rsid w:val="004641CF"/>
    <w:rsid w:val="004805BF"/>
    <w:rsid w:val="004856BA"/>
    <w:rsid w:val="00485818"/>
    <w:rsid w:val="004905B0"/>
    <w:rsid w:val="00492CF5"/>
    <w:rsid w:val="004A2A06"/>
    <w:rsid w:val="004A63E2"/>
    <w:rsid w:val="004B0407"/>
    <w:rsid w:val="004B2632"/>
    <w:rsid w:val="004B2916"/>
    <w:rsid w:val="004B491D"/>
    <w:rsid w:val="004C740D"/>
    <w:rsid w:val="004D1C39"/>
    <w:rsid w:val="004E0ED9"/>
    <w:rsid w:val="004F5432"/>
    <w:rsid w:val="0051597A"/>
    <w:rsid w:val="005211A9"/>
    <w:rsid w:val="00522FF4"/>
    <w:rsid w:val="00523C8F"/>
    <w:rsid w:val="00525BF3"/>
    <w:rsid w:val="00526824"/>
    <w:rsid w:val="0053106C"/>
    <w:rsid w:val="00540D38"/>
    <w:rsid w:val="005413F6"/>
    <w:rsid w:val="00556A69"/>
    <w:rsid w:val="00557F88"/>
    <w:rsid w:val="00564477"/>
    <w:rsid w:val="00583FB9"/>
    <w:rsid w:val="00584AB7"/>
    <w:rsid w:val="0059250E"/>
    <w:rsid w:val="005959DC"/>
    <w:rsid w:val="00596E08"/>
    <w:rsid w:val="005A7CAE"/>
    <w:rsid w:val="005C3CD4"/>
    <w:rsid w:val="005C66BE"/>
    <w:rsid w:val="005E052D"/>
    <w:rsid w:val="005F3D39"/>
    <w:rsid w:val="00601A3E"/>
    <w:rsid w:val="00606350"/>
    <w:rsid w:val="006160BF"/>
    <w:rsid w:val="00617B67"/>
    <w:rsid w:val="0063162A"/>
    <w:rsid w:val="00633DC9"/>
    <w:rsid w:val="00636D73"/>
    <w:rsid w:val="00644719"/>
    <w:rsid w:val="0064694F"/>
    <w:rsid w:val="00651680"/>
    <w:rsid w:val="006614F3"/>
    <w:rsid w:val="00673FA5"/>
    <w:rsid w:val="0067704E"/>
    <w:rsid w:val="00680ABD"/>
    <w:rsid w:val="00685E90"/>
    <w:rsid w:val="006867BD"/>
    <w:rsid w:val="00691564"/>
    <w:rsid w:val="006A4CA2"/>
    <w:rsid w:val="006B3E8E"/>
    <w:rsid w:val="006C22F8"/>
    <w:rsid w:val="006C510F"/>
    <w:rsid w:val="006D01AC"/>
    <w:rsid w:val="006E59C5"/>
    <w:rsid w:val="006F0187"/>
    <w:rsid w:val="006F137F"/>
    <w:rsid w:val="007023D1"/>
    <w:rsid w:val="00704539"/>
    <w:rsid w:val="0071025F"/>
    <w:rsid w:val="00710C11"/>
    <w:rsid w:val="0071369E"/>
    <w:rsid w:val="00723B37"/>
    <w:rsid w:val="00723F99"/>
    <w:rsid w:val="007306E2"/>
    <w:rsid w:val="00734F03"/>
    <w:rsid w:val="00737C28"/>
    <w:rsid w:val="00743EB4"/>
    <w:rsid w:val="00747352"/>
    <w:rsid w:val="00762AF4"/>
    <w:rsid w:val="00770369"/>
    <w:rsid w:val="00771023"/>
    <w:rsid w:val="00771F2A"/>
    <w:rsid w:val="007768B9"/>
    <w:rsid w:val="00787317"/>
    <w:rsid w:val="0078747B"/>
    <w:rsid w:val="007908DA"/>
    <w:rsid w:val="00795935"/>
    <w:rsid w:val="007960A6"/>
    <w:rsid w:val="007A7549"/>
    <w:rsid w:val="007A7C75"/>
    <w:rsid w:val="007B58B0"/>
    <w:rsid w:val="007C04D5"/>
    <w:rsid w:val="007C0D83"/>
    <w:rsid w:val="007C46A6"/>
    <w:rsid w:val="007C5B29"/>
    <w:rsid w:val="007D79D0"/>
    <w:rsid w:val="007D7DBF"/>
    <w:rsid w:val="007E103E"/>
    <w:rsid w:val="007E2285"/>
    <w:rsid w:val="0080421B"/>
    <w:rsid w:val="00810A82"/>
    <w:rsid w:val="008135CE"/>
    <w:rsid w:val="008267CD"/>
    <w:rsid w:val="008303F7"/>
    <w:rsid w:val="00830DA8"/>
    <w:rsid w:val="008332A4"/>
    <w:rsid w:val="00842F15"/>
    <w:rsid w:val="008458D7"/>
    <w:rsid w:val="008523C4"/>
    <w:rsid w:val="00853AF6"/>
    <w:rsid w:val="0085555D"/>
    <w:rsid w:val="0087222A"/>
    <w:rsid w:val="008725D4"/>
    <w:rsid w:val="00880C5D"/>
    <w:rsid w:val="00886882"/>
    <w:rsid w:val="00890B6C"/>
    <w:rsid w:val="008930D7"/>
    <w:rsid w:val="008A500C"/>
    <w:rsid w:val="008A6B3E"/>
    <w:rsid w:val="008B7135"/>
    <w:rsid w:val="008B7627"/>
    <w:rsid w:val="008C43E4"/>
    <w:rsid w:val="008C45E1"/>
    <w:rsid w:val="008C5602"/>
    <w:rsid w:val="008C5A37"/>
    <w:rsid w:val="008C6637"/>
    <w:rsid w:val="008D616E"/>
    <w:rsid w:val="008E271B"/>
    <w:rsid w:val="008F3262"/>
    <w:rsid w:val="008F552A"/>
    <w:rsid w:val="00906D3D"/>
    <w:rsid w:val="00913FDB"/>
    <w:rsid w:val="009148DA"/>
    <w:rsid w:val="00917EF4"/>
    <w:rsid w:val="00931B01"/>
    <w:rsid w:val="00936A2A"/>
    <w:rsid w:val="009379C1"/>
    <w:rsid w:val="0096338F"/>
    <w:rsid w:val="00965893"/>
    <w:rsid w:val="00977C36"/>
    <w:rsid w:val="009A2CBF"/>
    <w:rsid w:val="009B016F"/>
    <w:rsid w:val="009C1842"/>
    <w:rsid w:val="009C2E5B"/>
    <w:rsid w:val="009C33EB"/>
    <w:rsid w:val="009D5E7E"/>
    <w:rsid w:val="009E16E2"/>
    <w:rsid w:val="009E41C1"/>
    <w:rsid w:val="00A014FA"/>
    <w:rsid w:val="00A173D6"/>
    <w:rsid w:val="00A25E24"/>
    <w:rsid w:val="00A32FAB"/>
    <w:rsid w:val="00A335F8"/>
    <w:rsid w:val="00A33D6D"/>
    <w:rsid w:val="00A43FA4"/>
    <w:rsid w:val="00A56C58"/>
    <w:rsid w:val="00A612DD"/>
    <w:rsid w:val="00A643FD"/>
    <w:rsid w:val="00A77016"/>
    <w:rsid w:val="00A80BE5"/>
    <w:rsid w:val="00A82E61"/>
    <w:rsid w:val="00A83A56"/>
    <w:rsid w:val="00A92EAA"/>
    <w:rsid w:val="00AA0261"/>
    <w:rsid w:val="00AA181A"/>
    <w:rsid w:val="00AB6A1E"/>
    <w:rsid w:val="00AC6A9F"/>
    <w:rsid w:val="00AF3F20"/>
    <w:rsid w:val="00AF4AC8"/>
    <w:rsid w:val="00B02D19"/>
    <w:rsid w:val="00B03502"/>
    <w:rsid w:val="00B110D1"/>
    <w:rsid w:val="00B460F5"/>
    <w:rsid w:val="00B60E54"/>
    <w:rsid w:val="00B62080"/>
    <w:rsid w:val="00B7576C"/>
    <w:rsid w:val="00B84225"/>
    <w:rsid w:val="00BA068E"/>
    <w:rsid w:val="00BA6B2C"/>
    <w:rsid w:val="00BB0136"/>
    <w:rsid w:val="00BB10DF"/>
    <w:rsid w:val="00BC4136"/>
    <w:rsid w:val="00BD044E"/>
    <w:rsid w:val="00BE2148"/>
    <w:rsid w:val="00BE35D5"/>
    <w:rsid w:val="00BE547F"/>
    <w:rsid w:val="00BF2095"/>
    <w:rsid w:val="00BF35C3"/>
    <w:rsid w:val="00BF3935"/>
    <w:rsid w:val="00BF5434"/>
    <w:rsid w:val="00C03FA6"/>
    <w:rsid w:val="00C10232"/>
    <w:rsid w:val="00C3420B"/>
    <w:rsid w:val="00C45394"/>
    <w:rsid w:val="00C46E40"/>
    <w:rsid w:val="00C60710"/>
    <w:rsid w:val="00C6165C"/>
    <w:rsid w:val="00C62D00"/>
    <w:rsid w:val="00C70FD6"/>
    <w:rsid w:val="00C75732"/>
    <w:rsid w:val="00C80B22"/>
    <w:rsid w:val="00C819CA"/>
    <w:rsid w:val="00C8683D"/>
    <w:rsid w:val="00C907FF"/>
    <w:rsid w:val="00CA5F51"/>
    <w:rsid w:val="00CB7BFF"/>
    <w:rsid w:val="00CC0443"/>
    <w:rsid w:val="00CC0AE3"/>
    <w:rsid w:val="00CC628F"/>
    <w:rsid w:val="00CE6269"/>
    <w:rsid w:val="00CE646B"/>
    <w:rsid w:val="00CE651B"/>
    <w:rsid w:val="00CF2C2F"/>
    <w:rsid w:val="00CF7F8A"/>
    <w:rsid w:val="00D11619"/>
    <w:rsid w:val="00D13637"/>
    <w:rsid w:val="00D166F3"/>
    <w:rsid w:val="00D20D59"/>
    <w:rsid w:val="00D2342D"/>
    <w:rsid w:val="00D30DFB"/>
    <w:rsid w:val="00D31B08"/>
    <w:rsid w:val="00D46B1D"/>
    <w:rsid w:val="00D72DBE"/>
    <w:rsid w:val="00D7664A"/>
    <w:rsid w:val="00D9341D"/>
    <w:rsid w:val="00D97A66"/>
    <w:rsid w:val="00DA7984"/>
    <w:rsid w:val="00DB0E4F"/>
    <w:rsid w:val="00DB3215"/>
    <w:rsid w:val="00DB48E8"/>
    <w:rsid w:val="00DC1B1D"/>
    <w:rsid w:val="00DC2BD6"/>
    <w:rsid w:val="00DC66DD"/>
    <w:rsid w:val="00DD16B6"/>
    <w:rsid w:val="00DD50BF"/>
    <w:rsid w:val="00DF06BE"/>
    <w:rsid w:val="00E063CB"/>
    <w:rsid w:val="00E13088"/>
    <w:rsid w:val="00E16F83"/>
    <w:rsid w:val="00E2036F"/>
    <w:rsid w:val="00E2115B"/>
    <w:rsid w:val="00E37383"/>
    <w:rsid w:val="00E43FC7"/>
    <w:rsid w:val="00E45B42"/>
    <w:rsid w:val="00E51C97"/>
    <w:rsid w:val="00E67E48"/>
    <w:rsid w:val="00E73437"/>
    <w:rsid w:val="00E80ACE"/>
    <w:rsid w:val="00E84AFA"/>
    <w:rsid w:val="00E91D63"/>
    <w:rsid w:val="00EA3E55"/>
    <w:rsid w:val="00EB553E"/>
    <w:rsid w:val="00EB7B60"/>
    <w:rsid w:val="00ED4527"/>
    <w:rsid w:val="00ED53F5"/>
    <w:rsid w:val="00EE1D66"/>
    <w:rsid w:val="00EE23D7"/>
    <w:rsid w:val="00EE2B1E"/>
    <w:rsid w:val="00EE3301"/>
    <w:rsid w:val="00EE4EA7"/>
    <w:rsid w:val="00EF08DC"/>
    <w:rsid w:val="00EF4D0F"/>
    <w:rsid w:val="00F04C36"/>
    <w:rsid w:val="00F22A6E"/>
    <w:rsid w:val="00F22A9A"/>
    <w:rsid w:val="00F22F1B"/>
    <w:rsid w:val="00F3175C"/>
    <w:rsid w:val="00F3526E"/>
    <w:rsid w:val="00F359DA"/>
    <w:rsid w:val="00F35A5B"/>
    <w:rsid w:val="00F41028"/>
    <w:rsid w:val="00F530D0"/>
    <w:rsid w:val="00F54175"/>
    <w:rsid w:val="00F636E3"/>
    <w:rsid w:val="00F70FFC"/>
    <w:rsid w:val="00F71243"/>
    <w:rsid w:val="00F719AE"/>
    <w:rsid w:val="00F71DD7"/>
    <w:rsid w:val="00F93D1D"/>
    <w:rsid w:val="00F94F7B"/>
    <w:rsid w:val="00F97E71"/>
    <w:rsid w:val="00FA1D2F"/>
    <w:rsid w:val="00FA4670"/>
    <w:rsid w:val="00FC1B36"/>
    <w:rsid w:val="00FC2605"/>
    <w:rsid w:val="00FD36D0"/>
    <w:rsid w:val="00FE3340"/>
    <w:rsid w:val="00FE5AD3"/>
    <w:rsid w:val="00FF0762"/>
    <w:rsid w:val="03070C9C"/>
    <w:rsid w:val="6F96C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GB"/>
    </w:rPr>
  </w:style>
  <w:style w:type="table" w:styleId="Lentelstinklelis">
    <w:name w:val="Table Grid"/>
    <w:basedOn w:val="prastojilentel"/>
    <w:uiPriority w:val="39"/>
    <w:rsid w:val="00175910"/>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en-GB"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en-GB" w:eastAsia="lt-LT"/>
    </w:rPr>
  </w:style>
  <w:style w:type="character" w:styleId="Emfaz">
    <w:name w:val="Emphasis"/>
    <w:basedOn w:val="Numatytasispastraiposriftas"/>
    <w:uiPriority w:val="20"/>
    <w:qFormat/>
    <w:rsid w:val="0085555D"/>
    <w:rPr>
      <w:i/>
      <w:iCs/>
    </w:rPr>
  </w:style>
  <w:style w:type="paragraph" w:customStyle="1" w:styleId="paragraph">
    <w:name w:val="paragraph"/>
    <w:basedOn w:val="prastasis"/>
    <w:rsid w:val="001E2EA0"/>
    <w:pPr>
      <w:spacing w:before="100" w:beforeAutospacing="1" w:after="100" w:afterAutospacing="1"/>
    </w:pPr>
  </w:style>
  <w:style w:type="character" w:customStyle="1" w:styleId="normaltextrun">
    <w:name w:val="normaltextrun"/>
    <w:basedOn w:val="Numatytasispastraiposriftas"/>
    <w:rsid w:val="001E2EA0"/>
  </w:style>
  <w:style w:type="character" w:customStyle="1" w:styleId="eop">
    <w:name w:val="eop"/>
    <w:basedOn w:val="Numatytasispastraiposriftas"/>
    <w:rsid w:val="001E2EA0"/>
  </w:style>
  <w:style w:type="character" w:styleId="Hipersaitas">
    <w:name w:val="Hyperlink"/>
    <w:basedOn w:val="Numatytasispastraiposriftas"/>
    <w:uiPriority w:val="99"/>
    <w:unhideWhenUsed/>
    <w:rsid w:val="009E16E2"/>
    <w:rPr>
      <w:color w:val="0563C1" w:themeColor="hyperlink"/>
      <w:u w:val="single"/>
    </w:rPr>
  </w:style>
  <w:style w:type="paragraph" w:styleId="Puslapioinaostekstas">
    <w:name w:val="footnote text"/>
    <w:basedOn w:val="prastasis"/>
    <w:link w:val="PuslapioinaostekstasDiagrama"/>
    <w:uiPriority w:val="99"/>
    <w:semiHidden/>
    <w:unhideWhenUsed/>
    <w:rsid w:val="009E16E2"/>
    <w:rPr>
      <w:sz w:val="20"/>
      <w:szCs w:val="20"/>
    </w:rPr>
  </w:style>
  <w:style w:type="character" w:customStyle="1" w:styleId="PuslapioinaostekstasDiagrama">
    <w:name w:val="Puslapio išnašos tekstas Diagrama"/>
    <w:basedOn w:val="Numatytasispastraiposriftas"/>
    <w:link w:val="Puslapioinaostekstas"/>
    <w:uiPriority w:val="99"/>
    <w:semiHidden/>
    <w:rsid w:val="009E16E2"/>
    <w:rPr>
      <w:rFonts w:ascii="Times New Roman" w:eastAsia="Times New Roman" w:hAnsi="Times New Roman" w:cs="Times New Roman"/>
      <w:sz w:val="20"/>
      <w:szCs w:val="20"/>
      <w:lang w:val="en-GB" w:eastAsia="lt-LT"/>
    </w:rPr>
  </w:style>
  <w:style w:type="character" w:styleId="Puslapioinaosnuoroda">
    <w:name w:val="footnote reference"/>
    <w:basedOn w:val="Numatytasispastraiposriftas"/>
    <w:uiPriority w:val="99"/>
    <w:semiHidden/>
    <w:unhideWhenUsed/>
    <w:rsid w:val="009E16E2"/>
    <w:rPr>
      <w:vertAlign w:val="superscript"/>
    </w:rPr>
  </w:style>
  <w:style w:type="paragraph" w:styleId="Pataisymai">
    <w:name w:val="Revision"/>
    <w:hidden/>
    <w:uiPriority w:val="99"/>
    <w:semiHidden/>
    <w:rsid w:val="0071025F"/>
    <w:pPr>
      <w:spacing w:after="0" w:line="240" w:lineRule="auto"/>
    </w:pPr>
    <w:rPr>
      <w:rFonts w:ascii="Times New Roman" w:eastAsia="Times New Roman" w:hAnsi="Times New Roman" w:cs="Times New Roman"/>
      <w:sz w:val="24"/>
      <w:szCs w:val="24"/>
      <w:lang w:val="en-GB" w:eastAsia="lt-LT"/>
    </w:rPr>
  </w:style>
  <w:style w:type="character" w:styleId="Neapdorotaspaminjimas">
    <w:name w:val="Unresolved Mention"/>
    <w:basedOn w:val="Numatytasispastraiposriftas"/>
    <w:uiPriority w:val="99"/>
    <w:semiHidden/>
    <w:unhideWhenUsed/>
    <w:rsid w:val="00F97E71"/>
    <w:rPr>
      <w:color w:val="605E5C"/>
      <w:shd w:val="clear" w:color="auto" w:fill="E1DFDD"/>
    </w:rPr>
  </w:style>
  <w:style w:type="paragraph" w:styleId="prastasiniatinklio">
    <w:name w:val="Normal (Web)"/>
    <w:basedOn w:val="prastasis"/>
    <w:uiPriority w:val="99"/>
    <w:semiHidden/>
    <w:unhideWhenUsed/>
    <w:rsid w:val="0013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5557">
      <w:bodyDiv w:val="1"/>
      <w:marLeft w:val="0"/>
      <w:marRight w:val="0"/>
      <w:marTop w:val="0"/>
      <w:marBottom w:val="0"/>
      <w:divBdr>
        <w:top w:val="none" w:sz="0" w:space="0" w:color="auto"/>
        <w:left w:val="none" w:sz="0" w:space="0" w:color="auto"/>
        <w:bottom w:val="none" w:sz="0" w:space="0" w:color="auto"/>
        <w:right w:val="none" w:sz="0" w:space="0" w:color="auto"/>
      </w:divBdr>
    </w:div>
    <w:div w:id="573664884">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1122991890">
      <w:bodyDiv w:val="1"/>
      <w:marLeft w:val="0"/>
      <w:marRight w:val="0"/>
      <w:marTop w:val="0"/>
      <w:marBottom w:val="0"/>
      <w:divBdr>
        <w:top w:val="none" w:sz="0" w:space="0" w:color="auto"/>
        <w:left w:val="none" w:sz="0" w:space="0" w:color="auto"/>
        <w:bottom w:val="none" w:sz="0" w:space="0" w:color="auto"/>
        <w:right w:val="none" w:sz="0" w:space="0" w:color="auto"/>
      </w:divBdr>
    </w:div>
    <w:div w:id="1540045646">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511146950">
          <w:marLeft w:val="0"/>
          <w:marRight w:val="0"/>
          <w:marTop w:val="0"/>
          <w:marBottom w:val="0"/>
          <w:divBdr>
            <w:top w:val="none" w:sz="0" w:space="0" w:color="auto"/>
            <w:left w:val="none" w:sz="0" w:space="0" w:color="auto"/>
            <w:bottom w:val="none" w:sz="0" w:space="0" w:color="auto"/>
            <w:right w:val="none" w:sz="0" w:space="0" w:color="auto"/>
          </w:divBdr>
        </w:div>
        <w:div w:id="201787668">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govilnius.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EDA83-E140-4D2A-94A6-FC43662C252A}"/>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b6637dae-1e38-4429-a749-a734b6d76f87"/>
    <ds:schemaRef ds:uri="afd490ec-d289-4857-969a-933e2cca0c6d"/>
  </ds:schemaRefs>
</ds:datastoreItem>
</file>

<file path=customXml/itemProps3.xml><?xml version="1.0" encoding="utf-8"?>
<ds:datastoreItem xmlns:ds="http://schemas.openxmlformats.org/officeDocument/2006/customXml" ds:itemID="{33C8E307-65F1-42C6-AEBA-1A073992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9775</Words>
  <Characters>5573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Smiltė Abunevičienė</cp:lastModifiedBy>
  <cp:revision>4</cp:revision>
  <dcterms:created xsi:type="dcterms:W3CDTF">2025-08-05T14:18:00Z</dcterms:created>
  <dcterms:modified xsi:type="dcterms:W3CDTF">2025-08-08T07:58:00Z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