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F3F93A" w14:textId="77777777" w:rsidR="00A17598" w:rsidRPr="00D76D45" w:rsidRDefault="00A17598" w:rsidP="00D76D45">
      <w:pPr>
        <w:pStyle w:val="Standard"/>
        <w:jc w:val="right"/>
        <w:rPr>
          <w:rStyle w:val="StrongEmphasis"/>
          <w:rFonts w:ascii="Arial" w:hAnsi="Arial"/>
          <w:b w:val="0"/>
          <w:bCs w:val="0"/>
          <w:sz w:val="18"/>
          <w:szCs w:val="18"/>
        </w:rPr>
      </w:pPr>
    </w:p>
    <w:p w14:paraId="358DA6D7" w14:textId="117AA198" w:rsidR="00FC12F3" w:rsidRDefault="00DB59AB">
      <w:pPr>
        <w:pStyle w:val="Standard"/>
        <w:jc w:val="center"/>
        <w:rPr>
          <w:rFonts w:hint="eastAsia"/>
        </w:rPr>
      </w:pPr>
      <w:r>
        <w:rPr>
          <w:rStyle w:val="StrongEmphasis"/>
          <w:rFonts w:ascii="Arial" w:hAnsi="Arial"/>
        </w:rPr>
        <w:t>TECHNINĖ SPECIFIKACIJA – PRAĖJIMO KONTROLĖS SISTEMA</w:t>
      </w:r>
    </w:p>
    <w:p w14:paraId="358DA6D8" w14:textId="77777777" w:rsidR="00FC12F3" w:rsidRDefault="00FC12F3">
      <w:pPr>
        <w:pStyle w:val="Standard"/>
        <w:rPr>
          <w:rFonts w:hint="eastAsia"/>
        </w:rPr>
      </w:pPr>
    </w:p>
    <w:p w14:paraId="358DA6D9" w14:textId="77777777" w:rsidR="00FC12F3" w:rsidRDefault="00FC12F3">
      <w:pPr>
        <w:pStyle w:val="Standard"/>
        <w:rPr>
          <w:rFonts w:hint="eastAsia"/>
        </w:rPr>
      </w:pPr>
    </w:p>
    <w:p w14:paraId="358DA6DA" w14:textId="77777777" w:rsidR="00FC12F3" w:rsidRDefault="00DB59AB">
      <w:pPr>
        <w:pStyle w:val="Standard"/>
        <w:rPr>
          <w:rFonts w:hint="eastAsia"/>
        </w:rPr>
      </w:pPr>
      <w:r>
        <w:rPr>
          <w:rStyle w:val="StrongEmphasis"/>
          <w:rFonts w:ascii="Arial" w:hAnsi="Arial"/>
        </w:rPr>
        <w:t>1. Pirkimo objektas</w:t>
      </w:r>
    </w:p>
    <w:p w14:paraId="358DA6DB" w14:textId="77777777" w:rsidR="00FC12F3" w:rsidRDefault="00DB59AB">
      <w:pPr>
        <w:pStyle w:val="Standard"/>
        <w:ind w:firstLine="709"/>
        <w:jc w:val="both"/>
        <w:rPr>
          <w:rFonts w:ascii="Arial" w:hAnsi="Arial"/>
        </w:rPr>
      </w:pPr>
      <w:r>
        <w:rPr>
          <w:rFonts w:ascii="Arial" w:hAnsi="Arial"/>
        </w:rPr>
        <w:t>Praėjimo kontrolės sistemos įranga, montavimo ir paleidimo paslaugos, skirti vidaus patalpų prieigos kontrolei užtikrinti, VŠĮ Joniškio pirminės sveikatos priežiūros centre, adresu Pašvitinio g. 21, Joniškis.</w:t>
      </w:r>
    </w:p>
    <w:p w14:paraId="358DA6DC" w14:textId="77777777" w:rsidR="00FC12F3" w:rsidRDefault="00FC12F3">
      <w:pPr>
        <w:pStyle w:val="Standard"/>
        <w:rPr>
          <w:rFonts w:ascii="Arial" w:hAnsi="Arial"/>
        </w:rPr>
      </w:pPr>
    </w:p>
    <w:p w14:paraId="358DA6DD" w14:textId="77777777" w:rsidR="00FC12F3" w:rsidRDefault="00DB59AB">
      <w:pPr>
        <w:pStyle w:val="Standard"/>
        <w:rPr>
          <w:rFonts w:hint="eastAsia"/>
        </w:rPr>
      </w:pPr>
      <w:r>
        <w:rPr>
          <w:rStyle w:val="StrongEmphasis"/>
          <w:rFonts w:ascii="Arial" w:hAnsi="Arial"/>
        </w:rPr>
        <w:t>2. Reikalavimai sistemai</w:t>
      </w:r>
    </w:p>
    <w:p w14:paraId="358DA6DE" w14:textId="77777777" w:rsidR="00FC12F3" w:rsidRDefault="00DB59AB">
      <w:pPr>
        <w:pStyle w:val="Standard"/>
        <w:ind w:firstLine="709"/>
        <w:jc w:val="both"/>
        <w:rPr>
          <w:rFonts w:hint="eastAsia"/>
        </w:rPr>
      </w:pPr>
      <w:r>
        <w:rPr>
          <w:rStyle w:val="StrongEmphasis"/>
          <w:rFonts w:ascii="Arial" w:hAnsi="Arial"/>
        </w:rPr>
        <w:t>Įrangos įrengimo / montavimo paslaugas tiekėjas turi įsivertinti savo pasiūlyme.</w:t>
      </w:r>
    </w:p>
    <w:p w14:paraId="358DA6DF" w14:textId="77777777" w:rsidR="00FC12F3" w:rsidRDefault="00DB59AB">
      <w:pPr>
        <w:pStyle w:val="Standard"/>
        <w:ind w:firstLine="709"/>
        <w:jc w:val="both"/>
        <w:rPr>
          <w:rFonts w:ascii="Arial" w:hAnsi="Arial"/>
        </w:rPr>
      </w:pPr>
      <w:r>
        <w:rPr>
          <w:rFonts w:ascii="Arial" w:hAnsi="Arial"/>
        </w:rPr>
        <w:t>Sistemos funkcionalumas turi užtikrinti:</w:t>
      </w:r>
    </w:p>
    <w:p w14:paraId="358DA6E0" w14:textId="77777777" w:rsidR="00FC12F3" w:rsidRDefault="00DB59AB">
      <w:pPr>
        <w:pStyle w:val="Standard"/>
        <w:numPr>
          <w:ilvl w:val="0"/>
          <w:numId w:val="2"/>
        </w:numPr>
        <w:jc w:val="both"/>
        <w:rPr>
          <w:rFonts w:ascii="Arial" w:hAnsi="Arial"/>
        </w:rPr>
      </w:pPr>
      <w:r>
        <w:rPr>
          <w:rFonts w:ascii="Arial" w:hAnsi="Arial"/>
        </w:rPr>
        <w:t>belaidė prieigos kontrolę 42-joms durims, su galimybe ją praplėsti iki 64 durų;</w:t>
      </w:r>
    </w:p>
    <w:p w14:paraId="358DA6E1" w14:textId="77777777" w:rsidR="00FC12F3" w:rsidRDefault="00DB59AB">
      <w:pPr>
        <w:pStyle w:val="Standard"/>
        <w:numPr>
          <w:ilvl w:val="0"/>
          <w:numId w:val="2"/>
        </w:numPr>
        <w:jc w:val="both"/>
        <w:rPr>
          <w:rFonts w:ascii="Arial" w:hAnsi="Arial"/>
        </w:rPr>
      </w:pPr>
      <w:r>
        <w:rPr>
          <w:rFonts w:ascii="Arial" w:hAnsi="Arial"/>
        </w:rPr>
        <w:t>valdyti duris centralizuotai, tinklinis;</w:t>
      </w:r>
    </w:p>
    <w:p w14:paraId="358DA6E2" w14:textId="77777777" w:rsidR="00FC12F3" w:rsidRDefault="00DB59AB">
      <w:pPr>
        <w:pStyle w:val="Standard"/>
        <w:numPr>
          <w:ilvl w:val="0"/>
          <w:numId w:val="2"/>
        </w:numPr>
        <w:jc w:val="both"/>
        <w:rPr>
          <w:rFonts w:ascii="Arial" w:hAnsi="Arial"/>
        </w:rPr>
      </w:pPr>
      <w:r>
        <w:rPr>
          <w:rFonts w:ascii="Arial" w:hAnsi="Arial"/>
        </w:rPr>
        <w:t>galimybę integruoti MIFARE technologijos korteles;</w:t>
      </w:r>
    </w:p>
    <w:p w14:paraId="358DA6E3" w14:textId="77777777" w:rsidR="00FC12F3" w:rsidRDefault="00DB59AB">
      <w:pPr>
        <w:pStyle w:val="Standard"/>
        <w:numPr>
          <w:ilvl w:val="0"/>
          <w:numId w:val="2"/>
        </w:numPr>
        <w:jc w:val="both"/>
        <w:rPr>
          <w:rFonts w:ascii="Arial" w:hAnsi="Arial"/>
        </w:rPr>
      </w:pPr>
      <w:r>
        <w:rPr>
          <w:rFonts w:ascii="Arial" w:hAnsi="Arial"/>
        </w:rPr>
        <w:t>atitiktį galiojantiems saugumo ir elektros instaliacijos standartams;</w:t>
      </w:r>
    </w:p>
    <w:p w14:paraId="358DA6E4" w14:textId="77777777" w:rsidR="00FC12F3" w:rsidRDefault="00DB59AB">
      <w:pPr>
        <w:pStyle w:val="Standard"/>
        <w:numPr>
          <w:ilvl w:val="0"/>
          <w:numId w:val="2"/>
        </w:numPr>
        <w:jc w:val="both"/>
        <w:rPr>
          <w:rFonts w:ascii="Arial" w:hAnsi="Arial"/>
        </w:rPr>
      </w:pPr>
      <w:r>
        <w:rPr>
          <w:rFonts w:ascii="Arial" w:hAnsi="Arial"/>
        </w:rPr>
        <w:t>iš lauko durys atidaromos kortelių skaitytuvo pagalba. Iš vidaus rankenos pagalba.</w:t>
      </w:r>
    </w:p>
    <w:p w14:paraId="358DA6E5" w14:textId="77777777" w:rsidR="00FC12F3" w:rsidRDefault="00DB59AB">
      <w:pPr>
        <w:pStyle w:val="Standard"/>
        <w:numPr>
          <w:ilvl w:val="0"/>
          <w:numId w:val="2"/>
        </w:numPr>
        <w:jc w:val="both"/>
        <w:rPr>
          <w:rFonts w:ascii="Arial" w:hAnsi="Arial"/>
        </w:rPr>
      </w:pPr>
      <w:r>
        <w:rPr>
          <w:rFonts w:ascii="Arial" w:hAnsi="Arial"/>
        </w:rPr>
        <w:t>neriboto naudojimo laiko programinė įranga spynoms valdyti.</w:t>
      </w:r>
    </w:p>
    <w:p w14:paraId="358DA6E6" w14:textId="77777777" w:rsidR="00FC12F3" w:rsidRDefault="00DB59AB">
      <w:pPr>
        <w:pStyle w:val="Standard"/>
        <w:numPr>
          <w:ilvl w:val="0"/>
          <w:numId w:val="2"/>
        </w:numPr>
        <w:jc w:val="both"/>
        <w:rPr>
          <w:rFonts w:ascii="Arial" w:hAnsi="Arial"/>
        </w:rPr>
      </w:pPr>
      <w:r>
        <w:rPr>
          <w:rFonts w:ascii="Arial" w:hAnsi="Arial"/>
        </w:rPr>
        <w:t>spynos pilnumoje turi tikti esamoms durims, uždengiant esamas skyles (galima naudoti papildomą apdailą), žiūrėti 3 ir 4 sutarties priedus.</w:t>
      </w:r>
    </w:p>
    <w:p w14:paraId="358DA6E7" w14:textId="77777777" w:rsidR="00FC12F3" w:rsidRDefault="00DB59AB">
      <w:pPr>
        <w:pStyle w:val="Standard"/>
        <w:ind w:firstLine="709"/>
        <w:jc w:val="both"/>
        <w:rPr>
          <w:rFonts w:ascii="Arial" w:hAnsi="Arial"/>
        </w:rPr>
      </w:pPr>
      <w:r>
        <w:rPr>
          <w:rFonts w:ascii="Arial" w:hAnsi="Arial"/>
        </w:rPr>
        <w:t>Turi būti atliktas detalus pristatytos ir sumontuotos įrangos funkcionalumų patikrinimas, kurio mokestis turi būti įskaičiuotas į įrangos kainą.</w:t>
      </w:r>
    </w:p>
    <w:p w14:paraId="358DA6E8" w14:textId="77777777" w:rsidR="00FC12F3" w:rsidRDefault="00DB59AB">
      <w:pPr>
        <w:pStyle w:val="Standard"/>
        <w:rPr>
          <w:rFonts w:hint="eastAsia"/>
        </w:rPr>
      </w:pPr>
      <w:r>
        <w:rPr>
          <w:rFonts w:ascii="Arial" w:hAnsi="Arial"/>
        </w:rPr>
        <w:br/>
      </w:r>
      <w:r>
        <w:rPr>
          <w:rStyle w:val="StrongEmphasis"/>
          <w:rFonts w:ascii="Arial" w:hAnsi="Arial"/>
        </w:rPr>
        <w:t>APLINKOSAUGINIAI (ŽALIEJI) REIKALAVIMAI PRAĖJIMO KONTROLĖS SISTEMAI</w:t>
      </w:r>
    </w:p>
    <w:p w14:paraId="358DA6E9" w14:textId="77777777" w:rsidR="00FC12F3" w:rsidRDefault="00DB59AB">
      <w:pPr>
        <w:pStyle w:val="Standard"/>
        <w:rPr>
          <w:rFonts w:hint="eastAsia"/>
        </w:rPr>
      </w:pPr>
      <w:r>
        <w:rPr>
          <w:rStyle w:val="StrongEmphasis"/>
          <w:rFonts w:ascii="Arial" w:hAnsi="Arial"/>
        </w:rPr>
        <w:t>1. Bendrieji principai</w:t>
      </w:r>
    </w:p>
    <w:p w14:paraId="358DA6EA" w14:textId="77777777" w:rsidR="00FC12F3" w:rsidRDefault="00DB59AB">
      <w:pPr>
        <w:pStyle w:val="Standard"/>
        <w:rPr>
          <w:rFonts w:ascii="Arial" w:hAnsi="Arial"/>
        </w:rPr>
      </w:pPr>
      <w:r>
        <w:rPr>
          <w:rFonts w:ascii="Arial" w:hAnsi="Arial"/>
        </w:rPr>
        <w:t>Visi siūlomi produktai turi atitikti žaliųjų pirkimų principus:</w:t>
      </w:r>
    </w:p>
    <w:p w14:paraId="358DA6EB" w14:textId="77777777" w:rsidR="00FC12F3" w:rsidRDefault="00DB59AB">
      <w:pPr>
        <w:pStyle w:val="Standard"/>
        <w:numPr>
          <w:ilvl w:val="0"/>
          <w:numId w:val="3"/>
        </w:numPr>
        <w:rPr>
          <w:rFonts w:ascii="Arial" w:hAnsi="Arial"/>
        </w:rPr>
      </w:pPr>
      <w:r>
        <w:rPr>
          <w:rFonts w:ascii="Arial" w:hAnsi="Arial"/>
        </w:rPr>
        <w:t>Ilgaamžiškumas</w:t>
      </w:r>
    </w:p>
    <w:p w14:paraId="358DA6EC" w14:textId="77777777" w:rsidR="00FC12F3" w:rsidRDefault="00DB59AB">
      <w:pPr>
        <w:pStyle w:val="Standard"/>
        <w:numPr>
          <w:ilvl w:val="0"/>
          <w:numId w:val="3"/>
        </w:numPr>
        <w:rPr>
          <w:rFonts w:ascii="Arial" w:hAnsi="Arial"/>
        </w:rPr>
      </w:pPr>
      <w:r>
        <w:rPr>
          <w:rFonts w:ascii="Arial" w:hAnsi="Arial"/>
        </w:rPr>
        <w:t>Energijos vartojimo efektyvumas</w:t>
      </w:r>
    </w:p>
    <w:p w14:paraId="358DA6ED" w14:textId="77777777" w:rsidR="00FC12F3" w:rsidRDefault="00DB59AB">
      <w:pPr>
        <w:pStyle w:val="Standard"/>
        <w:numPr>
          <w:ilvl w:val="0"/>
          <w:numId w:val="3"/>
        </w:numPr>
        <w:rPr>
          <w:rFonts w:ascii="Arial" w:hAnsi="Arial"/>
        </w:rPr>
      </w:pPr>
      <w:proofErr w:type="spellStart"/>
      <w:r>
        <w:rPr>
          <w:rFonts w:ascii="Arial" w:hAnsi="Arial"/>
        </w:rPr>
        <w:t>Perdirbamumas</w:t>
      </w:r>
      <w:proofErr w:type="spellEnd"/>
      <w:r>
        <w:rPr>
          <w:rFonts w:ascii="Arial" w:hAnsi="Arial"/>
        </w:rPr>
        <w:t xml:space="preserve"> ir mažas poveikis aplinkai</w:t>
      </w:r>
    </w:p>
    <w:p w14:paraId="358DA6EE" w14:textId="77777777" w:rsidR="00FC12F3" w:rsidRDefault="00DB59AB">
      <w:pPr>
        <w:pStyle w:val="Standard"/>
        <w:rPr>
          <w:rFonts w:hint="eastAsia"/>
        </w:rPr>
      </w:pPr>
      <w:r>
        <w:rPr>
          <w:rStyle w:val="StrongEmphasis"/>
          <w:rFonts w:ascii="Arial" w:hAnsi="Arial"/>
        </w:rPr>
        <w:t>2. Reikalavimai elektroninei įrangai (valdikliai, skaitytuvai, tinklo įranga, maitinimo šaltiniai):</w:t>
      </w:r>
    </w:p>
    <w:p w14:paraId="358DA6EF" w14:textId="77777777" w:rsidR="00FC12F3" w:rsidRDefault="00DB59AB">
      <w:pPr>
        <w:pStyle w:val="Standard"/>
        <w:rPr>
          <w:rFonts w:hint="eastAsia"/>
        </w:rPr>
      </w:pPr>
      <w:r>
        <w:rPr>
          <w:rStyle w:val="StrongEmphasis"/>
          <w:rFonts w:ascii="Arial" w:hAnsi="Arial"/>
        </w:rPr>
        <w:t>2.1. Energijos vartojimo efektyvumas</w:t>
      </w:r>
    </w:p>
    <w:p w14:paraId="358DA6F0" w14:textId="77777777" w:rsidR="00FC12F3" w:rsidRDefault="00DB59AB">
      <w:pPr>
        <w:pStyle w:val="Standard"/>
        <w:numPr>
          <w:ilvl w:val="0"/>
          <w:numId w:val="4"/>
        </w:numPr>
        <w:jc w:val="both"/>
        <w:rPr>
          <w:rFonts w:hint="eastAsia"/>
        </w:rPr>
      </w:pPr>
      <w:r>
        <w:rPr>
          <w:rFonts w:ascii="Arial" w:hAnsi="Arial"/>
        </w:rPr>
        <w:t xml:space="preserve">Visi aktyvūs elektroniniai komponentai (komutatoriai, maitinimo šaltiniai) turi būti suprojektuoti taip, kad </w:t>
      </w:r>
      <w:r>
        <w:rPr>
          <w:rStyle w:val="StrongEmphasis"/>
          <w:rFonts w:ascii="Arial" w:hAnsi="Arial"/>
        </w:rPr>
        <w:t>pasyviu (budėjimo) režimu suvartotų kuo mažiau elektros energijos</w:t>
      </w:r>
      <w:r>
        <w:rPr>
          <w:rFonts w:ascii="Arial" w:hAnsi="Arial"/>
        </w:rPr>
        <w:t>. Rekomenduojama: &lt; 2 W budėjimo režimu.</w:t>
      </w:r>
    </w:p>
    <w:p w14:paraId="358DA6F1" w14:textId="77777777" w:rsidR="00FC12F3" w:rsidRDefault="00DB59AB">
      <w:pPr>
        <w:pStyle w:val="Standard"/>
        <w:rPr>
          <w:rFonts w:hint="eastAsia"/>
        </w:rPr>
      </w:pPr>
      <w:r>
        <w:rPr>
          <w:rStyle w:val="StrongEmphasis"/>
          <w:rFonts w:ascii="Arial" w:hAnsi="Arial"/>
        </w:rPr>
        <w:t xml:space="preserve">2.2. Ilgaamžiškumas ir </w:t>
      </w:r>
      <w:proofErr w:type="spellStart"/>
      <w:r>
        <w:rPr>
          <w:rStyle w:val="StrongEmphasis"/>
          <w:rFonts w:ascii="Arial" w:hAnsi="Arial"/>
        </w:rPr>
        <w:t>remontuojamumas</w:t>
      </w:r>
      <w:proofErr w:type="spellEnd"/>
    </w:p>
    <w:p w14:paraId="358DA6F2" w14:textId="77777777" w:rsidR="00FC12F3" w:rsidRDefault="00DB59AB">
      <w:pPr>
        <w:pStyle w:val="Standard"/>
        <w:numPr>
          <w:ilvl w:val="0"/>
          <w:numId w:val="5"/>
        </w:numPr>
        <w:jc w:val="both"/>
        <w:rPr>
          <w:rFonts w:hint="eastAsia"/>
        </w:rPr>
      </w:pPr>
      <w:r>
        <w:rPr>
          <w:rFonts w:ascii="Arial" w:hAnsi="Arial"/>
        </w:rPr>
        <w:t xml:space="preserve">Įranga turi būti suprojektuota taip, kad </w:t>
      </w:r>
      <w:r>
        <w:rPr>
          <w:rStyle w:val="StrongEmphasis"/>
          <w:rFonts w:ascii="Arial" w:hAnsi="Arial"/>
        </w:rPr>
        <w:t>būtų galima ją prižiūrėti, taisyti ir atnaujinti</w:t>
      </w:r>
      <w:r>
        <w:rPr>
          <w:rFonts w:ascii="Arial" w:hAnsi="Arial"/>
        </w:rPr>
        <w:t xml:space="preserve"> </w:t>
      </w:r>
    </w:p>
    <w:p w14:paraId="358DA6F3" w14:textId="77777777" w:rsidR="00FC12F3" w:rsidRDefault="00DB59AB">
      <w:pPr>
        <w:pStyle w:val="Standard"/>
        <w:jc w:val="both"/>
        <w:rPr>
          <w:rFonts w:hint="eastAsia"/>
        </w:rPr>
      </w:pPr>
      <w:r>
        <w:rPr>
          <w:rFonts w:ascii="Arial" w:hAnsi="Arial"/>
        </w:rPr>
        <w:t>bent 5 metus nuo įsigijimo.</w:t>
      </w:r>
    </w:p>
    <w:p w14:paraId="358DA6F4" w14:textId="77777777" w:rsidR="00FC12F3" w:rsidRDefault="00DB59AB">
      <w:pPr>
        <w:pStyle w:val="Standard"/>
        <w:numPr>
          <w:ilvl w:val="0"/>
          <w:numId w:val="5"/>
        </w:numPr>
        <w:jc w:val="both"/>
        <w:rPr>
          <w:rFonts w:ascii="Arial" w:hAnsi="Arial" w:cs="Arial"/>
          <w:i/>
          <w:iCs/>
        </w:rPr>
      </w:pPr>
      <w:r>
        <w:rPr>
          <w:rFonts w:ascii="Arial" w:hAnsi="Arial" w:cs="Arial"/>
          <w:i/>
          <w:iCs/>
        </w:rPr>
        <w:t xml:space="preserve">Įrangai (įskaitant jos sudėtines / komplektuojamas dalis) turi būti suteikiama garantija </w:t>
      </w:r>
    </w:p>
    <w:p w14:paraId="358DA6F5" w14:textId="77777777" w:rsidR="00FC12F3" w:rsidRDefault="00DB59AB">
      <w:pPr>
        <w:pStyle w:val="Standard"/>
        <w:jc w:val="both"/>
        <w:rPr>
          <w:rFonts w:ascii="Arial" w:hAnsi="Arial" w:cs="Arial"/>
          <w:i/>
          <w:iCs/>
        </w:rPr>
      </w:pPr>
      <w:r>
        <w:rPr>
          <w:rFonts w:ascii="Arial" w:hAnsi="Arial" w:cs="Arial"/>
          <w:i/>
          <w:iCs/>
        </w:rPr>
        <w:t>ne trumpesniam kaip 24 mėnesių terminui arba terminu nurodytu tiekėjo pasiūlyme nuo perdavimo-priėmimo akto pasirašymo dienos.</w:t>
      </w:r>
    </w:p>
    <w:p w14:paraId="358DA6F6" w14:textId="77777777" w:rsidR="00FC12F3" w:rsidRDefault="00DB59AB">
      <w:pPr>
        <w:pStyle w:val="Standard"/>
        <w:rPr>
          <w:rFonts w:hint="eastAsia"/>
        </w:rPr>
      </w:pPr>
      <w:r>
        <w:rPr>
          <w:rStyle w:val="StrongEmphasis"/>
          <w:rFonts w:ascii="Arial" w:hAnsi="Arial"/>
        </w:rPr>
        <w:t>2.3. Medžiagos ir atliekos</w:t>
      </w:r>
    </w:p>
    <w:p w14:paraId="358DA6F7" w14:textId="77777777" w:rsidR="00FC12F3" w:rsidRDefault="00DB59AB">
      <w:pPr>
        <w:pStyle w:val="Standard"/>
        <w:numPr>
          <w:ilvl w:val="0"/>
          <w:numId w:val="6"/>
        </w:numPr>
        <w:rPr>
          <w:rFonts w:hint="eastAsia"/>
        </w:rPr>
      </w:pPr>
      <w:r>
        <w:rPr>
          <w:rFonts w:ascii="Arial" w:hAnsi="Arial"/>
        </w:rPr>
        <w:t xml:space="preserve">Įranga </w:t>
      </w:r>
      <w:r>
        <w:rPr>
          <w:rStyle w:val="StrongEmphasis"/>
          <w:rFonts w:ascii="Arial" w:hAnsi="Arial"/>
        </w:rPr>
        <w:t>neturi turėti pavojingų medžiagų</w:t>
      </w:r>
      <w:r>
        <w:rPr>
          <w:rFonts w:ascii="Arial" w:hAnsi="Arial"/>
        </w:rPr>
        <w:t xml:space="preserve">, tokių kaip švinas, gyvsidabris, kadmis, </w:t>
      </w:r>
    </w:p>
    <w:p w14:paraId="358DA6F8" w14:textId="77777777" w:rsidR="00FC12F3" w:rsidRDefault="00DB59AB">
      <w:pPr>
        <w:pStyle w:val="Standard"/>
        <w:rPr>
          <w:rFonts w:hint="eastAsia"/>
        </w:rPr>
      </w:pPr>
      <w:r>
        <w:rPr>
          <w:rFonts w:ascii="Arial" w:hAnsi="Arial"/>
        </w:rPr>
        <w:t xml:space="preserve">pagal </w:t>
      </w:r>
      <w:proofErr w:type="spellStart"/>
      <w:r>
        <w:rPr>
          <w:rStyle w:val="StrongEmphasis"/>
          <w:rFonts w:ascii="Arial" w:hAnsi="Arial"/>
        </w:rPr>
        <w:t>RoHS</w:t>
      </w:r>
      <w:proofErr w:type="spellEnd"/>
      <w:r>
        <w:rPr>
          <w:rStyle w:val="StrongEmphasis"/>
          <w:rFonts w:ascii="Arial" w:hAnsi="Arial"/>
        </w:rPr>
        <w:t xml:space="preserve"> direktyvą 2011/65/ES</w:t>
      </w:r>
      <w:r>
        <w:rPr>
          <w:rFonts w:ascii="Arial" w:hAnsi="Arial"/>
        </w:rPr>
        <w:t>.</w:t>
      </w:r>
    </w:p>
    <w:p w14:paraId="358DA6F9" w14:textId="77777777" w:rsidR="00FC12F3" w:rsidRDefault="00DB59AB">
      <w:pPr>
        <w:pStyle w:val="Standard"/>
        <w:numPr>
          <w:ilvl w:val="0"/>
          <w:numId w:val="6"/>
        </w:numPr>
        <w:rPr>
          <w:rFonts w:hint="eastAsia"/>
        </w:rPr>
      </w:pPr>
      <w:r>
        <w:rPr>
          <w:rFonts w:ascii="Arial" w:hAnsi="Arial"/>
        </w:rPr>
        <w:t xml:space="preserve">Įranga turi būti </w:t>
      </w:r>
      <w:r>
        <w:rPr>
          <w:rStyle w:val="StrongEmphasis"/>
          <w:rFonts w:ascii="Arial" w:hAnsi="Arial"/>
        </w:rPr>
        <w:t>pažymėta WEEE ženklu</w:t>
      </w:r>
      <w:r>
        <w:rPr>
          <w:rFonts w:ascii="Arial" w:hAnsi="Arial"/>
        </w:rPr>
        <w:t xml:space="preserve"> (elektronikos atliekų tvarkymui).</w:t>
      </w:r>
    </w:p>
    <w:p w14:paraId="358DA6FA" w14:textId="77777777" w:rsidR="00FC12F3" w:rsidRDefault="00DB59AB">
      <w:pPr>
        <w:pStyle w:val="Standard"/>
        <w:rPr>
          <w:rFonts w:hint="eastAsia"/>
        </w:rPr>
      </w:pPr>
      <w:r>
        <w:rPr>
          <w:rStyle w:val="StrongEmphasis"/>
          <w:rFonts w:ascii="Arial" w:hAnsi="Arial"/>
        </w:rPr>
        <w:t>3. Reikalavimai elektros instaliacijai ir kabeliams</w:t>
      </w:r>
    </w:p>
    <w:p w14:paraId="358DA6FB" w14:textId="77777777" w:rsidR="00FC12F3" w:rsidRDefault="00DB59AB">
      <w:pPr>
        <w:pStyle w:val="Standard"/>
        <w:rPr>
          <w:rFonts w:hint="eastAsia"/>
        </w:rPr>
      </w:pPr>
      <w:r>
        <w:rPr>
          <w:rStyle w:val="StrongEmphasis"/>
          <w:rFonts w:ascii="Arial" w:hAnsi="Arial"/>
        </w:rPr>
        <w:t>3.1. Kabeliai ir montažinės medžiagos turi būti:</w:t>
      </w:r>
    </w:p>
    <w:p w14:paraId="358DA6FC" w14:textId="77777777" w:rsidR="00FC12F3" w:rsidRDefault="00DB59AB">
      <w:pPr>
        <w:pStyle w:val="Standard"/>
        <w:numPr>
          <w:ilvl w:val="0"/>
          <w:numId w:val="7"/>
        </w:numPr>
        <w:jc w:val="both"/>
        <w:rPr>
          <w:rFonts w:hint="eastAsia"/>
        </w:rPr>
      </w:pPr>
      <w:r>
        <w:rPr>
          <w:rFonts w:ascii="Arial" w:hAnsi="Arial"/>
        </w:rPr>
        <w:t xml:space="preserve">Pažymėti kaip </w:t>
      </w:r>
      <w:r>
        <w:rPr>
          <w:rStyle w:val="StrongEmphasis"/>
          <w:rFonts w:ascii="Arial" w:hAnsi="Arial"/>
        </w:rPr>
        <w:t>halogenų nenaudojantys</w:t>
      </w:r>
      <w:r>
        <w:rPr>
          <w:rFonts w:ascii="Arial" w:hAnsi="Arial"/>
        </w:rPr>
        <w:t xml:space="preserve"> (</w:t>
      </w:r>
      <w:proofErr w:type="spellStart"/>
      <w:r>
        <w:rPr>
          <w:rFonts w:ascii="Arial" w:hAnsi="Arial"/>
        </w:rPr>
        <w:t>Low</w:t>
      </w:r>
      <w:proofErr w:type="spellEnd"/>
      <w:r>
        <w:rPr>
          <w:rFonts w:ascii="Arial" w:hAnsi="Arial"/>
        </w:rPr>
        <w:t xml:space="preserve"> </w:t>
      </w:r>
      <w:proofErr w:type="spellStart"/>
      <w:r>
        <w:rPr>
          <w:rFonts w:ascii="Arial" w:hAnsi="Arial"/>
        </w:rPr>
        <w:t>Smoke</w:t>
      </w:r>
      <w:proofErr w:type="spellEnd"/>
      <w:r>
        <w:rPr>
          <w:rFonts w:ascii="Arial" w:hAnsi="Arial"/>
        </w:rPr>
        <w:t xml:space="preserve"> </w:t>
      </w:r>
      <w:proofErr w:type="spellStart"/>
      <w:r>
        <w:rPr>
          <w:rFonts w:ascii="Arial" w:hAnsi="Arial"/>
        </w:rPr>
        <w:t>Zero</w:t>
      </w:r>
      <w:proofErr w:type="spellEnd"/>
      <w:r>
        <w:rPr>
          <w:rFonts w:ascii="Arial" w:hAnsi="Arial"/>
        </w:rPr>
        <w:t xml:space="preserve"> </w:t>
      </w:r>
      <w:proofErr w:type="spellStart"/>
      <w:r>
        <w:rPr>
          <w:rFonts w:ascii="Arial" w:hAnsi="Arial"/>
        </w:rPr>
        <w:t>Halogen</w:t>
      </w:r>
      <w:proofErr w:type="spellEnd"/>
      <w:r>
        <w:rPr>
          <w:rFonts w:ascii="Arial" w:hAnsi="Arial"/>
        </w:rPr>
        <w:t xml:space="preserve"> – LSZH), jei </w:t>
      </w:r>
    </w:p>
    <w:p w14:paraId="358DA6FD" w14:textId="77777777" w:rsidR="00FC12F3" w:rsidRDefault="00DB59AB">
      <w:pPr>
        <w:pStyle w:val="Standard"/>
        <w:jc w:val="both"/>
        <w:rPr>
          <w:rFonts w:hint="eastAsia"/>
        </w:rPr>
      </w:pPr>
      <w:r>
        <w:rPr>
          <w:rFonts w:ascii="Arial" w:hAnsi="Arial"/>
        </w:rPr>
        <w:lastRenderedPageBreak/>
        <w:t>montuojama žmonių susibūrimo vietose.</w:t>
      </w:r>
    </w:p>
    <w:p w14:paraId="358DA6FE" w14:textId="77777777" w:rsidR="00FC12F3" w:rsidRDefault="00FC12F3">
      <w:pPr>
        <w:pStyle w:val="Standard"/>
        <w:jc w:val="both"/>
        <w:rPr>
          <w:rFonts w:hint="eastAsia"/>
        </w:rPr>
      </w:pPr>
    </w:p>
    <w:p w14:paraId="358DA6FF" w14:textId="77777777" w:rsidR="00FC12F3" w:rsidRDefault="00FC12F3">
      <w:pPr>
        <w:pStyle w:val="Standard"/>
        <w:jc w:val="both"/>
        <w:rPr>
          <w:rFonts w:hint="eastAsia"/>
        </w:rPr>
      </w:pPr>
    </w:p>
    <w:p w14:paraId="358DA700" w14:textId="77777777" w:rsidR="00FC12F3" w:rsidRDefault="00FC12F3">
      <w:pPr>
        <w:pStyle w:val="Standard"/>
        <w:jc w:val="both"/>
        <w:rPr>
          <w:rFonts w:hint="eastAsia"/>
        </w:rPr>
      </w:pPr>
    </w:p>
    <w:p w14:paraId="358DA701" w14:textId="77777777" w:rsidR="00FC12F3" w:rsidRDefault="00DB59AB">
      <w:pPr>
        <w:pStyle w:val="Standard"/>
        <w:jc w:val="both"/>
        <w:rPr>
          <w:rFonts w:hint="eastAsia"/>
        </w:rPr>
      </w:pPr>
      <w:r>
        <w:rPr>
          <w:rStyle w:val="StrongEmphasis"/>
          <w:rFonts w:ascii="Arial" w:hAnsi="Arial"/>
        </w:rPr>
        <w:t>4. Pakuotė</w:t>
      </w:r>
    </w:p>
    <w:p w14:paraId="358DA702" w14:textId="77777777" w:rsidR="00FC12F3" w:rsidRDefault="00DB59AB">
      <w:pPr>
        <w:pStyle w:val="Standard"/>
        <w:numPr>
          <w:ilvl w:val="0"/>
          <w:numId w:val="8"/>
        </w:numPr>
        <w:rPr>
          <w:rFonts w:hint="eastAsia"/>
        </w:rPr>
      </w:pPr>
      <w:r>
        <w:rPr>
          <w:rFonts w:ascii="Arial" w:hAnsi="Arial"/>
        </w:rPr>
        <w:t xml:space="preserve">Įranga turi būti pristatyta </w:t>
      </w:r>
      <w:r>
        <w:rPr>
          <w:rStyle w:val="StrongEmphasis"/>
          <w:rFonts w:ascii="Arial" w:hAnsi="Arial"/>
        </w:rPr>
        <w:t>mažai aplinkai kenksmingoje pakuotėje</w:t>
      </w:r>
      <w:r>
        <w:rPr>
          <w:rFonts w:ascii="Arial" w:hAnsi="Arial"/>
        </w:rPr>
        <w:t xml:space="preserve">, pirmenybė </w:t>
      </w:r>
    </w:p>
    <w:p w14:paraId="358DA703" w14:textId="77777777" w:rsidR="00FC12F3" w:rsidRDefault="00DB59AB">
      <w:pPr>
        <w:pStyle w:val="Standard"/>
        <w:rPr>
          <w:rFonts w:hint="eastAsia"/>
        </w:rPr>
      </w:pPr>
      <w:r>
        <w:rPr>
          <w:rFonts w:ascii="Arial" w:hAnsi="Arial"/>
        </w:rPr>
        <w:t xml:space="preserve">teikiama </w:t>
      </w:r>
      <w:r>
        <w:rPr>
          <w:rStyle w:val="StrongEmphasis"/>
          <w:rFonts w:ascii="Arial" w:hAnsi="Arial"/>
        </w:rPr>
        <w:t>perdirbtai ar biologiškai suyrančiai</w:t>
      </w:r>
      <w:r>
        <w:rPr>
          <w:rFonts w:ascii="Arial" w:hAnsi="Arial"/>
        </w:rPr>
        <w:t xml:space="preserve"> pakuotei.</w:t>
      </w:r>
    </w:p>
    <w:p w14:paraId="358DA705" w14:textId="60834666" w:rsidR="00FC12F3" w:rsidRPr="00D76D45" w:rsidRDefault="00DB59AB" w:rsidP="00D76D45">
      <w:pPr>
        <w:pStyle w:val="Standard"/>
        <w:numPr>
          <w:ilvl w:val="0"/>
          <w:numId w:val="8"/>
        </w:numPr>
        <w:rPr>
          <w:rFonts w:hint="eastAsia"/>
        </w:rPr>
      </w:pPr>
      <w:r>
        <w:rPr>
          <w:rFonts w:ascii="Arial" w:hAnsi="Arial"/>
        </w:rPr>
        <w:t xml:space="preserve">Gamintojas arba tiekėjas turi užtikrinti </w:t>
      </w:r>
      <w:r>
        <w:rPr>
          <w:rStyle w:val="StrongEmphasis"/>
          <w:rFonts w:ascii="Arial" w:hAnsi="Arial"/>
        </w:rPr>
        <w:t>pakuotės atsiėmimą arba perdirbimą</w:t>
      </w:r>
      <w:r>
        <w:rPr>
          <w:rFonts w:ascii="Arial" w:hAnsi="Arial"/>
        </w:rPr>
        <w:t>.</w:t>
      </w:r>
    </w:p>
    <w:p w14:paraId="358DA707" w14:textId="2730AD71" w:rsidR="00FC12F3" w:rsidRDefault="00DB59AB" w:rsidP="00D76D45">
      <w:pPr>
        <w:pStyle w:val="Antrat4"/>
        <w:ind w:firstLine="426"/>
        <w:rPr>
          <w:rFonts w:hint="eastAsia"/>
        </w:rPr>
      </w:pPr>
      <w:r>
        <w:rPr>
          <w:rStyle w:val="StrongEmphasis"/>
          <w:rFonts w:ascii="Arial" w:hAnsi="Arial"/>
          <w:b/>
          <w:bCs/>
        </w:rPr>
        <w:t>Įrangos ir medžiagų reikalavimai – 1 lentelė.</w:t>
      </w:r>
    </w:p>
    <w:tbl>
      <w:tblPr>
        <w:tblW w:w="9526" w:type="dxa"/>
        <w:tblInd w:w="113" w:type="dxa"/>
        <w:tblLayout w:type="fixed"/>
        <w:tblCellMar>
          <w:left w:w="10" w:type="dxa"/>
          <w:right w:w="10" w:type="dxa"/>
        </w:tblCellMar>
        <w:tblLook w:val="0000" w:firstRow="0" w:lastRow="0" w:firstColumn="0" w:lastColumn="0" w:noHBand="0" w:noVBand="0"/>
      </w:tblPr>
      <w:tblGrid>
        <w:gridCol w:w="733"/>
        <w:gridCol w:w="4430"/>
        <w:gridCol w:w="1225"/>
        <w:gridCol w:w="3138"/>
      </w:tblGrid>
      <w:tr w:rsidR="00FC12F3" w14:paraId="358DA70D" w14:textId="77777777">
        <w:trPr>
          <w:trHeight w:val="770"/>
          <w:tblHeader/>
        </w:trPr>
        <w:tc>
          <w:tcPr>
            <w:tcW w:w="733" w:type="dxa"/>
            <w:tcBorders>
              <w:top w:val="single" w:sz="4" w:space="0" w:color="000000"/>
              <w:left w:val="single" w:sz="4" w:space="0" w:color="000000"/>
              <w:right w:val="single" w:sz="4" w:space="0" w:color="000000"/>
            </w:tcBorders>
            <w:shd w:val="clear" w:color="auto" w:fill="E6E6E6"/>
            <w:tcMar>
              <w:top w:w="0" w:type="dxa"/>
              <w:left w:w="108" w:type="dxa"/>
              <w:bottom w:w="0" w:type="dxa"/>
              <w:right w:w="108" w:type="dxa"/>
            </w:tcMar>
          </w:tcPr>
          <w:p w14:paraId="358DA708" w14:textId="77777777" w:rsidR="00FC12F3" w:rsidRDefault="00DB59AB">
            <w:pPr>
              <w:pStyle w:val="Standard"/>
              <w:widowControl w:val="0"/>
              <w:rPr>
                <w:rFonts w:hint="eastAsia"/>
              </w:rPr>
            </w:pPr>
            <w:r>
              <w:rPr>
                <w:rFonts w:ascii="Arial" w:hAnsi="Arial" w:cs="Arial"/>
                <w:b/>
                <w:bCs/>
                <w:i/>
                <w:iCs/>
              </w:rPr>
              <w:t>Eil.</w:t>
            </w:r>
          </w:p>
          <w:p w14:paraId="358DA709" w14:textId="77777777" w:rsidR="00FC12F3" w:rsidRDefault="00DB59AB">
            <w:pPr>
              <w:pStyle w:val="Standard"/>
              <w:widowControl w:val="0"/>
              <w:rPr>
                <w:rFonts w:hint="eastAsia"/>
              </w:rPr>
            </w:pPr>
            <w:r>
              <w:rPr>
                <w:rFonts w:ascii="Arial" w:hAnsi="Arial" w:cs="Arial"/>
                <w:b/>
                <w:bCs/>
                <w:i/>
                <w:iCs/>
              </w:rPr>
              <w:t>Nr.</w:t>
            </w:r>
          </w:p>
        </w:tc>
        <w:tc>
          <w:tcPr>
            <w:tcW w:w="4430" w:type="dxa"/>
            <w:tcBorders>
              <w:top w:val="single" w:sz="4" w:space="0" w:color="000000"/>
              <w:left w:val="single" w:sz="4" w:space="0" w:color="000000"/>
            </w:tcBorders>
            <w:shd w:val="clear" w:color="auto" w:fill="E6E6E6"/>
            <w:tcMar>
              <w:top w:w="0" w:type="dxa"/>
              <w:left w:w="108" w:type="dxa"/>
              <w:bottom w:w="0" w:type="dxa"/>
              <w:right w:w="108" w:type="dxa"/>
            </w:tcMar>
          </w:tcPr>
          <w:p w14:paraId="358DA70A" w14:textId="77777777" w:rsidR="00FC12F3" w:rsidRDefault="00DB59AB">
            <w:pPr>
              <w:pStyle w:val="Standard"/>
              <w:widowControl w:val="0"/>
              <w:rPr>
                <w:rFonts w:hint="eastAsia"/>
              </w:rPr>
            </w:pPr>
            <w:r>
              <w:rPr>
                <w:rFonts w:ascii="Arial" w:eastAsia="Times New Roman" w:hAnsi="Arial" w:cs="Arial"/>
                <w:b/>
                <w:bCs/>
                <w:i/>
                <w:iCs/>
              </w:rPr>
              <w:t>Reikalaujamos techninės charakteristikos/parametrai ir kiti reikalavimai</w:t>
            </w:r>
          </w:p>
        </w:tc>
        <w:tc>
          <w:tcPr>
            <w:tcW w:w="1225" w:type="dxa"/>
            <w:tcBorders>
              <w:top w:val="single" w:sz="4" w:space="0" w:color="000000"/>
              <w:left w:val="single" w:sz="4" w:space="0" w:color="000000"/>
              <w:right w:val="single" w:sz="4" w:space="0" w:color="000000"/>
            </w:tcBorders>
            <w:shd w:val="clear" w:color="auto" w:fill="E6E6E6"/>
            <w:tcMar>
              <w:top w:w="0" w:type="dxa"/>
              <w:left w:w="108" w:type="dxa"/>
              <w:bottom w:w="0" w:type="dxa"/>
              <w:right w:w="108" w:type="dxa"/>
            </w:tcMar>
          </w:tcPr>
          <w:p w14:paraId="358DA70B" w14:textId="77777777" w:rsidR="00FC12F3" w:rsidRDefault="00DB59AB">
            <w:pPr>
              <w:pStyle w:val="Standard"/>
              <w:widowControl w:val="0"/>
              <w:jc w:val="center"/>
              <w:rPr>
                <w:rFonts w:hint="eastAsia"/>
              </w:rPr>
            </w:pPr>
            <w:r>
              <w:rPr>
                <w:rFonts w:ascii="Arial" w:hAnsi="Arial" w:cs="Arial"/>
                <w:b/>
                <w:bCs/>
                <w:i/>
                <w:iCs/>
              </w:rPr>
              <w:t>Vnt</w:t>
            </w:r>
            <w:r>
              <w:rPr>
                <w:rFonts w:ascii="Arial" w:hAnsi="Arial" w:cs="Arial"/>
              </w:rPr>
              <w:t>.</w:t>
            </w:r>
          </w:p>
        </w:tc>
        <w:tc>
          <w:tcPr>
            <w:tcW w:w="3138" w:type="dxa"/>
            <w:tcBorders>
              <w:top w:val="single" w:sz="4" w:space="0" w:color="000000"/>
              <w:left w:val="single" w:sz="4" w:space="0" w:color="000000"/>
              <w:right w:val="single" w:sz="4" w:space="0" w:color="000000"/>
            </w:tcBorders>
            <w:shd w:val="clear" w:color="auto" w:fill="E6E6E6"/>
            <w:tcMar>
              <w:top w:w="0" w:type="dxa"/>
              <w:left w:w="108" w:type="dxa"/>
              <w:bottom w:w="0" w:type="dxa"/>
              <w:right w:w="108" w:type="dxa"/>
            </w:tcMar>
          </w:tcPr>
          <w:p w14:paraId="358DA70C" w14:textId="77777777" w:rsidR="00FC12F3" w:rsidRDefault="00DB59AB">
            <w:pPr>
              <w:pStyle w:val="Standard"/>
              <w:widowControl w:val="0"/>
              <w:rPr>
                <w:rFonts w:hint="eastAsia"/>
              </w:rPr>
            </w:pPr>
            <w:r>
              <w:rPr>
                <w:rFonts w:ascii="Arial" w:hAnsi="Arial" w:cs="Arial"/>
                <w:b/>
                <w:bCs/>
                <w:i/>
                <w:iCs/>
              </w:rPr>
              <w:t>Pildo tiekėjas, nurodydamas konkrečius parametrus / technines charakteristikas</w:t>
            </w:r>
          </w:p>
        </w:tc>
      </w:tr>
      <w:tr w:rsidR="00FC12F3" w14:paraId="358DA714" w14:textId="77777777">
        <w:trPr>
          <w:trHeight w:val="626"/>
        </w:trPr>
        <w:tc>
          <w:tcPr>
            <w:tcW w:w="733" w:type="dxa"/>
            <w:tcBorders>
              <w:top w:val="doub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58DA70E" w14:textId="77777777" w:rsidR="00FC12F3" w:rsidRDefault="00DB59AB">
            <w:pPr>
              <w:pStyle w:val="Standard"/>
              <w:widowControl w:val="0"/>
              <w:jc w:val="center"/>
              <w:rPr>
                <w:rFonts w:ascii="Arial" w:hAnsi="Arial" w:cs="Arial"/>
              </w:rPr>
            </w:pPr>
            <w:r>
              <w:rPr>
                <w:rFonts w:ascii="Arial" w:hAnsi="Arial" w:cs="Arial"/>
              </w:rPr>
              <w:t>1.</w:t>
            </w:r>
          </w:p>
        </w:tc>
        <w:tc>
          <w:tcPr>
            <w:tcW w:w="4430" w:type="dxa"/>
            <w:tcBorders>
              <w:top w:val="double" w:sz="4" w:space="0" w:color="000000"/>
              <w:left w:val="single" w:sz="4" w:space="0" w:color="000000"/>
              <w:bottom w:val="single" w:sz="4" w:space="0" w:color="000000"/>
            </w:tcBorders>
            <w:tcMar>
              <w:top w:w="0" w:type="dxa"/>
              <w:left w:w="108" w:type="dxa"/>
              <w:bottom w:w="0" w:type="dxa"/>
              <w:right w:w="108" w:type="dxa"/>
            </w:tcMar>
            <w:vAlign w:val="center"/>
          </w:tcPr>
          <w:p w14:paraId="358DA70F" w14:textId="77777777" w:rsidR="00FC12F3" w:rsidRDefault="00DB59AB">
            <w:pPr>
              <w:pStyle w:val="Standard"/>
              <w:widowControl w:val="0"/>
              <w:rPr>
                <w:rFonts w:hint="eastAsia"/>
              </w:rPr>
            </w:pPr>
            <w:r>
              <w:rPr>
                <w:rFonts w:ascii="Arial" w:hAnsi="Arial" w:cs="Arial"/>
                <w:b/>
                <w:bCs/>
                <w:iCs/>
              </w:rPr>
              <w:t>Belaidė elektroninė  spyna</w:t>
            </w:r>
          </w:p>
        </w:tc>
        <w:tc>
          <w:tcPr>
            <w:tcW w:w="1225" w:type="dxa"/>
            <w:tcBorders>
              <w:top w:val="doub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58DA710" w14:textId="77777777" w:rsidR="00FC12F3" w:rsidRDefault="00DB59AB">
            <w:pPr>
              <w:pStyle w:val="Standard"/>
              <w:widowControl w:val="0"/>
              <w:jc w:val="center"/>
              <w:rPr>
                <w:rFonts w:ascii="Arial" w:hAnsi="Arial" w:cs="Arial"/>
                <w:b/>
                <w:i/>
              </w:rPr>
            </w:pPr>
            <w:r>
              <w:rPr>
                <w:rFonts w:ascii="Arial" w:hAnsi="Arial" w:cs="Arial"/>
                <w:b/>
                <w:i/>
              </w:rPr>
              <w:t>42</w:t>
            </w:r>
          </w:p>
        </w:tc>
        <w:tc>
          <w:tcPr>
            <w:tcW w:w="3138" w:type="dxa"/>
            <w:tcBorders>
              <w:top w:val="doub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58DA711" w14:textId="259CFBE5" w:rsidR="00FC12F3" w:rsidRDefault="00DB59AB">
            <w:pPr>
              <w:pStyle w:val="Standard"/>
              <w:widowControl w:val="0"/>
              <w:tabs>
                <w:tab w:val="left" w:pos="30"/>
              </w:tabs>
              <w:jc w:val="both"/>
              <w:rPr>
                <w:rFonts w:hint="eastAsia"/>
              </w:rPr>
            </w:pPr>
            <w:r>
              <w:rPr>
                <w:rFonts w:ascii="Arial" w:hAnsi="Arial" w:cs="Arial"/>
              </w:rPr>
              <w:t xml:space="preserve">Gamintojas </w:t>
            </w:r>
          </w:p>
          <w:p w14:paraId="0707608B" w14:textId="77777777" w:rsidR="00026CDD" w:rsidRDefault="00DB59AB" w:rsidP="00026CDD">
            <w:pPr>
              <w:pStyle w:val="Standard"/>
              <w:widowControl w:val="0"/>
              <w:jc w:val="both"/>
              <w:rPr>
                <w:rFonts w:ascii="Arial" w:hAnsi="Arial" w:cs="Arial"/>
              </w:rPr>
            </w:pPr>
            <w:r>
              <w:rPr>
                <w:rFonts w:ascii="Arial" w:hAnsi="Arial" w:cs="Arial"/>
              </w:rPr>
              <w:t xml:space="preserve">Modelis </w:t>
            </w:r>
          </w:p>
          <w:p w14:paraId="358DA713" w14:textId="410F6D84" w:rsidR="00FC12F3" w:rsidRDefault="00DB59AB" w:rsidP="00026CDD">
            <w:pPr>
              <w:pStyle w:val="Standard"/>
              <w:widowControl w:val="0"/>
              <w:jc w:val="both"/>
              <w:rPr>
                <w:rFonts w:hint="eastAsia"/>
              </w:rPr>
            </w:pPr>
            <w:r>
              <w:rPr>
                <w:rFonts w:ascii="Arial" w:hAnsi="Arial" w:cs="Arial"/>
              </w:rPr>
              <w:t xml:space="preserve">Kodas </w:t>
            </w:r>
          </w:p>
        </w:tc>
      </w:tr>
    </w:tbl>
    <w:p w14:paraId="358DA715" w14:textId="77777777" w:rsidR="00FC12F3" w:rsidRDefault="00FC12F3">
      <w:pPr>
        <w:pStyle w:val="Standard"/>
        <w:rPr>
          <w:rFonts w:ascii="Arial" w:hAnsi="Arial" w:cs="Arial"/>
        </w:rPr>
      </w:pPr>
    </w:p>
    <w:p w14:paraId="358DA716" w14:textId="2EB1A1CD" w:rsidR="00FC12F3" w:rsidRDefault="00DB59AB">
      <w:pPr>
        <w:pStyle w:val="Standard"/>
        <w:ind w:firstLine="709"/>
        <w:rPr>
          <w:rFonts w:ascii="Arial" w:hAnsi="Arial" w:cs="Arial"/>
          <w:b/>
          <w:bCs/>
        </w:rPr>
      </w:pPr>
      <w:r>
        <w:rPr>
          <w:rFonts w:ascii="Arial" w:hAnsi="Arial" w:cs="Arial"/>
          <w:b/>
          <w:bCs/>
        </w:rPr>
        <w:t xml:space="preserve">Įrangos ir medžiagų </w:t>
      </w:r>
      <w:r w:rsidR="00436DE3">
        <w:rPr>
          <w:rFonts w:ascii="Arial" w:hAnsi="Arial" w:cs="Arial"/>
          <w:b/>
          <w:bCs/>
        </w:rPr>
        <w:t>detalizavimas</w:t>
      </w:r>
      <w:r>
        <w:rPr>
          <w:rFonts w:ascii="Arial" w:hAnsi="Arial" w:cs="Arial"/>
          <w:b/>
          <w:bCs/>
        </w:rPr>
        <w:t xml:space="preserve"> – 2 lentelė.</w:t>
      </w:r>
    </w:p>
    <w:p w14:paraId="358DA717" w14:textId="77777777" w:rsidR="00FC12F3" w:rsidRDefault="00FC12F3">
      <w:pPr>
        <w:pStyle w:val="Standard"/>
        <w:rPr>
          <w:rFonts w:ascii="Arial" w:hAnsi="Arial" w:cs="Arial"/>
          <w:b/>
          <w:bCs/>
        </w:rPr>
      </w:pPr>
    </w:p>
    <w:tbl>
      <w:tblPr>
        <w:tblW w:w="9521" w:type="dxa"/>
        <w:tblInd w:w="113" w:type="dxa"/>
        <w:tblLayout w:type="fixed"/>
        <w:tblCellMar>
          <w:left w:w="10" w:type="dxa"/>
          <w:right w:w="10" w:type="dxa"/>
        </w:tblCellMar>
        <w:tblLook w:val="0000" w:firstRow="0" w:lastRow="0" w:firstColumn="0" w:lastColumn="0" w:noHBand="0" w:noVBand="0"/>
      </w:tblPr>
      <w:tblGrid>
        <w:gridCol w:w="733"/>
        <w:gridCol w:w="8788"/>
      </w:tblGrid>
      <w:tr w:rsidR="00FC12F3" w14:paraId="358DA71B" w14:textId="77777777">
        <w:trPr>
          <w:trHeight w:val="770"/>
          <w:tblHeader/>
        </w:trPr>
        <w:tc>
          <w:tcPr>
            <w:tcW w:w="733" w:type="dxa"/>
            <w:tcBorders>
              <w:top w:val="single" w:sz="4" w:space="0" w:color="000000"/>
              <w:left w:val="single" w:sz="4" w:space="0" w:color="000000"/>
              <w:right w:val="single" w:sz="4" w:space="0" w:color="000000"/>
            </w:tcBorders>
            <w:shd w:val="clear" w:color="auto" w:fill="E6E6E6"/>
            <w:tcMar>
              <w:top w:w="0" w:type="dxa"/>
              <w:left w:w="108" w:type="dxa"/>
              <w:bottom w:w="0" w:type="dxa"/>
              <w:right w:w="108" w:type="dxa"/>
            </w:tcMar>
          </w:tcPr>
          <w:p w14:paraId="358DA718" w14:textId="77777777" w:rsidR="00FC12F3" w:rsidRDefault="00DB59AB">
            <w:pPr>
              <w:pStyle w:val="Standard"/>
              <w:widowControl w:val="0"/>
              <w:rPr>
                <w:rFonts w:hint="eastAsia"/>
              </w:rPr>
            </w:pPr>
            <w:r>
              <w:rPr>
                <w:rFonts w:ascii="Arial" w:hAnsi="Arial" w:cs="Arial"/>
                <w:b/>
                <w:bCs/>
                <w:i/>
                <w:iCs/>
              </w:rPr>
              <w:t>Eil.</w:t>
            </w:r>
          </w:p>
          <w:p w14:paraId="358DA719" w14:textId="77777777" w:rsidR="00FC12F3" w:rsidRDefault="00DB59AB">
            <w:pPr>
              <w:pStyle w:val="Standard"/>
              <w:widowControl w:val="0"/>
              <w:rPr>
                <w:rFonts w:hint="eastAsia"/>
              </w:rPr>
            </w:pPr>
            <w:r>
              <w:rPr>
                <w:rFonts w:ascii="Arial" w:hAnsi="Arial" w:cs="Arial"/>
                <w:b/>
                <w:bCs/>
                <w:i/>
                <w:iCs/>
              </w:rPr>
              <w:t>Nr.</w:t>
            </w:r>
          </w:p>
        </w:tc>
        <w:tc>
          <w:tcPr>
            <w:tcW w:w="8788" w:type="dxa"/>
            <w:tcBorders>
              <w:top w:val="single" w:sz="4" w:space="0" w:color="000000"/>
              <w:left w:val="single" w:sz="4" w:space="0" w:color="000000"/>
              <w:right w:val="single" w:sz="4" w:space="0" w:color="000000"/>
            </w:tcBorders>
            <w:shd w:val="clear" w:color="auto" w:fill="E6E6E6"/>
            <w:tcMar>
              <w:top w:w="0" w:type="dxa"/>
              <w:left w:w="108" w:type="dxa"/>
              <w:bottom w:w="0" w:type="dxa"/>
              <w:right w:w="108" w:type="dxa"/>
            </w:tcMar>
          </w:tcPr>
          <w:p w14:paraId="358DA71A" w14:textId="77777777" w:rsidR="00FC12F3" w:rsidRDefault="00DB59AB">
            <w:pPr>
              <w:pStyle w:val="Standard"/>
              <w:widowControl w:val="0"/>
              <w:jc w:val="center"/>
              <w:rPr>
                <w:rFonts w:hint="eastAsia"/>
              </w:rPr>
            </w:pPr>
            <w:r>
              <w:rPr>
                <w:rFonts w:ascii="Arial" w:eastAsia="Times New Roman" w:hAnsi="Arial" w:cs="Arial"/>
                <w:b/>
                <w:bCs/>
                <w:i/>
                <w:iCs/>
              </w:rPr>
              <w:t>Reikalaujamos techninės charakteristikos/parametrai ir kiti reikalavimai</w:t>
            </w:r>
          </w:p>
        </w:tc>
      </w:tr>
      <w:tr w:rsidR="00FC12F3" w14:paraId="358DA71F" w14:textId="77777777">
        <w:trPr>
          <w:trHeight w:val="1938"/>
        </w:trPr>
        <w:tc>
          <w:tcPr>
            <w:tcW w:w="7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8DA71C" w14:textId="77777777" w:rsidR="00FC12F3" w:rsidRDefault="00DB59AB">
            <w:pPr>
              <w:pStyle w:val="Standard"/>
              <w:widowControl w:val="0"/>
              <w:jc w:val="center"/>
              <w:rPr>
                <w:rFonts w:ascii="Arial" w:hAnsi="Arial" w:cs="Arial"/>
              </w:rPr>
            </w:pPr>
            <w:r>
              <w:rPr>
                <w:rFonts w:ascii="Arial" w:hAnsi="Arial" w:cs="Arial"/>
              </w:rPr>
              <w:t>1.1.</w:t>
            </w:r>
          </w:p>
        </w:tc>
        <w:tc>
          <w:tcPr>
            <w:tcW w:w="87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8DA71D" w14:textId="77777777" w:rsidR="00FC12F3" w:rsidRDefault="00DB59AB">
            <w:pPr>
              <w:pStyle w:val="Textbodyindent"/>
              <w:widowControl w:val="0"/>
              <w:tabs>
                <w:tab w:val="left" w:pos="651"/>
              </w:tabs>
              <w:spacing w:after="0"/>
              <w:ind w:left="0"/>
              <w:jc w:val="both"/>
              <w:rPr>
                <w:rFonts w:hint="eastAsia"/>
              </w:rPr>
            </w:pPr>
            <w:r>
              <w:rPr>
                <w:rFonts w:ascii="Arial" w:hAnsi="Arial" w:cs="Arial"/>
                <w:iCs/>
                <w:u w:val="single"/>
              </w:rPr>
              <w:t>Tipas:</w:t>
            </w:r>
          </w:p>
          <w:p w14:paraId="358DA71E" w14:textId="77777777" w:rsidR="00FC12F3" w:rsidRDefault="00DB59AB">
            <w:pPr>
              <w:pStyle w:val="Textbodyindent"/>
              <w:widowControl w:val="0"/>
              <w:tabs>
                <w:tab w:val="left" w:pos="651"/>
              </w:tabs>
              <w:spacing w:after="0"/>
              <w:ind w:left="0"/>
              <w:jc w:val="both"/>
              <w:rPr>
                <w:rFonts w:ascii="Arial" w:hAnsi="Arial" w:cs="Arial"/>
              </w:rPr>
            </w:pPr>
            <w:r>
              <w:rPr>
                <w:rFonts w:ascii="Arial" w:hAnsi="Arial" w:cs="Arial"/>
              </w:rPr>
              <w:t xml:space="preserve">Komplektuojama kartu su skaitytuvu ir maitinimo šaltiniu viename įrenginyje, su rankena bei rankenos apdaila. Spynos valdymas atliekamas per </w:t>
            </w:r>
            <w:proofErr w:type="spellStart"/>
            <w:r>
              <w:rPr>
                <w:rFonts w:ascii="Arial" w:hAnsi="Arial" w:cs="Arial"/>
              </w:rPr>
              <w:t>salenoidinę</w:t>
            </w:r>
            <w:proofErr w:type="spellEnd"/>
            <w:r>
              <w:rPr>
                <w:rFonts w:ascii="Arial" w:hAnsi="Arial" w:cs="Arial"/>
              </w:rPr>
              <w:t xml:space="preserve"> rankenos sankabą – pridėjus kortelę sujungiama rankenos sankaba ir duris galima atidaryti. Iš vidaus išėjimas  rankenos pagalba. Valdiklis integruotas spynoje arba išorinis (tuo atveju montuojami virš </w:t>
            </w:r>
            <w:proofErr w:type="spellStart"/>
            <w:r>
              <w:rPr>
                <w:rFonts w:ascii="Arial" w:hAnsi="Arial" w:cs="Arial"/>
              </w:rPr>
              <w:t>Amstrong</w:t>
            </w:r>
            <w:proofErr w:type="spellEnd"/>
            <w:r>
              <w:rPr>
                <w:rFonts w:ascii="Arial" w:hAnsi="Arial" w:cs="Arial"/>
              </w:rPr>
              <w:t xml:space="preserve"> tipo lubų, spyna su valdikliu duri sąveikauti belaidžiu būdu). Visos spynos turi dirbti tinkle, kad  per nuotolį būtų galima programuoti, matyti atrakinimų laikus ir kuri kortelė atrakino ir kitaip administruoti spynas.</w:t>
            </w:r>
          </w:p>
        </w:tc>
      </w:tr>
      <w:tr w:rsidR="00FC12F3" w14:paraId="358DA723" w14:textId="77777777">
        <w:tc>
          <w:tcPr>
            <w:tcW w:w="7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8DA720" w14:textId="77777777" w:rsidR="00FC12F3" w:rsidRDefault="00DB59AB">
            <w:pPr>
              <w:pStyle w:val="Standard"/>
              <w:widowControl w:val="0"/>
              <w:jc w:val="center"/>
              <w:rPr>
                <w:rFonts w:ascii="Arial" w:hAnsi="Arial" w:cs="Arial"/>
              </w:rPr>
            </w:pPr>
            <w:r>
              <w:rPr>
                <w:rFonts w:ascii="Arial" w:hAnsi="Arial" w:cs="Arial"/>
              </w:rPr>
              <w:t>1.2.</w:t>
            </w:r>
          </w:p>
        </w:tc>
        <w:tc>
          <w:tcPr>
            <w:tcW w:w="87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8DA721" w14:textId="77777777" w:rsidR="00FC12F3" w:rsidRDefault="00DB59AB">
            <w:pPr>
              <w:pStyle w:val="Textbodyindent"/>
              <w:widowControl w:val="0"/>
              <w:tabs>
                <w:tab w:val="left" w:pos="651"/>
              </w:tabs>
              <w:spacing w:after="0"/>
              <w:ind w:left="0"/>
              <w:jc w:val="both"/>
              <w:rPr>
                <w:rFonts w:ascii="Arial" w:hAnsi="Arial" w:cs="Arial"/>
              </w:rPr>
            </w:pPr>
            <w:r>
              <w:rPr>
                <w:rFonts w:ascii="Arial" w:hAnsi="Arial" w:cs="Arial"/>
              </w:rPr>
              <w:t>Kortelių skaitytuvas:</w:t>
            </w:r>
          </w:p>
          <w:p w14:paraId="358DA722" w14:textId="77777777" w:rsidR="00FC12F3" w:rsidRDefault="00DB59AB">
            <w:pPr>
              <w:pStyle w:val="Textbodyindent"/>
              <w:widowControl w:val="0"/>
              <w:tabs>
                <w:tab w:val="left" w:pos="651"/>
              </w:tabs>
              <w:spacing w:after="0"/>
              <w:ind w:left="0"/>
              <w:jc w:val="both"/>
              <w:rPr>
                <w:rFonts w:ascii="Arial" w:hAnsi="Arial" w:cs="Arial"/>
              </w:rPr>
            </w:pPr>
            <w:r>
              <w:rPr>
                <w:rFonts w:ascii="Arial" w:hAnsi="Arial" w:cs="Arial"/>
              </w:rPr>
              <w:t xml:space="preserve">Kortelių skaitytuvas turi skaityti </w:t>
            </w:r>
            <w:proofErr w:type="spellStart"/>
            <w:r>
              <w:rPr>
                <w:rFonts w:ascii="Arial" w:hAnsi="Arial" w:cs="Arial"/>
              </w:rPr>
              <w:t>Mifare</w:t>
            </w:r>
            <w:proofErr w:type="spellEnd"/>
            <w:r>
              <w:rPr>
                <w:rFonts w:ascii="Arial" w:hAnsi="Arial" w:cs="Arial"/>
              </w:rPr>
              <w:t xml:space="preserve">, </w:t>
            </w:r>
            <w:proofErr w:type="spellStart"/>
            <w:r>
              <w:rPr>
                <w:rFonts w:ascii="Arial" w:hAnsi="Arial" w:cs="Arial"/>
              </w:rPr>
              <w:t>Mifare</w:t>
            </w:r>
            <w:proofErr w:type="spellEnd"/>
            <w:r>
              <w:rPr>
                <w:rFonts w:ascii="Arial" w:hAnsi="Arial" w:cs="Arial"/>
              </w:rPr>
              <w:t xml:space="preserve"> PLUS, </w:t>
            </w:r>
            <w:proofErr w:type="spellStart"/>
            <w:r>
              <w:rPr>
                <w:rFonts w:ascii="Arial" w:hAnsi="Arial" w:cs="Arial"/>
              </w:rPr>
              <w:t>Desfare</w:t>
            </w:r>
            <w:proofErr w:type="spellEnd"/>
            <w:r>
              <w:rPr>
                <w:rFonts w:ascii="Arial" w:hAnsi="Arial" w:cs="Arial"/>
              </w:rPr>
              <w:t xml:space="preserve"> formato </w:t>
            </w:r>
            <w:proofErr w:type="spellStart"/>
            <w:r>
              <w:rPr>
                <w:rFonts w:ascii="Arial" w:hAnsi="Arial" w:cs="Arial"/>
              </w:rPr>
              <w:t>atstumines</w:t>
            </w:r>
            <w:proofErr w:type="spellEnd"/>
            <w:r>
              <w:rPr>
                <w:rFonts w:ascii="Arial" w:hAnsi="Arial" w:cs="Arial"/>
              </w:rPr>
              <w:t xml:space="preserve"> korteles. Nuskaitymo dažnis 13,56 MHz, ISO 14.443A, ISO 14.443B ir ISO 15.693 standartu. Visa komunikacija tarp spynos ir kortelės koduota</w:t>
            </w:r>
          </w:p>
        </w:tc>
      </w:tr>
      <w:tr w:rsidR="00FC12F3" w14:paraId="358DA727" w14:textId="77777777">
        <w:tc>
          <w:tcPr>
            <w:tcW w:w="7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8DA724" w14:textId="77777777" w:rsidR="00FC12F3" w:rsidRDefault="00DB59AB">
            <w:pPr>
              <w:pStyle w:val="Standard"/>
              <w:widowControl w:val="0"/>
              <w:jc w:val="center"/>
              <w:rPr>
                <w:rFonts w:ascii="Arial" w:hAnsi="Arial" w:cs="Arial"/>
              </w:rPr>
            </w:pPr>
            <w:r>
              <w:rPr>
                <w:rFonts w:ascii="Arial" w:hAnsi="Arial" w:cs="Arial"/>
              </w:rPr>
              <w:t>1.3.</w:t>
            </w:r>
          </w:p>
        </w:tc>
        <w:tc>
          <w:tcPr>
            <w:tcW w:w="87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8DA725" w14:textId="77777777" w:rsidR="00FC12F3" w:rsidRDefault="00DB59AB">
            <w:pPr>
              <w:pStyle w:val="Standard"/>
              <w:widowControl w:val="0"/>
              <w:jc w:val="both"/>
              <w:rPr>
                <w:rFonts w:ascii="Arial" w:hAnsi="Arial" w:cs="Arial"/>
              </w:rPr>
            </w:pPr>
            <w:r>
              <w:rPr>
                <w:rFonts w:ascii="Arial" w:hAnsi="Arial" w:cs="Arial"/>
              </w:rPr>
              <w:t>Spynos valdymas:</w:t>
            </w:r>
          </w:p>
          <w:p w14:paraId="358DA726" w14:textId="7BC29D6A" w:rsidR="00FC12F3" w:rsidRDefault="00425418" w:rsidP="00425418">
            <w:pPr>
              <w:pStyle w:val="Standard"/>
              <w:widowControl w:val="0"/>
              <w:rPr>
                <w:rFonts w:ascii="Arial" w:hAnsi="Arial" w:cs="Arial"/>
              </w:rPr>
            </w:pPr>
            <w:r w:rsidRPr="00425418">
              <w:rPr>
                <w:rFonts w:ascii="Arial" w:hAnsi="Arial" w:cs="Arial"/>
              </w:rPr>
              <w:t>Spynos programuojamos naudojant NFC, Bluetooth, WiFi ar lygiavertės technologijos ryšį “.</w:t>
            </w:r>
          </w:p>
        </w:tc>
      </w:tr>
      <w:tr w:rsidR="00FC12F3" w14:paraId="358DA72D" w14:textId="77777777">
        <w:tc>
          <w:tcPr>
            <w:tcW w:w="7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8DA728" w14:textId="77777777" w:rsidR="00FC12F3" w:rsidRDefault="00DB59AB">
            <w:pPr>
              <w:pStyle w:val="Standard"/>
              <w:widowControl w:val="0"/>
              <w:jc w:val="center"/>
              <w:rPr>
                <w:rFonts w:ascii="Arial" w:hAnsi="Arial" w:cs="Arial"/>
              </w:rPr>
            </w:pPr>
            <w:r>
              <w:rPr>
                <w:rFonts w:ascii="Arial" w:hAnsi="Arial" w:cs="Arial"/>
              </w:rPr>
              <w:t>1.4.</w:t>
            </w:r>
          </w:p>
        </w:tc>
        <w:tc>
          <w:tcPr>
            <w:tcW w:w="87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8DA729" w14:textId="77777777" w:rsidR="00FC12F3" w:rsidRDefault="00DB59AB">
            <w:pPr>
              <w:pStyle w:val="Standard"/>
              <w:widowControl w:val="0"/>
              <w:jc w:val="both"/>
              <w:rPr>
                <w:rFonts w:ascii="Arial" w:hAnsi="Arial" w:cs="Arial"/>
              </w:rPr>
            </w:pPr>
            <w:r>
              <w:rPr>
                <w:rFonts w:ascii="Arial" w:hAnsi="Arial" w:cs="Arial"/>
              </w:rPr>
              <w:t>Techniniai reikalavimai:</w:t>
            </w:r>
          </w:p>
          <w:p w14:paraId="358DA72A" w14:textId="77777777" w:rsidR="00FC12F3" w:rsidRDefault="00DB59AB">
            <w:pPr>
              <w:pStyle w:val="Numeracija"/>
              <w:widowControl w:val="0"/>
              <w:numPr>
                <w:ilvl w:val="0"/>
                <w:numId w:val="0"/>
              </w:numPr>
              <w:tabs>
                <w:tab w:val="left" w:pos="395"/>
              </w:tabs>
              <w:spacing w:before="0" w:after="0"/>
              <w:ind w:left="26" w:hanging="360"/>
              <w:rPr>
                <w:rFonts w:ascii="Arial" w:hAnsi="Arial" w:cs="Arial"/>
                <w:sz w:val="24"/>
                <w:szCs w:val="24"/>
              </w:rPr>
            </w:pPr>
            <w:proofErr w:type="spellStart"/>
            <w:r>
              <w:rPr>
                <w:rFonts w:ascii="Arial" w:hAnsi="Arial" w:cs="Arial"/>
                <w:sz w:val="24"/>
                <w:szCs w:val="24"/>
              </w:rPr>
              <w:t>Atįdarymų</w:t>
            </w:r>
            <w:proofErr w:type="spellEnd"/>
            <w:r>
              <w:rPr>
                <w:rFonts w:ascii="Arial" w:hAnsi="Arial" w:cs="Arial"/>
                <w:sz w:val="24"/>
                <w:szCs w:val="24"/>
              </w:rPr>
              <w:t xml:space="preserve"> skaičius: ne mažiau kaip 40.000 atidarymu (RFID) iki 70.000 su 1 baterijų komplektu.</w:t>
            </w:r>
          </w:p>
          <w:p w14:paraId="358DA72B" w14:textId="77777777" w:rsidR="00FC12F3" w:rsidRDefault="00DB59AB">
            <w:pPr>
              <w:pStyle w:val="Numeracija"/>
              <w:widowControl w:val="0"/>
              <w:numPr>
                <w:ilvl w:val="0"/>
                <w:numId w:val="0"/>
              </w:numPr>
              <w:tabs>
                <w:tab w:val="left" w:pos="395"/>
              </w:tabs>
              <w:spacing w:before="0" w:after="0"/>
              <w:ind w:left="26" w:hanging="360"/>
              <w:rPr>
                <w:rFonts w:ascii="Arial" w:hAnsi="Arial" w:cs="Arial"/>
                <w:sz w:val="24"/>
                <w:szCs w:val="24"/>
              </w:rPr>
            </w:pPr>
            <w:r>
              <w:rPr>
                <w:rFonts w:ascii="Arial" w:hAnsi="Arial" w:cs="Arial"/>
                <w:sz w:val="24"/>
                <w:szCs w:val="24"/>
              </w:rPr>
              <w:t>Veikia aplinkos sąlygose: -20º / 60º C (su Ličio baterijomis).</w:t>
            </w:r>
          </w:p>
          <w:p w14:paraId="358DA72C" w14:textId="77777777" w:rsidR="00FC12F3" w:rsidRDefault="00DB59AB">
            <w:pPr>
              <w:pStyle w:val="Standard"/>
              <w:widowControl w:val="0"/>
              <w:jc w:val="both"/>
              <w:rPr>
                <w:rFonts w:ascii="Arial" w:hAnsi="Arial" w:cs="Arial"/>
              </w:rPr>
            </w:pPr>
            <w:r>
              <w:rPr>
                <w:rFonts w:ascii="Arial" w:hAnsi="Arial" w:cs="Arial"/>
              </w:rPr>
              <w:t>Atsparumas drėgmei: ne prasčiau nei IP55 reitingas RFID atveju.</w:t>
            </w:r>
          </w:p>
        </w:tc>
      </w:tr>
    </w:tbl>
    <w:p w14:paraId="358DA72E" w14:textId="77777777" w:rsidR="00FC12F3" w:rsidRDefault="00DB59AB">
      <w:pPr>
        <w:pStyle w:val="Antrat4"/>
        <w:rPr>
          <w:rFonts w:hint="eastAsia"/>
        </w:rPr>
      </w:pPr>
      <w:r>
        <w:rPr>
          <w:rStyle w:val="StrongEmphasis"/>
          <w:rFonts w:ascii="Arial" w:hAnsi="Arial"/>
        </w:rPr>
        <w:t>Papildomos sąlygos</w:t>
      </w:r>
    </w:p>
    <w:p w14:paraId="358DA72F" w14:textId="77777777" w:rsidR="00FC12F3" w:rsidRDefault="00DB59AB" w:rsidP="00A17598">
      <w:pPr>
        <w:pStyle w:val="Textbody"/>
        <w:numPr>
          <w:ilvl w:val="0"/>
          <w:numId w:val="9"/>
        </w:numPr>
        <w:spacing w:after="0"/>
        <w:rPr>
          <w:rFonts w:ascii="Arial" w:hAnsi="Arial"/>
        </w:rPr>
      </w:pPr>
      <w:r>
        <w:rPr>
          <w:rFonts w:ascii="Arial" w:hAnsi="Arial"/>
        </w:rPr>
        <w:t>Pasiūlymas turi apimti pilną sistemos paleidimą „iki rakto“ principu.</w:t>
      </w:r>
    </w:p>
    <w:p w14:paraId="4719FDFA" w14:textId="77777777" w:rsidR="008652E4" w:rsidRDefault="00DB59AB" w:rsidP="00A17598">
      <w:pPr>
        <w:pStyle w:val="Textbody"/>
        <w:numPr>
          <w:ilvl w:val="0"/>
          <w:numId w:val="9"/>
        </w:numPr>
        <w:spacing w:after="0"/>
        <w:rPr>
          <w:rFonts w:ascii="Arial" w:hAnsi="Arial"/>
        </w:rPr>
      </w:pPr>
      <w:r w:rsidRPr="00425418">
        <w:rPr>
          <w:rFonts w:ascii="Arial" w:hAnsi="Arial"/>
        </w:rPr>
        <w:t xml:space="preserve">Visas pateiktas įrenginys turi </w:t>
      </w:r>
      <w:r w:rsidR="00425418" w:rsidRPr="00425418">
        <w:rPr>
          <w:rFonts w:ascii="Arial" w:hAnsi="Arial"/>
        </w:rPr>
        <w:t>turėti CE (</w:t>
      </w:r>
      <w:proofErr w:type="spellStart"/>
      <w:r w:rsidR="00425418" w:rsidRPr="00425418">
        <w:rPr>
          <w:rFonts w:ascii="Arial" w:hAnsi="Arial"/>
        </w:rPr>
        <w:t>Conformité</w:t>
      </w:r>
      <w:proofErr w:type="spellEnd"/>
      <w:r w:rsidR="00425418" w:rsidRPr="00425418">
        <w:rPr>
          <w:rFonts w:ascii="Arial" w:hAnsi="Arial"/>
        </w:rPr>
        <w:t xml:space="preserve"> </w:t>
      </w:r>
      <w:proofErr w:type="spellStart"/>
      <w:r w:rsidR="00425418" w:rsidRPr="00425418">
        <w:rPr>
          <w:rFonts w:ascii="Arial" w:hAnsi="Arial"/>
        </w:rPr>
        <w:t>Européenne</w:t>
      </w:r>
      <w:proofErr w:type="spellEnd"/>
      <w:r w:rsidR="00425418" w:rsidRPr="00425418">
        <w:rPr>
          <w:rFonts w:ascii="Arial" w:hAnsi="Arial"/>
        </w:rPr>
        <w:t xml:space="preserve">)  sertifikatą, kuris </w:t>
      </w:r>
    </w:p>
    <w:p w14:paraId="37E9C31F" w14:textId="3B8A638D" w:rsidR="00A17598" w:rsidRPr="00425418" w:rsidRDefault="00425418" w:rsidP="008652E4">
      <w:pPr>
        <w:pStyle w:val="Textbody"/>
        <w:spacing w:after="0"/>
        <w:rPr>
          <w:rFonts w:ascii="Arial" w:hAnsi="Arial"/>
        </w:rPr>
      </w:pPr>
      <w:r w:rsidRPr="00425418">
        <w:rPr>
          <w:rFonts w:ascii="Arial" w:hAnsi="Arial"/>
        </w:rPr>
        <w:t>leidžia prekę parduoti Europos Sąjungoje</w:t>
      </w:r>
      <w:r>
        <w:rPr>
          <w:rFonts w:ascii="Arial" w:hAnsi="Arial"/>
        </w:rPr>
        <w:t>.</w:t>
      </w:r>
    </w:p>
    <w:p w14:paraId="3FDE2BF6" w14:textId="07E94390" w:rsidR="001B0259" w:rsidRDefault="001B0259">
      <w:pPr>
        <w:pStyle w:val="Standard"/>
        <w:rPr>
          <w:rFonts w:ascii="Arial" w:hAnsi="Arial"/>
        </w:rPr>
      </w:pPr>
    </w:p>
    <w:sectPr w:rsidR="001B0259">
      <w:pgSz w:w="11906" w:h="16838"/>
      <w:pgMar w:top="1134" w:right="1134" w:bottom="1134" w:left="1134"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8DA6DB" w14:textId="77777777" w:rsidR="00DB59AB" w:rsidRDefault="00DB59AB">
      <w:pPr>
        <w:rPr>
          <w:rFonts w:hint="eastAsia"/>
        </w:rPr>
      </w:pPr>
      <w:r>
        <w:separator/>
      </w:r>
    </w:p>
  </w:endnote>
  <w:endnote w:type="continuationSeparator" w:id="0">
    <w:p w14:paraId="358DA6DD" w14:textId="77777777" w:rsidR="00DB59AB" w:rsidRDefault="00DB59AB">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Symbol">
    <w:altName w:val="Arial Unicode MS"/>
    <w:charset w:val="02"/>
    <w:family w:val="auto"/>
    <w:pitch w:val="default"/>
  </w:font>
  <w:font w:name="Times New Roman">
    <w:panose1 w:val="02020603050405020304"/>
    <w:charset w:val="BA"/>
    <w:family w:val="roman"/>
    <w:pitch w:val="variable"/>
    <w:sig w:usb0="E0002EFF" w:usb1="C000785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charset w:val="00"/>
    <w:family w:val="swiss"/>
    <w:pitch w:val="variable"/>
    <w:sig w:usb0="00000003" w:usb1="00000000" w:usb2="00000000" w:usb3="00000000" w:csb0="00000001" w:csb1="00000000"/>
  </w:font>
  <w:font w:name="Liberation Sans">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8DA6D7" w14:textId="77777777" w:rsidR="00DB59AB" w:rsidRDefault="00DB59AB">
      <w:pPr>
        <w:rPr>
          <w:rFonts w:hint="eastAsia"/>
        </w:rPr>
      </w:pPr>
      <w:r>
        <w:rPr>
          <w:color w:val="000000"/>
        </w:rPr>
        <w:separator/>
      </w:r>
    </w:p>
  </w:footnote>
  <w:footnote w:type="continuationSeparator" w:id="0">
    <w:p w14:paraId="358DA6D9" w14:textId="77777777" w:rsidR="00DB59AB" w:rsidRDefault="00DB59AB">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257FF"/>
    <w:multiLevelType w:val="multilevel"/>
    <w:tmpl w:val="4198EAA4"/>
    <w:lvl w:ilvl="0">
      <w:numFmt w:val="bullet"/>
      <w:lvlText w:val="•"/>
      <w:lvlJc w:val="left"/>
      <w:pPr>
        <w:ind w:left="709" w:hanging="283"/>
      </w:pPr>
      <w:rPr>
        <w:rFonts w:ascii="OpenSymbol" w:eastAsia="OpenSymbol" w:hAnsi="OpenSymbol" w:cs="OpenSymbol"/>
      </w:rPr>
    </w:lvl>
    <w:lvl w:ilvl="1">
      <w:numFmt w:val="bullet"/>
      <w:lvlText w:val="•"/>
      <w:lvlJc w:val="left"/>
      <w:pPr>
        <w:ind w:left="1418" w:hanging="283"/>
      </w:pPr>
      <w:rPr>
        <w:rFonts w:ascii="OpenSymbol" w:eastAsia="OpenSymbol" w:hAnsi="OpenSymbol" w:cs="OpenSymbol"/>
      </w:rPr>
    </w:lvl>
    <w:lvl w:ilvl="2">
      <w:numFmt w:val="bullet"/>
      <w:lvlText w:val="•"/>
      <w:lvlJc w:val="left"/>
      <w:pPr>
        <w:ind w:left="2127" w:hanging="283"/>
      </w:pPr>
      <w:rPr>
        <w:rFonts w:ascii="OpenSymbol" w:eastAsia="OpenSymbol" w:hAnsi="OpenSymbol" w:cs="OpenSymbol"/>
      </w:rPr>
    </w:lvl>
    <w:lvl w:ilvl="3">
      <w:numFmt w:val="bullet"/>
      <w:lvlText w:val="•"/>
      <w:lvlJc w:val="left"/>
      <w:pPr>
        <w:ind w:left="2836" w:hanging="283"/>
      </w:pPr>
      <w:rPr>
        <w:rFonts w:ascii="OpenSymbol" w:eastAsia="OpenSymbol" w:hAnsi="OpenSymbol" w:cs="OpenSymbol"/>
      </w:rPr>
    </w:lvl>
    <w:lvl w:ilvl="4">
      <w:numFmt w:val="bullet"/>
      <w:lvlText w:val="•"/>
      <w:lvlJc w:val="left"/>
      <w:pPr>
        <w:ind w:left="3545" w:hanging="283"/>
      </w:pPr>
      <w:rPr>
        <w:rFonts w:ascii="OpenSymbol" w:eastAsia="OpenSymbol" w:hAnsi="OpenSymbol" w:cs="OpenSymbol"/>
      </w:rPr>
    </w:lvl>
    <w:lvl w:ilvl="5">
      <w:numFmt w:val="bullet"/>
      <w:lvlText w:val="•"/>
      <w:lvlJc w:val="left"/>
      <w:pPr>
        <w:ind w:left="4254" w:hanging="283"/>
      </w:pPr>
      <w:rPr>
        <w:rFonts w:ascii="OpenSymbol" w:eastAsia="OpenSymbol" w:hAnsi="OpenSymbol" w:cs="OpenSymbol"/>
      </w:rPr>
    </w:lvl>
    <w:lvl w:ilvl="6">
      <w:numFmt w:val="bullet"/>
      <w:lvlText w:val="•"/>
      <w:lvlJc w:val="left"/>
      <w:pPr>
        <w:ind w:left="4963" w:hanging="283"/>
      </w:pPr>
      <w:rPr>
        <w:rFonts w:ascii="OpenSymbol" w:eastAsia="OpenSymbol" w:hAnsi="OpenSymbol" w:cs="OpenSymbol"/>
      </w:rPr>
    </w:lvl>
    <w:lvl w:ilvl="7">
      <w:numFmt w:val="bullet"/>
      <w:lvlText w:val="•"/>
      <w:lvlJc w:val="left"/>
      <w:pPr>
        <w:ind w:left="5672" w:hanging="283"/>
      </w:pPr>
      <w:rPr>
        <w:rFonts w:ascii="OpenSymbol" w:eastAsia="OpenSymbol" w:hAnsi="OpenSymbol" w:cs="OpenSymbol"/>
      </w:rPr>
    </w:lvl>
    <w:lvl w:ilvl="8">
      <w:numFmt w:val="bullet"/>
      <w:lvlText w:val="•"/>
      <w:lvlJc w:val="left"/>
      <w:pPr>
        <w:ind w:left="6381" w:hanging="283"/>
      </w:pPr>
      <w:rPr>
        <w:rFonts w:ascii="OpenSymbol" w:eastAsia="OpenSymbol" w:hAnsi="OpenSymbol" w:cs="OpenSymbol"/>
      </w:rPr>
    </w:lvl>
  </w:abstractNum>
  <w:abstractNum w:abstractNumId="1" w15:restartNumberingAfterBreak="0">
    <w:nsid w:val="164621B6"/>
    <w:multiLevelType w:val="multilevel"/>
    <w:tmpl w:val="F4E82300"/>
    <w:styleLink w:val="WWNum16"/>
    <w:lvl w:ilvl="0">
      <w:start w:val="1"/>
      <w:numFmt w:val="decimal"/>
      <w:pStyle w:val="Numeracija"/>
      <w:suff w:val="space"/>
      <w:lvlText w:val="%1."/>
      <w:lvlJc w:val="left"/>
      <w:pPr>
        <w:ind w:left="1777" w:hanging="360"/>
      </w:pPr>
      <w:rPr>
        <w:b w:val="0"/>
        <w:bCs w:val="0"/>
        <w:i w:val="0"/>
        <w:iCs w:val="0"/>
        <w:caps w:val="0"/>
        <w:smallCaps w:val="0"/>
        <w:strike w:val="0"/>
        <w:dstrike w:val="0"/>
        <w:vanish w:val="0"/>
        <w:color w:val="000000"/>
        <w:spacing w:val="0"/>
        <w:kern w:val="0"/>
        <w:position w:val="0"/>
        <w:u w:val="none"/>
        <w:vertAlign w:val="baseline"/>
        <w:em w:val="none"/>
      </w:rPr>
    </w:lvl>
    <w:lvl w:ilvl="1">
      <w:start w:val="1"/>
      <w:numFmt w:val="decimal"/>
      <w:suff w:val="space"/>
      <w:lvlText w:val="%1.%2."/>
      <w:lvlJc w:val="left"/>
      <w:pPr>
        <w:ind w:left="2067" w:hanging="432"/>
      </w:pPr>
      <w:rPr>
        <w:b w:val="0"/>
      </w:rPr>
    </w:lvl>
    <w:lvl w:ilvl="2">
      <w:start w:val="1"/>
      <w:numFmt w:val="decimal"/>
      <w:suff w:val="space"/>
      <w:lvlText w:val="%1.%2.%3."/>
      <w:lvlJc w:val="left"/>
      <w:pPr>
        <w:ind w:left="2499" w:hanging="504"/>
      </w:pPr>
    </w:lvl>
    <w:lvl w:ilvl="3">
      <w:start w:val="1"/>
      <w:numFmt w:val="decimal"/>
      <w:lvlText w:val="%1.%2.%3.%4."/>
      <w:lvlJc w:val="left"/>
      <w:pPr>
        <w:ind w:left="3003" w:hanging="648"/>
      </w:pPr>
    </w:lvl>
    <w:lvl w:ilvl="4">
      <w:start w:val="1"/>
      <w:numFmt w:val="decimal"/>
      <w:lvlText w:val="%1.%2.%3.%4.%5."/>
      <w:lvlJc w:val="left"/>
      <w:pPr>
        <w:ind w:left="3507" w:hanging="792"/>
      </w:pPr>
    </w:lvl>
    <w:lvl w:ilvl="5">
      <w:start w:val="1"/>
      <w:numFmt w:val="decimal"/>
      <w:lvlText w:val="%1.%2.%3.%4.%5.%6."/>
      <w:lvlJc w:val="left"/>
      <w:pPr>
        <w:ind w:left="4011" w:hanging="936"/>
      </w:pPr>
    </w:lvl>
    <w:lvl w:ilvl="6">
      <w:start w:val="1"/>
      <w:numFmt w:val="decimal"/>
      <w:lvlText w:val="%1.%2.%3.%4.%5.%6.%7."/>
      <w:lvlJc w:val="left"/>
      <w:pPr>
        <w:ind w:left="4515" w:hanging="1080"/>
      </w:pPr>
    </w:lvl>
    <w:lvl w:ilvl="7">
      <w:start w:val="1"/>
      <w:numFmt w:val="decimal"/>
      <w:lvlText w:val="%1.%2.%3.%4.%5.%6.%7.%8."/>
      <w:lvlJc w:val="left"/>
      <w:pPr>
        <w:ind w:left="5019" w:hanging="1224"/>
      </w:pPr>
    </w:lvl>
    <w:lvl w:ilvl="8">
      <w:start w:val="1"/>
      <w:numFmt w:val="decimal"/>
      <w:lvlText w:val="%1.%2.%3.%4.%5.%6.%7.%8.%9."/>
      <w:lvlJc w:val="left"/>
      <w:pPr>
        <w:ind w:left="5595" w:hanging="1440"/>
      </w:pPr>
    </w:lvl>
  </w:abstractNum>
  <w:abstractNum w:abstractNumId="2" w15:restartNumberingAfterBreak="0">
    <w:nsid w:val="19DA6BEC"/>
    <w:multiLevelType w:val="multilevel"/>
    <w:tmpl w:val="1C08A06E"/>
    <w:lvl w:ilvl="0">
      <w:numFmt w:val="bullet"/>
      <w:lvlText w:val="•"/>
      <w:lvlJc w:val="left"/>
      <w:pPr>
        <w:ind w:left="709" w:hanging="283"/>
      </w:pPr>
      <w:rPr>
        <w:rFonts w:ascii="OpenSymbol" w:eastAsia="OpenSymbol" w:hAnsi="OpenSymbol" w:cs="OpenSymbol"/>
      </w:rPr>
    </w:lvl>
    <w:lvl w:ilvl="1">
      <w:numFmt w:val="bullet"/>
      <w:lvlText w:val="•"/>
      <w:lvlJc w:val="left"/>
      <w:pPr>
        <w:ind w:left="1418" w:hanging="283"/>
      </w:pPr>
      <w:rPr>
        <w:rFonts w:ascii="OpenSymbol" w:eastAsia="OpenSymbol" w:hAnsi="OpenSymbol" w:cs="OpenSymbol"/>
      </w:rPr>
    </w:lvl>
    <w:lvl w:ilvl="2">
      <w:numFmt w:val="bullet"/>
      <w:lvlText w:val="•"/>
      <w:lvlJc w:val="left"/>
      <w:pPr>
        <w:ind w:left="2127" w:hanging="283"/>
      </w:pPr>
      <w:rPr>
        <w:rFonts w:ascii="OpenSymbol" w:eastAsia="OpenSymbol" w:hAnsi="OpenSymbol" w:cs="OpenSymbol"/>
      </w:rPr>
    </w:lvl>
    <w:lvl w:ilvl="3">
      <w:numFmt w:val="bullet"/>
      <w:lvlText w:val="•"/>
      <w:lvlJc w:val="left"/>
      <w:pPr>
        <w:ind w:left="2836" w:hanging="283"/>
      </w:pPr>
      <w:rPr>
        <w:rFonts w:ascii="OpenSymbol" w:eastAsia="OpenSymbol" w:hAnsi="OpenSymbol" w:cs="OpenSymbol"/>
      </w:rPr>
    </w:lvl>
    <w:lvl w:ilvl="4">
      <w:numFmt w:val="bullet"/>
      <w:lvlText w:val="•"/>
      <w:lvlJc w:val="left"/>
      <w:pPr>
        <w:ind w:left="3545" w:hanging="283"/>
      </w:pPr>
      <w:rPr>
        <w:rFonts w:ascii="OpenSymbol" w:eastAsia="OpenSymbol" w:hAnsi="OpenSymbol" w:cs="OpenSymbol"/>
      </w:rPr>
    </w:lvl>
    <w:lvl w:ilvl="5">
      <w:numFmt w:val="bullet"/>
      <w:lvlText w:val="•"/>
      <w:lvlJc w:val="left"/>
      <w:pPr>
        <w:ind w:left="4254" w:hanging="283"/>
      </w:pPr>
      <w:rPr>
        <w:rFonts w:ascii="OpenSymbol" w:eastAsia="OpenSymbol" w:hAnsi="OpenSymbol" w:cs="OpenSymbol"/>
      </w:rPr>
    </w:lvl>
    <w:lvl w:ilvl="6">
      <w:numFmt w:val="bullet"/>
      <w:lvlText w:val="•"/>
      <w:lvlJc w:val="left"/>
      <w:pPr>
        <w:ind w:left="4963" w:hanging="283"/>
      </w:pPr>
      <w:rPr>
        <w:rFonts w:ascii="OpenSymbol" w:eastAsia="OpenSymbol" w:hAnsi="OpenSymbol" w:cs="OpenSymbol"/>
      </w:rPr>
    </w:lvl>
    <w:lvl w:ilvl="7">
      <w:numFmt w:val="bullet"/>
      <w:lvlText w:val="•"/>
      <w:lvlJc w:val="left"/>
      <w:pPr>
        <w:ind w:left="5672" w:hanging="283"/>
      </w:pPr>
      <w:rPr>
        <w:rFonts w:ascii="OpenSymbol" w:eastAsia="OpenSymbol" w:hAnsi="OpenSymbol" w:cs="OpenSymbol"/>
      </w:rPr>
    </w:lvl>
    <w:lvl w:ilvl="8">
      <w:numFmt w:val="bullet"/>
      <w:lvlText w:val="•"/>
      <w:lvlJc w:val="left"/>
      <w:pPr>
        <w:ind w:left="6381" w:hanging="283"/>
      </w:pPr>
      <w:rPr>
        <w:rFonts w:ascii="OpenSymbol" w:eastAsia="OpenSymbol" w:hAnsi="OpenSymbol" w:cs="OpenSymbol"/>
      </w:rPr>
    </w:lvl>
  </w:abstractNum>
  <w:abstractNum w:abstractNumId="3" w15:restartNumberingAfterBreak="0">
    <w:nsid w:val="26635FB7"/>
    <w:multiLevelType w:val="multilevel"/>
    <w:tmpl w:val="6A0E3C22"/>
    <w:lvl w:ilvl="0">
      <w:numFmt w:val="bullet"/>
      <w:lvlText w:val="•"/>
      <w:lvlJc w:val="left"/>
      <w:pPr>
        <w:ind w:left="709" w:hanging="283"/>
      </w:pPr>
      <w:rPr>
        <w:rFonts w:ascii="OpenSymbol" w:eastAsia="OpenSymbol" w:hAnsi="OpenSymbol" w:cs="OpenSymbol"/>
      </w:rPr>
    </w:lvl>
    <w:lvl w:ilvl="1">
      <w:numFmt w:val="bullet"/>
      <w:lvlText w:val="•"/>
      <w:lvlJc w:val="left"/>
      <w:pPr>
        <w:ind w:left="1418" w:hanging="283"/>
      </w:pPr>
      <w:rPr>
        <w:rFonts w:ascii="OpenSymbol" w:eastAsia="OpenSymbol" w:hAnsi="OpenSymbol" w:cs="OpenSymbol"/>
      </w:rPr>
    </w:lvl>
    <w:lvl w:ilvl="2">
      <w:numFmt w:val="bullet"/>
      <w:lvlText w:val="•"/>
      <w:lvlJc w:val="left"/>
      <w:pPr>
        <w:ind w:left="2127" w:hanging="283"/>
      </w:pPr>
      <w:rPr>
        <w:rFonts w:ascii="OpenSymbol" w:eastAsia="OpenSymbol" w:hAnsi="OpenSymbol" w:cs="OpenSymbol"/>
      </w:rPr>
    </w:lvl>
    <w:lvl w:ilvl="3">
      <w:numFmt w:val="bullet"/>
      <w:lvlText w:val="•"/>
      <w:lvlJc w:val="left"/>
      <w:pPr>
        <w:ind w:left="2836" w:hanging="283"/>
      </w:pPr>
      <w:rPr>
        <w:rFonts w:ascii="OpenSymbol" w:eastAsia="OpenSymbol" w:hAnsi="OpenSymbol" w:cs="OpenSymbol"/>
      </w:rPr>
    </w:lvl>
    <w:lvl w:ilvl="4">
      <w:numFmt w:val="bullet"/>
      <w:lvlText w:val="•"/>
      <w:lvlJc w:val="left"/>
      <w:pPr>
        <w:ind w:left="3545" w:hanging="283"/>
      </w:pPr>
      <w:rPr>
        <w:rFonts w:ascii="OpenSymbol" w:eastAsia="OpenSymbol" w:hAnsi="OpenSymbol" w:cs="OpenSymbol"/>
      </w:rPr>
    </w:lvl>
    <w:lvl w:ilvl="5">
      <w:numFmt w:val="bullet"/>
      <w:lvlText w:val="•"/>
      <w:lvlJc w:val="left"/>
      <w:pPr>
        <w:ind w:left="4254" w:hanging="283"/>
      </w:pPr>
      <w:rPr>
        <w:rFonts w:ascii="OpenSymbol" w:eastAsia="OpenSymbol" w:hAnsi="OpenSymbol" w:cs="OpenSymbol"/>
      </w:rPr>
    </w:lvl>
    <w:lvl w:ilvl="6">
      <w:numFmt w:val="bullet"/>
      <w:lvlText w:val="•"/>
      <w:lvlJc w:val="left"/>
      <w:pPr>
        <w:ind w:left="4963" w:hanging="283"/>
      </w:pPr>
      <w:rPr>
        <w:rFonts w:ascii="OpenSymbol" w:eastAsia="OpenSymbol" w:hAnsi="OpenSymbol" w:cs="OpenSymbol"/>
      </w:rPr>
    </w:lvl>
    <w:lvl w:ilvl="7">
      <w:numFmt w:val="bullet"/>
      <w:lvlText w:val="•"/>
      <w:lvlJc w:val="left"/>
      <w:pPr>
        <w:ind w:left="5672" w:hanging="283"/>
      </w:pPr>
      <w:rPr>
        <w:rFonts w:ascii="OpenSymbol" w:eastAsia="OpenSymbol" w:hAnsi="OpenSymbol" w:cs="OpenSymbol"/>
      </w:rPr>
    </w:lvl>
    <w:lvl w:ilvl="8">
      <w:numFmt w:val="bullet"/>
      <w:lvlText w:val="•"/>
      <w:lvlJc w:val="left"/>
      <w:pPr>
        <w:ind w:left="6381" w:hanging="283"/>
      </w:pPr>
      <w:rPr>
        <w:rFonts w:ascii="OpenSymbol" w:eastAsia="OpenSymbol" w:hAnsi="OpenSymbol" w:cs="OpenSymbol"/>
      </w:rPr>
    </w:lvl>
  </w:abstractNum>
  <w:abstractNum w:abstractNumId="4" w15:restartNumberingAfterBreak="0">
    <w:nsid w:val="38E2038D"/>
    <w:multiLevelType w:val="multilevel"/>
    <w:tmpl w:val="AB08C8DA"/>
    <w:lvl w:ilvl="0">
      <w:numFmt w:val="bullet"/>
      <w:lvlText w:val="•"/>
      <w:lvlJc w:val="left"/>
      <w:pPr>
        <w:ind w:left="709" w:hanging="283"/>
      </w:pPr>
      <w:rPr>
        <w:rFonts w:ascii="OpenSymbol" w:eastAsia="OpenSymbol" w:hAnsi="OpenSymbol" w:cs="OpenSymbol"/>
      </w:rPr>
    </w:lvl>
    <w:lvl w:ilvl="1">
      <w:numFmt w:val="bullet"/>
      <w:lvlText w:val="•"/>
      <w:lvlJc w:val="left"/>
      <w:pPr>
        <w:ind w:left="1418" w:hanging="283"/>
      </w:pPr>
      <w:rPr>
        <w:rFonts w:ascii="OpenSymbol" w:eastAsia="OpenSymbol" w:hAnsi="OpenSymbol" w:cs="OpenSymbol"/>
      </w:rPr>
    </w:lvl>
    <w:lvl w:ilvl="2">
      <w:numFmt w:val="bullet"/>
      <w:lvlText w:val="•"/>
      <w:lvlJc w:val="left"/>
      <w:pPr>
        <w:ind w:left="2127" w:hanging="283"/>
      </w:pPr>
      <w:rPr>
        <w:rFonts w:ascii="OpenSymbol" w:eastAsia="OpenSymbol" w:hAnsi="OpenSymbol" w:cs="OpenSymbol"/>
      </w:rPr>
    </w:lvl>
    <w:lvl w:ilvl="3">
      <w:numFmt w:val="bullet"/>
      <w:lvlText w:val="•"/>
      <w:lvlJc w:val="left"/>
      <w:pPr>
        <w:ind w:left="2836" w:hanging="283"/>
      </w:pPr>
      <w:rPr>
        <w:rFonts w:ascii="OpenSymbol" w:eastAsia="OpenSymbol" w:hAnsi="OpenSymbol" w:cs="OpenSymbol"/>
      </w:rPr>
    </w:lvl>
    <w:lvl w:ilvl="4">
      <w:numFmt w:val="bullet"/>
      <w:lvlText w:val="•"/>
      <w:lvlJc w:val="left"/>
      <w:pPr>
        <w:ind w:left="3545" w:hanging="283"/>
      </w:pPr>
      <w:rPr>
        <w:rFonts w:ascii="OpenSymbol" w:eastAsia="OpenSymbol" w:hAnsi="OpenSymbol" w:cs="OpenSymbol"/>
      </w:rPr>
    </w:lvl>
    <w:lvl w:ilvl="5">
      <w:numFmt w:val="bullet"/>
      <w:lvlText w:val="•"/>
      <w:lvlJc w:val="left"/>
      <w:pPr>
        <w:ind w:left="4254" w:hanging="283"/>
      </w:pPr>
      <w:rPr>
        <w:rFonts w:ascii="OpenSymbol" w:eastAsia="OpenSymbol" w:hAnsi="OpenSymbol" w:cs="OpenSymbol"/>
      </w:rPr>
    </w:lvl>
    <w:lvl w:ilvl="6">
      <w:numFmt w:val="bullet"/>
      <w:lvlText w:val="•"/>
      <w:lvlJc w:val="left"/>
      <w:pPr>
        <w:ind w:left="4963" w:hanging="283"/>
      </w:pPr>
      <w:rPr>
        <w:rFonts w:ascii="OpenSymbol" w:eastAsia="OpenSymbol" w:hAnsi="OpenSymbol" w:cs="OpenSymbol"/>
      </w:rPr>
    </w:lvl>
    <w:lvl w:ilvl="7">
      <w:numFmt w:val="bullet"/>
      <w:lvlText w:val="•"/>
      <w:lvlJc w:val="left"/>
      <w:pPr>
        <w:ind w:left="5672" w:hanging="283"/>
      </w:pPr>
      <w:rPr>
        <w:rFonts w:ascii="OpenSymbol" w:eastAsia="OpenSymbol" w:hAnsi="OpenSymbol" w:cs="OpenSymbol"/>
      </w:rPr>
    </w:lvl>
    <w:lvl w:ilvl="8">
      <w:numFmt w:val="bullet"/>
      <w:lvlText w:val="•"/>
      <w:lvlJc w:val="left"/>
      <w:pPr>
        <w:ind w:left="6381" w:hanging="283"/>
      </w:pPr>
      <w:rPr>
        <w:rFonts w:ascii="OpenSymbol" w:eastAsia="OpenSymbol" w:hAnsi="OpenSymbol" w:cs="OpenSymbol"/>
      </w:rPr>
    </w:lvl>
  </w:abstractNum>
  <w:abstractNum w:abstractNumId="5" w15:restartNumberingAfterBreak="0">
    <w:nsid w:val="4A3356AE"/>
    <w:multiLevelType w:val="multilevel"/>
    <w:tmpl w:val="5894A2F8"/>
    <w:lvl w:ilvl="0">
      <w:numFmt w:val="bullet"/>
      <w:lvlText w:val="•"/>
      <w:lvlJc w:val="left"/>
      <w:pPr>
        <w:ind w:left="709" w:hanging="283"/>
      </w:pPr>
      <w:rPr>
        <w:rFonts w:ascii="OpenSymbol" w:eastAsia="OpenSymbol" w:hAnsi="OpenSymbol" w:cs="OpenSymbol"/>
      </w:rPr>
    </w:lvl>
    <w:lvl w:ilvl="1">
      <w:numFmt w:val="bullet"/>
      <w:lvlText w:val="•"/>
      <w:lvlJc w:val="left"/>
      <w:pPr>
        <w:ind w:left="1418" w:hanging="283"/>
      </w:pPr>
      <w:rPr>
        <w:rFonts w:ascii="OpenSymbol" w:eastAsia="OpenSymbol" w:hAnsi="OpenSymbol" w:cs="OpenSymbol"/>
      </w:rPr>
    </w:lvl>
    <w:lvl w:ilvl="2">
      <w:numFmt w:val="bullet"/>
      <w:lvlText w:val="•"/>
      <w:lvlJc w:val="left"/>
      <w:pPr>
        <w:ind w:left="2127" w:hanging="283"/>
      </w:pPr>
      <w:rPr>
        <w:rFonts w:ascii="OpenSymbol" w:eastAsia="OpenSymbol" w:hAnsi="OpenSymbol" w:cs="OpenSymbol"/>
      </w:rPr>
    </w:lvl>
    <w:lvl w:ilvl="3">
      <w:numFmt w:val="bullet"/>
      <w:lvlText w:val="•"/>
      <w:lvlJc w:val="left"/>
      <w:pPr>
        <w:ind w:left="2836" w:hanging="283"/>
      </w:pPr>
      <w:rPr>
        <w:rFonts w:ascii="OpenSymbol" w:eastAsia="OpenSymbol" w:hAnsi="OpenSymbol" w:cs="OpenSymbol"/>
      </w:rPr>
    </w:lvl>
    <w:lvl w:ilvl="4">
      <w:numFmt w:val="bullet"/>
      <w:lvlText w:val="•"/>
      <w:lvlJc w:val="left"/>
      <w:pPr>
        <w:ind w:left="3545" w:hanging="283"/>
      </w:pPr>
      <w:rPr>
        <w:rFonts w:ascii="OpenSymbol" w:eastAsia="OpenSymbol" w:hAnsi="OpenSymbol" w:cs="OpenSymbol"/>
      </w:rPr>
    </w:lvl>
    <w:lvl w:ilvl="5">
      <w:numFmt w:val="bullet"/>
      <w:lvlText w:val="•"/>
      <w:lvlJc w:val="left"/>
      <w:pPr>
        <w:ind w:left="4254" w:hanging="283"/>
      </w:pPr>
      <w:rPr>
        <w:rFonts w:ascii="OpenSymbol" w:eastAsia="OpenSymbol" w:hAnsi="OpenSymbol" w:cs="OpenSymbol"/>
      </w:rPr>
    </w:lvl>
    <w:lvl w:ilvl="6">
      <w:numFmt w:val="bullet"/>
      <w:lvlText w:val="•"/>
      <w:lvlJc w:val="left"/>
      <w:pPr>
        <w:ind w:left="4963" w:hanging="283"/>
      </w:pPr>
      <w:rPr>
        <w:rFonts w:ascii="OpenSymbol" w:eastAsia="OpenSymbol" w:hAnsi="OpenSymbol" w:cs="OpenSymbol"/>
      </w:rPr>
    </w:lvl>
    <w:lvl w:ilvl="7">
      <w:numFmt w:val="bullet"/>
      <w:lvlText w:val="•"/>
      <w:lvlJc w:val="left"/>
      <w:pPr>
        <w:ind w:left="5672" w:hanging="283"/>
      </w:pPr>
      <w:rPr>
        <w:rFonts w:ascii="OpenSymbol" w:eastAsia="OpenSymbol" w:hAnsi="OpenSymbol" w:cs="OpenSymbol"/>
      </w:rPr>
    </w:lvl>
    <w:lvl w:ilvl="8">
      <w:numFmt w:val="bullet"/>
      <w:lvlText w:val="•"/>
      <w:lvlJc w:val="left"/>
      <w:pPr>
        <w:ind w:left="6381" w:hanging="283"/>
      </w:pPr>
      <w:rPr>
        <w:rFonts w:ascii="OpenSymbol" w:eastAsia="OpenSymbol" w:hAnsi="OpenSymbol" w:cs="OpenSymbol"/>
      </w:rPr>
    </w:lvl>
  </w:abstractNum>
  <w:abstractNum w:abstractNumId="6" w15:restartNumberingAfterBreak="0">
    <w:nsid w:val="5AA95668"/>
    <w:multiLevelType w:val="multilevel"/>
    <w:tmpl w:val="3CCCC9CA"/>
    <w:lvl w:ilvl="0">
      <w:numFmt w:val="bullet"/>
      <w:lvlText w:val="•"/>
      <w:lvlJc w:val="left"/>
      <w:pPr>
        <w:ind w:left="709" w:hanging="283"/>
      </w:pPr>
      <w:rPr>
        <w:rFonts w:ascii="OpenSymbol" w:eastAsia="OpenSymbol" w:hAnsi="OpenSymbol" w:cs="OpenSymbol"/>
      </w:rPr>
    </w:lvl>
    <w:lvl w:ilvl="1">
      <w:numFmt w:val="bullet"/>
      <w:lvlText w:val="•"/>
      <w:lvlJc w:val="left"/>
      <w:pPr>
        <w:ind w:left="1418" w:hanging="283"/>
      </w:pPr>
      <w:rPr>
        <w:rFonts w:ascii="OpenSymbol" w:eastAsia="OpenSymbol" w:hAnsi="OpenSymbol" w:cs="OpenSymbol"/>
      </w:rPr>
    </w:lvl>
    <w:lvl w:ilvl="2">
      <w:numFmt w:val="bullet"/>
      <w:lvlText w:val="•"/>
      <w:lvlJc w:val="left"/>
      <w:pPr>
        <w:ind w:left="2127" w:hanging="283"/>
      </w:pPr>
      <w:rPr>
        <w:rFonts w:ascii="OpenSymbol" w:eastAsia="OpenSymbol" w:hAnsi="OpenSymbol" w:cs="OpenSymbol"/>
      </w:rPr>
    </w:lvl>
    <w:lvl w:ilvl="3">
      <w:numFmt w:val="bullet"/>
      <w:lvlText w:val="•"/>
      <w:lvlJc w:val="left"/>
      <w:pPr>
        <w:ind w:left="2836" w:hanging="283"/>
      </w:pPr>
      <w:rPr>
        <w:rFonts w:ascii="OpenSymbol" w:eastAsia="OpenSymbol" w:hAnsi="OpenSymbol" w:cs="OpenSymbol"/>
      </w:rPr>
    </w:lvl>
    <w:lvl w:ilvl="4">
      <w:numFmt w:val="bullet"/>
      <w:lvlText w:val="•"/>
      <w:lvlJc w:val="left"/>
      <w:pPr>
        <w:ind w:left="3545" w:hanging="283"/>
      </w:pPr>
      <w:rPr>
        <w:rFonts w:ascii="OpenSymbol" w:eastAsia="OpenSymbol" w:hAnsi="OpenSymbol" w:cs="OpenSymbol"/>
      </w:rPr>
    </w:lvl>
    <w:lvl w:ilvl="5">
      <w:numFmt w:val="bullet"/>
      <w:lvlText w:val="•"/>
      <w:lvlJc w:val="left"/>
      <w:pPr>
        <w:ind w:left="4254" w:hanging="283"/>
      </w:pPr>
      <w:rPr>
        <w:rFonts w:ascii="OpenSymbol" w:eastAsia="OpenSymbol" w:hAnsi="OpenSymbol" w:cs="OpenSymbol"/>
      </w:rPr>
    </w:lvl>
    <w:lvl w:ilvl="6">
      <w:numFmt w:val="bullet"/>
      <w:lvlText w:val="•"/>
      <w:lvlJc w:val="left"/>
      <w:pPr>
        <w:ind w:left="4963" w:hanging="283"/>
      </w:pPr>
      <w:rPr>
        <w:rFonts w:ascii="OpenSymbol" w:eastAsia="OpenSymbol" w:hAnsi="OpenSymbol" w:cs="OpenSymbol"/>
      </w:rPr>
    </w:lvl>
    <w:lvl w:ilvl="7">
      <w:numFmt w:val="bullet"/>
      <w:lvlText w:val="•"/>
      <w:lvlJc w:val="left"/>
      <w:pPr>
        <w:ind w:left="5672" w:hanging="283"/>
      </w:pPr>
      <w:rPr>
        <w:rFonts w:ascii="OpenSymbol" w:eastAsia="OpenSymbol" w:hAnsi="OpenSymbol" w:cs="OpenSymbol"/>
      </w:rPr>
    </w:lvl>
    <w:lvl w:ilvl="8">
      <w:numFmt w:val="bullet"/>
      <w:lvlText w:val="•"/>
      <w:lvlJc w:val="left"/>
      <w:pPr>
        <w:ind w:left="6381" w:hanging="283"/>
      </w:pPr>
      <w:rPr>
        <w:rFonts w:ascii="OpenSymbol" w:eastAsia="OpenSymbol" w:hAnsi="OpenSymbol" w:cs="OpenSymbol"/>
      </w:rPr>
    </w:lvl>
  </w:abstractNum>
  <w:abstractNum w:abstractNumId="7" w15:restartNumberingAfterBreak="0">
    <w:nsid w:val="6A83616E"/>
    <w:multiLevelType w:val="multilevel"/>
    <w:tmpl w:val="0172B304"/>
    <w:lvl w:ilvl="0">
      <w:numFmt w:val="bullet"/>
      <w:lvlText w:val="•"/>
      <w:lvlJc w:val="left"/>
      <w:pPr>
        <w:ind w:left="709" w:hanging="283"/>
      </w:pPr>
      <w:rPr>
        <w:rFonts w:ascii="OpenSymbol" w:eastAsia="OpenSymbol" w:hAnsi="OpenSymbol" w:cs="OpenSymbol"/>
      </w:rPr>
    </w:lvl>
    <w:lvl w:ilvl="1">
      <w:numFmt w:val="bullet"/>
      <w:lvlText w:val="•"/>
      <w:lvlJc w:val="left"/>
      <w:pPr>
        <w:ind w:left="1418" w:hanging="283"/>
      </w:pPr>
      <w:rPr>
        <w:rFonts w:ascii="OpenSymbol" w:eastAsia="OpenSymbol" w:hAnsi="OpenSymbol" w:cs="OpenSymbol"/>
      </w:rPr>
    </w:lvl>
    <w:lvl w:ilvl="2">
      <w:numFmt w:val="bullet"/>
      <w:lvlText w:val="•"/>
      <w:lvlJc w:val="left"/>
      <w:pPr>
        <w:ind w:left="2127" w:hanging="283"/>
      </w:pPr>
      <w:rPr>
        <w:rFonts w:ascii="OpenSymbol" w:eastAsia="OpenSymbol" w:hAnsi="OpenSymbol" w:cs="OpenSymbol"/>
      </w:rPr>
    </w:lvl>
    <w:lvl w:ilvl="3">
      <w:numFmt w:val="bullet"/>
      <w:lvlText w:val="•"/>
      <w:lvlJc w:val="left"/>
      <w:pPr>
        <w:ind w:left="2836" w:hanging="283"/>
      </w:pPr>
      <w:rPr>
        <w:rFonts w:ascii="OpenSymbol" w:eastAsia="OpenSymbol" w:hAnsi="OpenSymbol" w:cs="OpenSymbol"/>
      </w:rPr>
    </w:lvl>
    <w:lvl w:ilvl="4">
      <w:numFmt w:val="bullet"/>
      <w:lvlText w:val="•"/>
      <w:lvlJc w:val="left"/>
      <w:pPr>
        <w:ind w:left="3545" w:hanging="283"/>
      </w:pPr>
      <w:rPr>
        <w:rFonts w:ascii="OpenSymbol" w:eastAsia="OpenSymbol" w:hAnsi="OpenSymbol" w:cs="OpenSymbol"/>
      </w:rPr>
    </w:lvl>
    <w:lvl w:ilvl="5">
      <w:numFmt w:val="bullet"/>
      <w:lvlText w:val="•"/>
      <w:lvlJc w:val="left"/>
      <w:pPr>
        <w:ind w:left="4254" w:hanging="283"/>
      </w:pPr>
      <w:rPr>
        <w:rFonts w:ascii="OpenSymbol" w:eastAsia="OpenSymbol" w:hAnsi="OpenSymbol" w:cs="OpenSymbol"/>
      </w:rPr>
    </w:lvl>
    <w:lvl w:ilvl="6">
      <w:numFmt w:val="bullet"/>
      <w:lvlText w:val="•"/>
      <w:lvlJc w:val="left"/>
      <w:pPr>
        <w:ind w:left="4963" w:hanging="283"/>
      </w:pPr>
      <w:rPr>
        <w:rFonts w:ascii="OpenSymbol" w:eastAsia="OpenSymbol" w:hAnsi="OpenSymbol" w:cs="OpenSymbol"/>
      </w:rPr>
    </w:lvl>
    <w:lvl w:ilvl="7">
      <w:numFmt w:val="bullet"/>
      <w:lvlText w:val="•"/>
      <w:lvlJc w:val="left"/>
      <w:pPr>
        <w:ind w:left="5672" w:hanging="283"/>
      </w:pPr>
      <w:rPr>
        <w:rFonts w:ascii="OpenSymbol" w:eastAsia="OpenSymbol" w:hAnsi="OpenSymbol" w:cs="OpenSymbol"/>
      </w:rPr>
    </w:lvl>
    <w:lvl w:ilvl="8">
      <w:numFmt w:val="bullet"/>
      <w:lvlText w:val="•"/>
      <w:lvlJc w:val="left"/>
      <w:pPr>
        <w:ind w:left="6381" w:hanging="283"/>
      </w:pPr>
      <w:rPr>
        <w:rFonts w:ascii="OpenSymbol" w:eastAsia="OpenSymbol" w:hAnsi="OpenSymbol" w:cs="OpenSymbol"/>
      </w:rPr>
    </w:lvl>
  </w:abstractNum>
  <w:abstractNum w:abstractNumId="8" w15:restartNumberingAfterBreak="0">
    <w:nsid w:val="7FF3696D"/>
    <w:multiLevelType w:val="multilevel"/>
    <w:tmpl w:val="A61ACA80"/>
    <w:lvl w:ilvl="0">
      <w:numFmt w:val="bullet"/>
      <w:lvlText w:val="•"/>
      <w:lvlJc w:val="left"/>
      <w:pPr>
        <w:ind w:left="709" w:hanging="283"/>
      </w:pPr>
      <w:rPr>
        <w:rFonts w:ascii="OpenSymbol" w:eastAsia="OpenSymbol" w:hAnsi="OpenSymbol" w:cs="OpenSymbol"/>
      </w:rPr>
    </w:lvl>
    <w:lvl w:ilvl="1">
      <w:numFmt w:val="bullet"/>
      <w:lvlText w:val="•"/>
      <w:lvlJc w:val="left"/>
      <w:pPr>
        <w:ind w:left="1418" w:hanging="283"/>
      </w:pPr>
      <w:rPr>
        <w:rFonts w:ascii="OpenSymbol" w:eastAsia="OpenSymbol" w:hAnsi="OpenSymbol" w:cs="OpenSymbol"/>
      </w:rPr>
    </w:lvl>
    <w:lvl w:ilvl="2">
      <w:numFmt w:val="bullet"/>
      <w:lvlText w:val="•"/>
      <w:lvlJc w:val="left"/>
      <w:pPr>
        <w:ind w:left="2127" w:hanging="283"/>
      </w:pPr>
      <w:rPr>
        <w:rFonts w:ascii="OpenSymbol" w:eastAsia="OpenSymbol" w:hAnsi="OpenSymbol" w:cs="OpenSymbol"/>
      </w:rPr>
    </w:lvl>
    <w:lvl w:ilvl="3">
      <w:numFmt w:val="bullet"/>
      <w:lvlText w:val="•"/>
      <w:lvlJc w:val="left"/>
      <w:pPr>
        <w:ind w:left="2836" w:hanging="283"/>
      </w:pPr>
      <w:rPr>
        <w:rFonts w:ascii="OpenSymbol" w:eastAsia="OpenSymbol" w:hAnsi="OpenSymbol" w:cs="OpenSymbol"/>
      </w:rPr>
    </w:lvl>
    <w:lvl w:ilvl="4">
      <w:numFmt w:val="bullet"/>
      <w:lvlText w:val="•"/>
      <w:lvlJc w:val="left"/>
      <w:pPr>
        <w:ind w:left="3545" w:hanging="283"/>
      </w:pPr>
      <w:rPr>
        <w:rFonts w:ascii="OpenSymbol" w:eastAsia="OpenSymbol" w:hAnsi="OpenSymbol" w:cs="OpenSymbol"/>
      </w:rPr>
    </w:lvl>
    <w:lvl w:ilvl="5">
      <w:numFmt w:val="bullet"/>
      <w:lvlText w:val="•"/>
      <w:lvlJc w:val="left"/>
      <w:pPr>
        <w:ind w:left="4254" w:hanging="283"/>
      </w:pPr>
      <w:rPr>
        <w:rFonts w:ascii="OpenSymbol" w:eastAsia="OpenSymbol" w:hAnsi="OpenSymbol" w:cs="OpenSymbol"/>
      </w:rPr>
    </w:lvl>
    <w:lvl w:ilvl="6">
      <w:numFmt w:val="bullet"/>
      <w:lvlText w:val="•"/>
      <w:lvlJc w:val="left"/>
      <w:pPr>
        <w:ind w:left="4963" w:hanging="283"/>
      </w:pPr>
      <w:rPr>
        <w:rFonts w:ascii="OpenSymbol" w:eastAsia="OpenSymbol" w:hAnsi="OpenSymbol" w:cs="OpenSymbol"/>
      </w:rPr>
    </w:lvl>
    <w:lvl w:ilvl="7">
      <w:numFmt w:val="bullet"/>
      <w:lvlText w:val="•"/>
      <w:lvlJc w:val="left"/>
      <w:pPr>
        <w:ind w:left="5672" w:hanging="283"/>
      </w:pPr>
      <w:rPr>
        <w:rFonts w:ascii="OpenSymbol" w:eastAsia="OpenSymbol" w:hAnsi="OpenSymbol" w:cs="OpenSymbol"/>
      </w:rPr>
    </w:lvl>
    <w:lvl w:ilvl="8">
      <w:numFmt w:val="bullet"/>
      <w:lvlText w:val="•"/>
      <w:lvlJc w:val="left"/>
      <w:pPr>
        <w:ind w:left="6381" w:hanging="283"/>
      </w:pPr>
      <w:rPr>
        <w:rFonts w:ascii="OpenSymbol" w:eastAsia="OpenSymbol" w:hAnsi="OpenSymbol" w:cs="OpenSymbol"/>
      </w:rPr>
    </w:lvl>
  </w:abstractNum>
  <w:num w:numId="1" w16cid:durableId="129442715">
    <w:abstractNumId w:val="1"/>
  </w:num>
  <w:num w:numId="2" w16cid:durableId="491145446">
    <w:abstractNumId w:val="8"/>
  </w:num>
  <w:num w:numId="3" w16cid:durableId="623511565">
    <w:abstractNumId w:val="7"/>
  </w:num>
  <w:num w:numId="4" w16cid:durableId="691033629">
    <w:abstractNumId w:val="3"/>
  </w:num>
  <w:num w:numId="5" w16cid:durableId="954141767">
    <w:abstractNumId w:val="5"/>
  </w:num>
  <w:num w:numId="6" w16cid:durableId="411246013">
    <w:abstractNumId w:val="2"/>
  </w:num>
  <w:num w:numId="7" w16cid:durableId="303394241">
    <w:abstractNumId w:val="0"/>
  </w:num>
  <w:num w:numId="8" w16cid:durableId="87165381">
    <w:abstractNumId w:val="4"/>
  </w:num>
  <w:num w:numId="9" w16cid:durableId="185808104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2"/>
  <w:proofState w:spelling="clean"/>
  <w:defaultTabStop w:val="709"/>
  <w:autoHyphenation/>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12F3"/>
    <w:rsid w:val="00026CDD"/>
    <w:rsid w:val="001112CA"/>
    <w:rsid w:val="001B0259"/>
    <w:rsid w:val="0021117B"/>
    <w:rsid w:val="00307118"/>
    <w:rsid w:val="00425418"/>
    <w:rsid w:val="0043247B"/>
    <w:rsid w:val="00436DE3"/>
    <w:rsid w:val="00447B97"/>
    <w:rsid w:val="0078116E"/>
    <w:rsid w:val="008652E4"/>
    <w:rsid w:val="008D1078"/>
    <w:rsid w:val="00964A2A"/>
    <w:rsid w:val="00A17598"/>
    <w:rsid w:val="00D76D45"/>
    <w:rsid w:val="00DB59AB"/>
    <w:rsid w:val="00FC12F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8DA6D7"/>
  <w15:docId w15:val="{CA0FF38E-545E-4B99-8592-093CD89E6E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Lucida Sans"/>
        <w:kern w:val="3"/>
        <w:sz w:val="24"/>
        <w:szCs w:val="24"/>
        <w:lang w:val="lt-LT" w:eastAsia="zh-CN" w:bidi="hi-IN"/>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pPr>
  </w:style>
  <w:style w:type="paragraph" w:styleId="Antrat3">
    <w:name w:val="heading 3"/>
    <w:basedOn w:val="Heading"/>
    <w:next w:val="Textbody"/>
    <w:uiPriority w:val="9"/>
    <w:unhideWhenUsed/>
    <w:qFormat/>
    <w:pPr>
      <w:spacing w:before="140"/>
      <w:outlineLvl w:val="2"/>
    </w:pPr>
    <w:rPr>
      <w:rFonts w:ascii="Liberation Serif" w:eastAsia="NSimSun" w:hAnsi="Liberation Serif"/>
      <w:b/>
      <w:bCs/>
    </w:rPr>
  </w:style>
  <w:style w:type="paragraph" w:styleId="Antrat4">
    <w:name w:val="heading 4"/>
    <w:basedOn w:val="Heading"/>
    <w:next w:val="Textbody"/>
    <w:uiPriority w:val="9"/>
    <w:unhideWhenUsed/>
    <w:qFormat/>
    <w:pPr>
      <w:spacing w:before="120"/>
      <w:outlineLvl w:val="3"/>
    </w:pPr>
    <w:rPr>
      <w:rFonts w:ascii="Liberation Serif" w:eastAsia="NSimSun" w:hAnsi="Liberation Serif"/>
      <w:b/>
      <w:bCs/>
      <w:sz w:val="24"/>
      <w:szCs w:val="24"/>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Liberation Sans" w:eastAsia="Microsoft YaHei" w:hAnsi="Liberation Sans"/>
      <w:sz w:val="28"/>
      <w:szCs w:val="28"/>
    </w:rPr>
  </w:style>
  <w:style w:type="paragraph" w:customStyle="1" w:styleId="Textbody">
    <w:name w:val="Text body"/>
    <w:basedOn w:val="Standard"/>
    <w:pPr>
      <w:spacing w:after="140" w:line="276" w:lineRule="auto"/>
    </w:pPr>
  </w:style>
  <w:style w:type="paragraph" w:styleId="Sraas">
    <w:name w:val="List"/>
    <w:basedOn w:val="Textbody"/>
  </w:style>
  <w:style w:type="paragraph" w:styleId="Antrat">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TableContents">
    <w:name w:val="Table Contents"/>
    <w:basedOn w:val="Standard"/>
    <w:pPr>
      <w:widowControl w:val="0"/>
      <w:suppressLineNumbers/>
    </w:pPr>
  </w:style>
  <w:style w:type="paragraph" w:customStyle="1" w:styleId="TableHeading">
    <w:name w:val="Table Heading"/>
    <w:basedOn w:val="TableContents"/>
    <w:pPr>
      <w:jc w:val="center"/>
    </w:pPr>
    <w:rPr>
      <w:b/>
      <w:bCs/>
    </w:rPr>
  </w:style>
  <w:style w:type="paragraph" w:customStyle="1" w:styleId="HorizontalLine">
    <w:name w:val="Horizontal Line"/>
    <w:basedOn w:val="Standard"/>
    <w:next w:val="Textbody"/>
    <w:pPr>
      <w:suppressLineNumbers/>
      <w:spacing w:after="283"/>
    </w:pPr>
    <w:rPr>
      <w:sz w:val="12"/>
      <w:szCs w:val="12"/>
    </w:rPr>
  </w:style>
  <w:style w:type="paragraph" w:customStyle="1" w:styleId="Textbodyindent">
    <w:name w:val="Text body indent"/>
    <w:basedOn w:val="Standard"/>
    <w:pPr>
      <w:spacing w:after="120"/>
      <w:ind w:left="283"/>
    </w:pPr>
  </w:style>
  <w:style w:type="paragraph" w:customStyle="1" w:styleId="Numeracija">
    <w:name w:val="_Numeracija"/>
    <w:basedOn w:val="Standard"/>
    <w:pPr>
      <w:numPr>
        <w:numId w:val="1"/>
      </w:numPr>
      <w:spacing w:before="60" w:after="60"/>
      <w:jc w:val="both"/>
    </w:pPr>
    <w:rPr>
      <w:rFonts w:ascii="Times New Roman" w:eastAsia="Times New Roman" w:hAnsi="Times New Roman" w:cs="Times New Roman"/>
      <w:color w:val="000000"/>
      <w:sz w:val="22"/>
      <w:szCs w:val="22"/>
    </w:rPr>
  </w:style>
  <w:style w:type="character" w:customStyle="1" w:styleId="StrongEmphasis">
    <w:name w:val="Strong Emphasis"/>
    <w:rPr>
      <w:b/>
      <w:bCs/>
    </w:rPr>
  </w:style>
  <w:style w:type="character" w:customStyle="1" w:styleId="BulletSymbols">
    <w:name w:val="Bullet Symbols"/>
    <w:rPr>
      <w:rFonts w:ascii="OpenSymbol" w:eastAsia="OpenSymbol" w:hAnsi="OpenSymbol" w:cs="OpenSymbol"/>
    </w:rPr>
  </w:style>
  <w:style w:type="character" w:customStyle="1" w:styleId="ListLabel136">
    <w:name w:val="ListLabel 136"/>
    <w:rPr>
      <w:b w:val="0"/>
      <w:bCs w:val="0"/>
      <w:i w:val="0"/>
      <w:iCs w:val="0"/>
      <w:caps w:val="0"/>
      <w:smallCaps w:val="0"/>
      <w:strike w:val="0"/>
      <w:dstrike w:val="0"/>
      <w:vanish w:val="0"/>
      <w:color w:val="000000"/>
      <w:spacing w:val="0"/>
      <w:kern w:val="0"/>
      <w:position w:val="0"/>
      <w:u w:val="none"/>
      <w:vertAlign w:val="baseline"/>
      <w:em w:val="none"/>
    </w:rPr>
  </w:style>
  <w:style w:type="character" w:customStyle="1" w:styleId="ListLabel137">
    <w:name w:val="ListLabel 137"/>
    <w:rPr>
      <w:b w:val="0"/>
    </w:rPr>
  </w:style>
  <w:style w:type="character" w:customStyle="1" w:styleId="ListLabel138">
    <w:name w:val="ListLabel 138"/>
  </w:style>
  <w:style w:type="character" w:customStyle="1" w:styleId="ListLabel139">
    <w:name w:val="ListLabel 139"/>
  </w:style>
  <w:style w:type="character" w:customStyle="1" w:styleId="ListLabel140">
    <w:name w:val="ListLabel 140"/>
  </w:style>
  <w:style w:type="character" w:customStyle="1" w:styleId="ListLabel141">
    <w:name w:val="ListLabel 141"/>
  </w:style>
  <w:style w:type="character" w:customStyle="1" w:styleId="ListLabel142">
    <w:name w:val="ListLabel 142"/>
  </w:style>
  <w:style w:type="character" w:customStyle="1" w:styleId="ListLabel143">
    <w:name w:val="ListLabel 143"/>
  </w:style>
  <w:style w:type="character" w:customStyle="1" w:styleId="ListLabel144">
    <w:name w:val="ListLabel 144"/>
  </w:style>
  <w:style w:type="numbering" w:customStyle="1" w:styleId="WWNum16">
    <w:name w:val="WWNum16"/>
    <w:basedOn w:val="Sraonra"/>
    <w:pPr>
      <w:numPr>
        <w:numId w:val="1"/>
      </w:numPr>
    </w:pPr>
  </w:style>
  <w:style w:type="paragraph" w:styleId="Antrats">
    <w:name w:val="header"/>
    <w:basedOn w:val="prastasis"/>
    <w:link w:val="AntratsDiagrama"/>
    <w:uiPriority w:val="99"/>
    <w:unhideWhenUsed/>
    <w:rsid w:val="001B0259"/>
    <w:pPr>
      <w:tabs>
        <w:tab w:val="center" w:pos="4819"/>
        <w:tab w:val="right" w:pos="9638"/>
      </w:tabs>
    </w:pPr>
    <w:rPr>
      <w:rFonts w:cs="Mangal"/>
      <w:szCs w:val="21"/>
    </w:rPr>
  </w:style>
  <w:style w:type="character" w:customStyle="1" w:styleId="AntratsDiagrama">
    <w:name w:val="Antraštės Diagrama"/>
    <w:basedOn w:val="Numatytasispastraiposriftas"/>
    <w:link w:val="Antrats"/>
    <w:uiPriority w:val="99"/>
    <w:rsid w:val="001B0259"/>
    <w:rPr>
      <w:rFonts w:cs="Mangal"/>
      <w:szCs w:val="21"/>
    </w:rPr>
  </w:style>
  <w:style w:type="paragraph" w:styleId="Porat">
    <w:name w:val="footer"/>
    <w:basedOn w:val="prastasis"/>
    <w:link w:val="PoratDiagrama"/>
    <w:uiPriority w:val="99"/>
    <w:unhideWhenUsed/>
    <w:rsid w:val="001B0259"/>
    <w:pPr>
      <w:tabs>
        <w:tab w:val="center" w:pos="4819"/>
        <w:tab w:val="right" w:pos="9638"/>
      </w:tabs>
    </w:pPr>
    <w:rPr>
      <w:rFonts w:cs="Mangal"/>
      <w:szCs w:val="21"/>
    </w:rPr>
  </w:style>
  <w:style w:type="character" w:customStyle="1" w:styleId="PoratDiagrama">
    <w:name w:val="Poraštė Diagrama"/>
    <w:basedOn w:val="Numatytasispastraiposriftas"/>
    <w:link w:val="Porat"/>
    <w:uiPriority w:val="99"/>
    <w:rsid w:val="001B0259"/>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2905</Words>
  <Characters>1657</Characters>
  <Application>Microsoft Office Word</Application>
  <DocSecurity>0</DocSecurity>
  <Lines>13</Lines>
  <Paragraphs>9</Paragraphs>
  <ScaleCrop>false</ScaleCrop>
  <Company/>
  <LinksUpToDate>false</LinksUpToDate>
  <CharactersWithSpaces>4553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Jūratė Buivydienė</dc:creator>
  <cp:lastModifiedBy>Jūratė Buivydienė</cp:lastModifiedBy>
  <cp:revision>15</cp:revision>
  <dcterms:created xsi:type="dcterms:W3CDTF">2025-06-12T04:27:00Z</dcterms:created>
  <dcterms:modified xsi:type="dcterms:W3CDTF">2025-09-03T05:12:00Z</dcterms:modified>
</cp:coreProperties>
</file>