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A3BF" w14:textId="0D429B9B" w:rsidR="004B4A86" w:rsidRPr="00512D2B" w:rsidRDefault="004B4A86" w:rsidP="004B4A86">
      <w:pPr>
        <w:pStyle w:val="Antrat1"/>
        <w:rPr>
          <w:rFonts w:cs="Times New Roman"/>
        </w:rPr>
      </w:pPr>
      <w:bookmarkStart w:id="0" w:name="_Tiekėjų_kvalifikacijos_ir"/>
      <w:bookmarkEnd w:id="0"/>
      <w:r w:rsidRPr="00512D2B">
        <w:rPr>
          <w:rFonts w:cs="Times New Roman"/>
        </w:rPr>
        <w:t>Tiekėjų kvalifikacijos reikalavimai</w:t>
      </w:r>
    </w:p>
    <w:p w14:paraId="531BBF23" w14:textId="77777777" w:rsidR="004B4A86" w:rsidRPr="00512D2B" w:rsidRDefault="004B4A86" w:rsidP="004B4A86">
      <w:pPr>
        <w:rPr>
          <w:rFonts w:ascii="Times New Roman" w:hAnsi="Times New Roman" w:cs="Times New Roman"/>
        </w:rPr>
      </w:pPr>
    </w:p>
    <w:p w14:paraId="6A807927" w14:textId="77777777" w:rsidR="004B4A86" w:rsidRDefault="004B4A86" w:rsidP="004B4A86">
      <w:pPr>
        <w:pStyle w:val="Sraopastraipa"/>
        <w:numPr>
          <w:ilvl w:val="0"/>
          <w:numId w:val="3"/>
        </w:numPr>
        <w:tabs>
          <w:tab w:val="left" w:pos="851"/>
        </w:tabs>
        <w:ind w:left="0" w:firstLine="360"/>
        <w:rPr>
          <w:rFonts w:ascii="Times New Roman" w:eastAsia="Times New Roman" w:hAnsi="Times New Roman" w:cs="Times New Roman"/>
          <w:sz w:val="24"/>
          <w:szCs w:val="24"/>
        </w:rPr>
      </w:pPr>
      <w:r w:rsidRPr="00512D2B">
        <w:rPr>
          <w:rFonts w:ascii="Times New Roman" w:eastAsia="Times New Roman" w:hAnsi="Times New Roman" w:cs="Times New Roman"/>
          <w:sz w:val="24"/>
          <w:szCs w:val="24"/>
        </w:rPr>
        <w:t>Tiekėjų kvalifikacijos reikalavimai bei reikalaujami dokumentai ir informacija, patvirtinantys šiuos reikalavimus:</w:t>
      </w:r>
    </w:p>
    <w:p w14:paraId="2E4C1F09" w14:textId="77777777" w:rsidR="008C76AA" w:rsidRPr="00512D2B" w:rsidRDefault="008C76AA" w:rsidP="008C76AA">
      <w:pPr>
        <w:pStyle w:val="Sraopastraipa"/>
        <w:tabs>
          <w:tab w:val="left" w:pos="851"/>
        </w:tabs>
        <w:ind w:left="360"/>
        <w:rPr>
          <w:rFonts w:ascii="Times New Roman" w:eastAsia="Times New Roman" w:hAnsi="Times New Roman" w:cs="Times New Roman"/>
          <w:sz w:val="24"/>
          <w:szCs w:val="24"/>
        </w:rPr>
      </w:pPr>
    </w:p>
    <w:tbl>
      <w:tblPr>
        <w:tblStyle w:val="Lentelstinklelis4"/>
        <w:tblW w:w="9628" w:type="dxa"/>
        <w:tblLook w:val="04A0" w:firstRow="1" w:lastRow="0" w:firstColumn="1" w:lastColumn="0" w:noHBand="0" w:noVBand="1"/>
      </w:tblPr>
      <w:tblGrid>
        <w:gridCol w:w="988"/>
        <w:gridCol w:w="4252"/>
        <w:gridCol w:w="4388"/>
      </w:tblGrid>
      <w:tr w:rsidR="004B4A86" w:rsidRPr="00C91DA4" w14:paraId="799463D1" w14:textId="77777777" w:rsidTr="00921BA5">
        <w:trPr>
          <w:cantSplit/>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5DB4CC65" w14:textId="77777777" w:rsidR="004B4A86" w:rsidRPr="00C91DA4" w:rsidRDefault="004B4A86" w:rsidP="00921BA5">
            <w:pPr>
              <w:jc w:val="center"/>
              <w:rPr>
                <w:rFonts w:ascii="Times New Roman" w:hAnsi="Times New Roman"/>
                <w:b/>
                <w:sz w:val="24"/>
                <w:szCs w:val="24"/>
                <w:lang w:eastAsia="lt-LT"/>
              </w:rPr>
            </w:pPr>
            <w:bookmarkStart w:id="1" w:name="_Hlk15985026"/>
            <w:r w:rsidRPr="00C91DA4">
              <w:rPr>
                <w:rFonts w:ascii="Times New Roman" w:hAnsi="Times New Roman"/>
                <w:b/>
                <w:sz w:val="24"/>
                <w:szCs w:val="24"/>
                <w:lang w:eastAsia="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C1228DD" w14:textId="77777777" w:rsidR="004B4A86" w:rsidRPr="00C91DA4" w:rsidRDefault="004B4A86" w:rsidP="00921BA5">
            <w:pPr>
              <w:jc w:val="center"/>
              <w:rPr>
                <w:rFonts w:ascii="Times New Roman" w:hAnsi="Times New Roman"/>
                <w:b/>
                <w:sz w:val="24"/>
                <w:szCs w:val="24"/>
                <w:lang w:eastAsia="lt-LT"/>
              </w:rPr>
            </w:pPr>
            <w:r w:rsidRPr="00C91DA4">
              <w:rPr>
                <w:rFonts w:ascii="Times New Roman" w:hAnsi="Times New Roman"/>
                <w:b/>
                <w:sz w:val="24"/>
                <w:szCs w:val="24"/>
                <w:lang w:eastAsia="lt-LT"/>
              </w:rPr>
              <w:t>Kvalifikacijos reikalavimai</w:t>
            </w:r>
          </w:p>
        </w:tc>
        <w:tc>
          <w:tcPr>
            <w:tcW w:w="4388" w:type="dxa"/>
            <w:tcBorders>
              <w:top w:val="single" w:sz="4" w:space="0" w:color="auto"/>
              <w:left w:val="single" w:sz="4" w:space="0" w:color="auto"/>
              <w:bottom w:val="single" w:sz="4" w:space="0" w:color="auto"/>
              <w:right w:val="single" w:sz="4" w:space="0" w:color="auto"/>
            </w:tcBorders>
            <w:vAlign w:val="center"/>
            <w:hideMark/>
          </w:tcPr>
          <w:p w14:paraId="5FB68EE2" w14:textId="77777777" w:rsidR="004B4A86" w:rsidRPr="00C91DA4" w:rsidRDefault="004B4A86" w:rsidP="00921BA5">
            <w:pPr>
              <w:jc w:val="center"/>
              <w:rPr>
                <w:rFonts w:ascii="Times New Roman" w:hAnsi="Times New Roman"/>
                <w:b/>
                <w:sz w:val="24"/>
                <w:szCs w:val="24"/>
                <w:lang w:eastAsia="lt-LT"/>
              </w:rPr>
            </w:pPr>
            <w:r w:rsidRPr="00C91DA4">
              <w:rPr>
                <w:rFonts w:ascii="Times New Roman" w:hAnsi="Times New Roman"/>
                <w:b/>
                <w:sz w:val="24"/>
                <w:szCs w:val="24"/>
                <w:lang w:eastAsia="lt-LT"/>
              </w:rPr>
              <w:t>Patvirtinančių dokumentų sąrašas</w:t>
            </w:r>
          </w:p>
        </w:tc>
      </w:tr>
      <w:tr w:rsidR="004B4A86" w:rsidRPr="00C91DA4" w14:paraId="50F69D9F" w14:textId="77777777" w:rsidTr="00921BA5">
        <w:trPr>
          <w:trHeight w:val="2248"/>
        </w:trPr>
        <w:tc>
          <w:tcPr>
            <w:tcW w:w="988" w:type="dxa"/>
            <w:tcBorders>
              <w:top w:val="single" w:sz="4" w:space="0" w:color="auto"/>
              <w:left w:val="single" w:sz="4" w:space="0" w:color="auto"/>
              <w:bottom w:val="single" w:sz="4" w:space="0" w:color="auto"/>
              <w:right w:val="single" w:sz="4" w:space="0" w:color="auto"/>
            </w:tcBorders>
          </w:tcPr>
          <w:p w14:paraId="4CC64276" w14:textId="77777777" w:rsidR="004B4A86" w:rsidRPr="00C91DA4" w:rsidRDefault="004B4A86" w:rsidP="00921BA5">
            <w:pPr>
              <w:pStyle w:val="Sraopastraipa"/>
              <w:numPr>
                <w:ilvl w:val="0"/>
                <w:numId w:val="2"/>
              </w:numPr>
              <w:ind w:left="0" w:firstLine="0"/>
              <w:jc w:val="left"/>
              <w:rPr>
                <w:rFonts w:ascii="Times New Roman" w:hAnsi="Times New Roman"/>
                <w:sz w:val="24"/>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0C46B404" w14:textId="77777777" w:rsidR="004B4A86" w:rsidRPr="008C76AA" w:rsidRDefault="00BD3877" w:rsidP="00921BA5">
            <w:pPr>
              <w:tabs>
                <w:tab w:val="left" w:pos="288"/>
              </w:tabs>
              <w:rPr>
                <w:rFonts w:ascii="Times New Roman" w:hAnsi="Times New Roman"/>
                <w:sz w:val="24"/>
                <w:szCs w:val="24"/>
                <w:lang w:eastAsia="lt-LT"/>
              </w:rPr>
            </w:pPr>
            <w:r w:rsidRPr="008C76AA">
              <w:rPr>
                <w:rFonts w:ascii="Times New Roman" w:hAnsi="Times New Roman"/>
                <w:sz w:val="24"/>
                <w:szCs w:val="24"/>
                <w:lang w:eastAsia="lt-LT"/>
              </w:rPr>
              <w:t>Vidutinės metinės visos veiklos pajamos per paskutinius 3 finansinius metus, o jei tiekėjas įregistruotas vėliau ar veiklą pradėjo vėliau – nuo tiekėjo įregistravimo ar veiklos pradžios, yra ne mažesnės kaip 124 000,00 Eur (be PVM).</w:t>
            </w:r>
          </w:p>
          <w:p w14:paraId="0C9FF606" w14:textId="77777777" w:rsidR="00BD3877" w:rsidRPr="008C76AA" w:rsidRDefault="00BD3877" w:rsidP="00921BA5">
            <w:pPr>
              <w:tabs>
                <w:tab w:val="left" w:pos="288"/>
              </w:tabs>
              <w:rPr>
                <w:rFonts w:ascii="Times New Roman" w:hAnsi="Times New Roman"/>
                <w:sz w:val="24"/>
                <w:szCs w:val="24"/>
                <w:lang w:eastAsia="lt-LT"/>
              </w:rPr>
            </w:pPr>
          </w:p>
          <w:p w14:paraId="560B16AB" w14:textId="77777777" w:rsidR="00DA713E" w:rsidRPr="008C76AA" w:rsidRDefault="00DA713E" w:rsidP="00DA713E">
            <w:pPr>
              <w:tabs>
                <w:tab w:val="left" w:pos="288"/>
              </w:tabs>
              <w:rPr>
                <w:rFonts w:ascii="Times New Roman" w:hAnsi="Times New Roman"/>
                <w:i/>
                <w:iCs/>
                <w:sz w:val="24"/>
                <w:szCs w:val="24"/>
                <w:lang w:eastAsia="lt-LT"/>
              </w:rPr>
            </w:pPr>
            <w:r w:rsidRPr="008C76AA">
              <w:rPr>
                <w:rFonts w:ascii="Times New Roman" w:hAnsi="Times New Roman"/>
                <w:i/>
                <w:iCs/>
                <w:sz w:val="24"/>
                <w:szCs w:val="24"/>
                <w:lang w:eastAsia="lt-LT"/>
              </w:rPr>
              <w:t>Pastabos:</w:t>
            </w:r>
          </w:p>
          <w:p w14:paraId="02717245" w14:textId="77777777" w:rsidR="00DA713E" w:rsidRPr="008C76AA" w:rsidRDefault="00DA713E" w:rsidP="00DA713E">
            <w:pPr>
              <w:tabs>
                <w:tab w:val="left" w:pos="288"/>
              </w:tabs>
              <w:rPr>
                <w:rFonts w:ascii="Times New Roman" w:hAnsi="Times New Roman"/>
                <w:i/>
                <w:iCs/>
                <w:sz w:val="24"/>
                <w:szCs w:val="24"/>
                <w:lang w:eastAsia="lt-LT"/>
              </w:rPr>
            </w:pPr>
            <w:r w:rsidRPr="008C76AA">
              <w:rPr>
                <w:rFonts w:ascii="Times New Roman" w:hAnsi="Times New Roman"/>
                <w:i/>
                <w:iCs/>
                <w:sz w:val="24"/>
                <w:szCs w:val="24"/>
                <w:lang w:eastAsia="lt-LT"/>
              </w:rPr>
              <w:t>- jeigu pasiūlymą teikia ūkio subjektų grupė – reikalavimą turi atitikti visi kartu (pajėgumai sumuojami);</w:t>
            </w:r>
          </w:p>
          <w:p w14:paraId="222E74C9" w14:textId="77777777" w:rsidR="00BD3877" w:rsidRPr="008C76AA" w:rsidRDefault="00DA713E" w:rsidP="00DA713E">
            <w:pPr>
              <w:tabs>
                <w:tab w:val="left" w:pos="288"/>
              </w:tabs>
              <w:rPr>
                <w:rFonts w:ascii="Times New Roman" w:hAnsi="Times New Roman"/>
                <w:i/>
                <w:iCs/>
                <w:sz w:val="24"/>
                <w:szCs w:val="24"/>
                <w:lang w:eastAsia="lt-LT"/>
              </w:rPr>
            </w:pPr>
            <w:r w:rsidRPr="008C76AA">
              <w:rPr>
                <w:rFonts w:ascii="Times New Roman" w:hAnsi="Times New Roman"/>
                <w:i/>
                <w:iCs/>
                <w:sz w:val="24"/>
                <w:szCs w:val="24"/>
                <w:lang w:eastAsia="lt-LT"/>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w:t>
            </w:r>
          </w:p>
          <w:p w14:paraId="5DEE54F0" w14:textId="6B430926" w:rsidR="000659E8" w:rsidRPr="00C91DA4" w:rsidRDefault="000659E8" w:rsidP="00DA713E">
            <w:pPr>
              <w:tabs>
                <w:tab w:val="left" w:pos="288"/>
              </w:tabs>
              <w:rPr>
                <w:rFonts w:ascii="Times New Roman" w:hAnsi="Times New Roman"/>
                <w:sz w:val="22"/>
                <w:szCs w:val="22"/>
                <w:lang w:eastAsia="lt-LT"/>
              </w:rPr>
            </w:pPr>
            <w:r w:rsidRPr="008C76AA">
              <w:rPr>
                <w:rFonts w:ascii="Times New Roman" w:hAnsi="Times New Roman"/>
                <w:i/>
                <w:iCs/>
                <w:sz w:val="24"/>
                <w:szCs w:val="24"/>
              </w:rPr>
              <w:t>įrodantis solidarios atsakomybės prisiėmimą pirkimo laimėjimo atveju).</w:t>
            </w:r>
          </w:p>
        </w:tc>
        <w:tc>
          <w:tcPr>
            <w:tcW w:w="4388" w:type="dxa"/>
            <w:tcBorders>
              <w:top w:val="single" w:sz="4" w:space="0" w:color="auto"/>
              <w:left w:val="single" w:sz="4" w:space="0" w:color="auto"/>
              <w:bottom w:val="single" w:sz="4" w:space="0" w:color="auto"/>
              <w:right w:val="single" w:sz="4" w:space="0" w:color="auto"/>
            </w:tcBorders>
          </w:tcPr>
          <w:p w14:paraId="422E5D49" w14:textId="77777777" w:rsidR="00B34473" w:rsidRPr="00B34473" w:rsidRDefault="00B34473" w:rsidP="00B34473">
            <w:pPr>
              <w:tabs>
                <w:tab w:val="left" w:pos="347"/>
                <w:tab w:val="left" w:pos="1665"/>
              </w:tabs>
              <w:rPr>
                <w:rFonts w:ascii="Times New Roman" w:hAnsi="Times New Roman"/>
                <w:sz w:val="24"/>
                <w:szCs w:val="24"/>
              </w:rPr>
            </w:pPr>
            <w:r w:rsidRPr="00B34473">
              <w:rPr>
                <w:rFonts w:ascii="Times New Roman" w:hAnsi="Times New Roman"/>
                <w:sz w:val="24"/>
                <w:szCs w:val="24"/>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07BDA066" w14:textId="77777777" w:rsidR="00B34473" w:rsidRPr="00B34473" w:rsidRDefault="00B34473" w:rsidP="00B34473">
            <w:pPr>
              <w:tabs>
                <w:tab w:val="left" w:pos="347"/>
                <w:tab w:val="left" w:pos="1665"/>
              </w:tabs>
              <w:rPr>
                <w:rFonts w:ascii="Times New Roman" w:hAnsi="Times New Roman"/>
                <w:sz w:val="24"/>
                <w:szCs w:val="24"/>
              </w:rPr>
            </w:pPr>
          </w:p>
          <w:p w14:paraId="6BFFD761" w14:textId="10BF2B98" w:rsidR="004B4A86" w:rsidRPr="00C91DA4" w:rsidRDefault="00B34473" w:rsidP="00B34473">
            <w:pPr>
              <w:spacing w:line="276" w:lineRule="auto"/>
              <w:rPr>
                <w:rFonts w:ascii="Times New Roman" w:hAnsi="Times New Roman"/>
                <w:sz w:val="22"/>
                <w:szCs w:val="22"/>
                <w:highlight w:val="yellow"/>
                <w:lang w:eastAsia="lt-LT"/>
              </w:rPr>
            </w:pPr>
            <w:r w:rsidRPr="00B34473">
              <w:rPr>
                <w:rFonts w:ascii="Times New Roman" w:hAnsi="Times New Roman"/>
                <w:sz w:val="24"/>
                <w:szCs w:val="24"/>
              </w:rPr>
              <w:t>Pateikiami skenuoti arba el. parašu pasirašyti dokumentai.</w:t>
            </w:r>
          </w:p>
        </w:tc>
      </w:tr>
      <w:bookmarkEnd w:id="1"/>
    </w:tbl>
    <w:p w14:paraId="11AB47AF" w14:textId="77777777" w:rsidR="004B4A86" w:rsidRPr="00512D2B" w:rsidRDefault="004B4A86" w:rsidP="004B4A86">
      <w:pPr>
        <w:jc w:val="center"/>
        <w:rPr>
          <w:rFonts w:ascii="Times New Roman" w:hAnsi="Times New Roman" w:cs="Times New Roman"/>
        </w:rPr>
      </w:pPr>
    </w:p>
    <w:p w14:paraId="6F31667E" w14:textId="21FAD6D7" w:rsidR="00B74F00" w:rsidRPr="004B4A86" w:rsidRDefault="00B74F00" w:rsidP="004B4A86"/>
    <w:sectPr w:rsidR="00B74F00" w:rsidRPr="004B4A86" w:rsidSect="004C4B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CED"/>
    <w:multiLevelType w:val="hybridMultilevel"/>
    <w:tmpl w:val="9F8C5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C51AF"/>
    <w:multiLevelType w:val="multilevel"/>
    <w:tmpl w:val="9342E4C0"/>
    <w:lvl w:ilvl="0">
      <w:start w:val="1"/>
      <w:numFmt w:val="decimal"/>
      <w:lvlText w:val="%1."/>
      <w:lvlJc w:val="left"/>
      <w:pPr>
        <w:ind w:left="720" w:hanging="360"/>
      </w:pPr>
      <w:rPr>
        <w:b w:val="0"/>
        <w:bCs w:val="0"/>
      </w:rPr>
    </w:lvl>
    <w:lvl w:ilvl="1">
      <w:start w:val="1"/>
      <w:numFmt w:val="decimal"/>
      <w:isLgl/>
      <w:lvlText w:val="%1.%2."/>
      <w:lvlJc w:val="left"/>
      <w:pPr>
        <w:ind w:left="3312" w:hanging="360"/>
      </w:pPr>
      <w:rPr>
        <w:rFonts w:hint="default"/>
      </w:rPr>
    </w:lvl>
    <w:lvl w:ilvl="2">
      <w:start w:val="1"/>
      <w:numFmt w:val="decimal"/>
      <w:isLgl/>
      <w:lvlText w:val="%1.%2.%3."/>
      <w:lvlJc w:val="left"/>
      <w:pPr>
        <w:ind w:left="6264" w:hanging="720"/>
      </w:pPr>
      <w:rPr>
        <w:rFonts w:hint="default"/>
      </w:rPr>
    </w:lvl>
    <w:lvl w:ilvl="3">
      <w:start w:val="1"/>
      <w:numFmt w:val="decimal"/>
      <w:isLgl/>
      <w:lvlText w:val="%1.%2.%3.%4."/>
      <w:lvlJc w:val="left"/>
      <w:pPr>
        <w:ind w:left="8856" w:hanging="720"/>
      </w:pPr>
      <w:rPr>
        <w:rFonts w:hint="default"/>
      </w:rPr>
    </w:lvl>
    <w:lvl w:ilvl="4">
      <w:start w:val="1"/>
      <w:numFmt w:val="decimal"/>
      <w:isLgl/>
      <w:lvlText w:val="%1.%2.%3.%4.%5."/>
      <w:lvlJc w:val="left"/>
      <w:pPr>
        <w:ind w:left="11808" w:hanging="1080"/>
      </w:pPr>
      <w:rPr>
        <w:rFonts w:hint="default"/>
      </w:rPr>
    </w:lvl>
    <w:lvl w:ilvl="5">
      <w:start w:val="1"/>
      <w:numFmt w:val="decimal"/>
      <w:isLgl/>
      <w:lvlText w:val="%1.%2.%3.%4.%5.%6."/>
      <w:lvlJc w:val="left"/>
      <w:pPr>
        <w:ind w:left="14400" w:hanging="1080"/>
      </w:pPr>
      <w:rPr>
        <w:rFonts w:hint="default"/>
      </w:rPr>
    </w:lvl>
    <w:lvl w:ilvl="6">
      <w:start w:val="1"/>
      <w:numFmt w:val="decimal"/>
      <w:isLgl/>
      <w:lvlText w:val="%1.%2.%3.%4.%5.%6.%7."/>
      <w:lvlJc w:val="left"/>
      <w:pPr>
        <w:ind w:left="17352" w:hanging="1440"/>
      </w:pPr>
      <w:rPr>
        <w:rFonts w:hint="default"/>
      </w:rPr>
    </w:lvl>
    <w:lvl w:ilvl="7">
      <w:start w:val="1"/>
      <w:numFmt w:val="decimal"/>
      <w:isLgl/>
      <w:lvlText w:val="%1.%2.%3.%4.%5.%6.%7.%8."/>
      <w:lvlJc w:val="left"/>
      <w:pPr>
        <w:ind w:left="19944" w:hanging="1440"/>
      </w:pPr>
      <w:rPr>
        <w:rFonts w:hint="default"/>
      </w:rPr>
    </w:lvl>
    <w:lvl w:ilvl="8">
      <w:start w:val="1"/>
      <w:numFmt w:val="decimal"/>
      <w:isLgl/>
      <w:lvlText w:val="%1.%2.%3.%4.%5.%6.%7.%8.%9."/>
      <w:lvlJc w:val="left"/>
      <w:pPr>
        <w:ind w:left="22896" w:hanging="1800"/>
      </w:pPr>
      <w:rPr>
        <w:rFonts w:hint="default"/>
      </w:rPr>
    </w:lvl>
  </w:abstractNum>
  <w:abstractNum w:abstractNumId="2" w15:restartNumberingAfterBreak="0">
    <w:nsid w:val="556F4745"/>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885105">
    <w:abstractNumId w:val="1"/>
  </w:num>
  <w:num w:numId="2" w16cid:durableId="1935431647">
    <w:abstractNumId w:val="2"/>
  </w:num>
  <w:num w:numId="3" w16cid:durableId="128897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27"/>
    <w:rsid w:val="000659E8"/>
    <w:rsid w:val="000823B4"/>
    <w:rsid w:val="000B4769"/>
    <w:rsid w:val="00111725"/>
    <w:rsid w:val="00220DB0"/>
    <w:rsid w:val="00263FA1"/>
    <w:rsid w:val="00264AEB"/>
    <w:rsid w:val="002C749C"/>
    <w:rsid w:val="00321E05"/>
    <w:rsid w:val="00397065"/>
    <w:rsid w:val="003D3C8E"/>
    <w:rsid w:val="00410059"/>
    <w:rsid w:val="00412D96"/>
    <w:rsid w:val="00415F13"/>
    <w:rsid w:val="004234B7"/>
    <w:rsid w:val="004B4A86"/>
    <w:rsid w:val="004C4B43"/>
    <w:rsid w:val="004E5277"/>
    <w:rsid w:val="00525B75"/>
    <w:rsid w:val="00535DD6"/>
    <w:rsid w:val="00625F0A"/>
    <w:rsid w:val="00694AA9"/>
    <w:rsid w:val="006A5C27"/>
    <w:rsid w:val="007B434B"/>
    <w:rsid w:val="00803708"/>
    <w:rsid w:val="008173FC"/>
    <w:rsid w:val="008210D7"/>
    <w:rsid w:val="0083039A"/>
    <w:rsid w:val="008C0D31"/>
    <w:rsid w:val="008C738C"/>
    <w:rsid w:val="008C76AA"/>
    <w:rsid w:val="00922B5E"/>
    <w:rsid w:val="0098362E"/>
    <w:rsid w:val="00AC553A"/>
    <w:rsid w:val="00B34473"/>
    <w:rsid w:val="00B74F00"/>
    <w:rsid w:val="00B872B1"/>
    <w:rsid w:val="00BD3877"/>
    <w:rsid w:val="00C24D01"/>
    <w:rsid w:val="00C91DA4"/>
    <w:rsid w:val="00CA7651"/>
    <w:rsid w:val="00D1642E"/>
    <w:rsid w:val="00D72AA1"/>
    <w:rsid w:val="00D82778"/>
    <w:rsid w:val="00DA713E"/>
    <w:rsid w:val="00E91B56"/>
    <w:rsid w:val="00ED5216"/>
    <w:rsid w:val="00ED7BA2"/>
    <w:rsid w:val="00EE159C"/>
    <w:rsid w:val="00EF6A7B"/>
    <w:rsid w:val="00FA2F37"/>
    <w:rsid w:val="00FB25F2"/>
    <w:rsid w:val="00FB500E"/>
    <w:rsid w:val="00FD2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907B"/>
  <w15:chartTrackingRefBased/>
  <w15:docId w15:val="{68841278-375E-4A65-AF5C-F11DE0ED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F00"/>
    <w:pPr>
      <w:spacing w:after="0" w:line="240" w:lineRule="auto"/>
      <w:jc w:val="both"/>
    </w:pPr>
    <w:rPr>
      <w:rFonts w:ascii="Calibri" w:hAnsi="Calibri"/>
    </w:rPr>
  </w:style>
  <w:style w:type="paragraph" w:styleId="Antrat1">
    <w:name w:val="heading 1"/>
    <w:basedOn w:val="prastasis"/>
    <w:next w:val="prastasis"/>
    <w:link w:val="Antrat1Diagrama"/>
    <w:qFormat/>
    <w:rsid w:val="00B74F00"/>
    <w:pPr>
      <w:keepNext/>
      <w:keepLines/>
      <w:spacing w:before="240" w:after="24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4F00"/>
    <w:rPr>
      <w:rFonts w:ascii="Times New Roman" w:eastAsiaTheme="majorEastAsia" w:hAnsi="Times New Roman" w:cstheme="majorBidi"/>
      <w:b/>
      <w:caps/>
      <w:sz w:val="24"/>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B74F00"/>
    <w:pPr>
      <w:ind w:left="720"/>
      <w:contextualSpacing/>
    </w:pPr>
  </w:style>
  <w:style w:type="table" w:customStyle="1" w:styleId="Lentelstinklelis4">
    <w:name w:val="Lentelės tinklelis4"/>
    <w:basedOn w:val="prastojilentel"/>
    <w:next w:val="Lentelstinklelis"/>
    <w:rsid w:val="00B74F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F00"/>
    <w:rPr>
      <w:rFonts w:ascii="Calibri" w:hAnsi="Calibri"/>
    </w:rPr>
  </w:style>
  <w:style w:type="table" w:styleId="Lentelstinklelis">
    <w:name w:val="Table Grid"/>
    <w:basedOn w:val="prastojilentel"/>
    <w:uiPriority w:val="39"/>
    <w:rsid w:val="00B7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34B7"/>
    <w:rPr>
      <w:sz w:val="16"/>
      <w:szCs w:val="16"/>
    </w:rPr>
  </w:style>
  <w:style w:type="paragraph" w:styleId="Komentarotekstas">
    <w:name w:val="annotation text"/>
    <w:basedOn w:val="prastasis"/>
    <w:link w:val="KomentarotekstasDiagrama"/>
    <w:uiPriority w:val="99"/>
    <w:unhideWhenUsed/>
    <w:rsid w:val="004234B7"/>
    <w:rPr>
      <w:sz w:val="20"/>
      <w:szCs w:val="20"/>
    </w:rPr>
  </w:style>
  <w:style w:type="character" w:customStyle="1" w:styleId="KomentarotekstasDiagrama">
    <w:name w:val="Komentaro tekstas Diagrama"/>
    <w:basedOn w:val="Numatytasispastraiposriftas"/>
    <w:link w:val="Komentarotekstas"/>
    <w:uiPriority w:val="99"/>
    <w:rsid w:val="004234B7"/>
    <w:rPr>
      <w:rFonts w:ascii="Calibri" w:hAnsi="Calibri"/>
      <w:sz w:val="20"/>
      <w:szCs w:val="20"/>
    </w:rPr>
  </w:style>
  <w:style w:type="paragraph" w:styleId="Komentarotema">
    <w:name w:val="annotation subject"/>
    <w:basedOn w:val="Komentarotekstas"/>
    <w:next w:val="Komentarotekstas"/>
    <w:link w:val="KomentarotemaDiagrama"/>
    <w:uiPriority w:val="99"/>
    <w:semiHidden/>
    <w:unhideWhenUsed/>
    <w:rsid w:val="004234B7"/>
    <w:rPr>
      <w:b/>
      <w:bCs/>
    </w:rPr>
  </w:style>
  <w:style w:type="character" w:customStyle="1" w:styleId="KomentarotemaDiagrama">
    <w:name w:val="Komentaro tema Diagrama"/>
    <w:basedOn w:val="KomentarotekstasDiagrama"/>
    <w:link w:val="Komentarotema"/>
    <w:uiPriority w:val="99"/>
    <w:semiHidden/>
    <w:rsid w:val="004234B7"/>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948">
      <w:bodyDiv w:val="1"/>
      <w:marLeft w:val="0"/>
      <w:marRight w:val="0"/>
      <w:marTop w:val="0"/>
      <w:marBottom w:val="0"/>
      <w:divBdr>
        <w:top w:val="none" w:sz="0" w:space="0" w:color="auto"/>
        <w:left w:val="none" w:sz="0" w:space="0" w:color="auto"/>
        <w:bottom w:val="none" w:sz="0" w:space="0" w:color="auto"/>
        <w:right w:val="none" w:sz="0" w:space="0" w:color="auto"/>
      </w:divBdr>
    </w:div>
    <w:div w:id="16256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1060</Words>
  <Characters>605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viesieji.pirkimai@zvejurumai.lt</cp:lastModifiedBy>
  <cp:revision>2</cp:revision>
  <dcterms:created xsi:type="dcterms:W3CDTF">2025-09-03T13:04:00Z</dcterms:created>
  <dcterms:modified xsi:type="dcterms:W3CDTF">2025-09-03T13:04:00Z</dcterms:modified>
</cp:coreProperties>
</file>