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2DEA617" w:rsidR="0005436D" w:rsidRPr="00F2136F" w:rsidRDefault="0005436D" w:rsidP="00614D83">
          <w:pPr>
            <w:tabs>
              <w:tab w:val="right" w:leader="underscore" w:pos="5670"/>
            </w:tabs>
            <w:ind w:left="5954"/>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614D83">
            <w:rPr>
              <w:rFonts w:ascii="Times New Roman" w:hAnsi="Times New Roman" w:cs="Times New Roman"/>
              <w:iCs/>
              <w:sz w:val="24"/>
              <w:szCs w:val="24"/>
            </w:rPr>
            <w:t xml:space="preserve">                                                                                               </w:t>
          </w:r>
          <w:r w:rsidR="006D6409" w:rsidRPr="00F2136F">
            <w:rPr>
              <w:rFonts w:ascii="Times New Roman" w:hAnsi="Times New Roman" w:cs="Times New Roman"/>
              <w:iCs/>
              <w:sz w:val="24"/>
              <w:szCs w:val="24"/>
            </w:rPr>
            <w:t xml:space="preserve">Švenčionių rajono savivaldybės </w:t>
          </w:r>
          <w:r w:rsidR="00F2136F" w:rsidRPr="00F2136F">
            <w:rPr>
              <w:rFonts w:ascii="Times New Roman" w:hAnsi="Times New Roman" w:cs="Times New Roman"/>
              <w:iCs/>
              <w:sz w:val="24"/>
              <w:szCs w:val="24"/>
            </w:rPr>
            <w:t>Viešųjų pirkimų skyriaus vedėjas</w:t>
          </w:r>
          <w:r w:rsidR="006D6409" w:rsidRPr="00F2136F">
            <w:rPr>
              <w:rFonts w:ascii="Times New Roman" w:hAnsi="Times New Roman" w:cs="Times New Roman"/>
              <w:iCs/>
              <w:sz w:val="24"/>
              <w:szCs w:val="24"/>
            </w:rPr>
            <w:t xml:space="preserve"> </w:t>
          </w:r>
        </w:p>
        <w:p w14:paraId="14BADE80" w14:textId="3CEA2696" w:rsidR="0005436D" w:rsidRPr="00F2136F" w:rsidRDefault="00614D83" w:rsidP="0005436D">
          <w:pPr>
            <w:tabs>
              <w:tab w:val="right" w:leader="underscore" w:pos="8640"/>
            </w:tabs>
            <w:ind w:left="5670"/>
            <w:rPr>
              <w:rFonts w:ascii="Times New Roman" w:hAnsi="Times New Roman" w:cs="Times New Roman"/>
              <w:iCs/>
              <w:sz w:val="24"/>
              <w:szCs w:val="24"/>
            </w:rPr>
          </w:pPr>
          <w:r w:rsidRPr="00F2136F">
            <w:rPr>
              <w:rFonts w:ascii="Times New Roman" w:hAnsi="Times New Roman" w:cs="Times New Roman"/>
              <w:iCs/>
              <w:sz w:val="24"/>
              <w:szCs w:val="24"/>
            </w:rPr>
            <w:t xml:space="preserve">        </w:t>
          </w:r>
          <w:r w:rsidR="0005436D" w:rsidRPr="00F2136F">
            <w:rPr>
              <w:rFonts w:ascii="Times New Roman" w:hAnsi="Times New Roman" w:cs="Times New Roman"/>
              <w:iCs/>
              <w:sz w:val="24"/>
              <w:szCs w:val="24"/>
            </w:rPr>
            <w:t xml:space="preserve">______________________        </w:t>
          </w:r>
        </w:p>
        <w:p w14:paraId="5FF69024" w14:textId="0697F0C0" w:rsidR="0005436D" w:rsidRPr="0058795A" w:rsidRDefault="0005436D" w:rsidP="006D6409">
          <w:pPr>
            <w:pStyle w:val="Pagrindinistekstas"/>
            <w:jc w:val="right"/>
            <w:rPr>
              <w:rFonts w:ascii="Times New Roman" w:hAnsi="Times New Roman" w:cs="Times New Roman"/>
              <w:bCs/>
              <w:sz w:val="24"/>
              <w:szCs w:val="24"/>
            </w:rPr>
          </w:pPr>
          <w:r w:rsidRPr="00F2136F">
            <w:rPr>
              <w:rFonts w:ascii="Times New Roman" w:hAnsi="Times New Roman" w:cs="Times New Roman"/>
              <w:b/>
              <w:sz w:val="24"/>
              <w:szCs w:val="24"/>
            </w:rPr>
            <w:tab/>
          </w:r>
          <w:r w:rsidRPr="00F2136F">
            <w:rPr>
              <w:rFonts w:ascii="Times New Roman" w:hAnsi="Times New Roman" w:cs="Times New Roman"/>
              <w:bCs/>
              <w:sz w:val="24"/>
              <w:szCs w:val="24"/>
            </w:rPr>
            <w:t xml:space="preserve">                                                                                 </w:t>
          </w:r>
          <w:r w:rsidR="00F2136F">
            <w:rPr>
              <w:rFonts w:ascii="Times New Roman" w:hAnsi="Times New Roman" w:cs="Times New Roman"/>
              <w:bCs/>
              <w:sz w:val="24"/>
              <w:szCs w:val="24"/>
            </w:rPr>
            <w:t xml:space="preserve">Andrius </w:t>
          </w:r>
          <w:proofErr w:type="spellStart"/>
          <w:r w:rsidR="00F2136F">
            <w:rPr>
              <w:rFonts w:ascii="Times New Roman" w:hAnsi="Times New Roman" w:cs="Times New Roman"/>
              <w:bCs/>
              <w:sz w:val="24"/>
              <w:szCs w:val="24"/>
            </w:rPr>
            <w:t>Šarėjus</w:t>
          </w:r>
          <w:proofErr w:type="spellEnd"/>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1453C6"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w:t>
          </w:r>
          <w:r w:rsidRPr="001453C6">
            <w:rPr>
              <w:rFonts w:ascii="Times New Roman" w:hAnsi="Times New Roman" w:cs="Times New Roman"/>
              <w:b/>
              <w:bCs/>
              <w:color w:val="000000" w:themeColor="text1"/>
              <w:sz w:val="24"/>
              <w:szCs w:val="24"/>
            </w:rPr>
            <w:t xml:space="preserve">SUPAPRASTINTO </w:t>
          </w:r>
          <w:r w:rsidRPr="001453C6">
            <w:rPr>
              <w:rFonts w:ascii="Times New Roman" w:hAnsi="Times New Roman" w:cs="Times New Roman"/>
              <w:b/>
              <w:bCs/>
              <w:sz w:val="24"/>
              <w:szCs w:val="24"/>
            </w:rPr>
            <w:t>VIEŠOJO PIRKIMO</w:t>
          </w:r>
        </w:p>
        <w:p w14:paraId="4CD80BC6" w14:textId="050FABB3" w:rsidR="001453C6" w:rsidRPr="001453C6" w:rsidRDefault="001453C6" w:rsidP="0005436D">
          <w:pPr>
            <w:spacing w:after="120" w:line="20" w:lineRule="atLeast"/>
            <w:contextualSpacing/>
            <w:jc w:val="center"/>
            <w:rPr>
              <w:rFonts w:ascii="Times New Roman" w:hAnsi="Times New Roman" w:cs="Times New Roman"/>
              <w:b/>
              <w:bCs/>
              <w:sz w:val="24"/>
              <w:szCs w:val="24"/>
            </w:rPr>
          </w:pPr>
          <w:bookmarkStart w:id="0" w:name="_Hlk206673674"/>
          <w:r w:rsidRPr="001453C6">
            <w:rPr>
              <w:rFonts w:ascii="TimesNewRomanPSMT" w:eastAsia="Calibri" w:hAnsi="TimesNewRomanPSMT" w:cs="TimesNewRomanPSMT"/>
              <w:b/>
              <w:bCs/>
              <w:sz w:val="24"/>
              <w:szCs w:val="24"/>
            </w:rPr>
            <w:t>VIETINĖS REIKŠMĖS KELIO NR. 28(6-1V) 102 – MĖŽIONIŲ K. CIRKLIŠKIO SEN. ŠVENČIONIŲ R. SAV.</w:t>
          </w:r>
          <w:r w:rsidRPr="001453C6">
            <w:rPr>
              <w:rFonts w:ascii="Times New Roman" w:eastAsia="Calibri" w:hAnsi="Times New Roman" w:cs="Times New Roman"/>
              <w:b/>
              <w:bCs/>
              <w:sz w:val="24"/>
              <w:szCs w:val="24"/>
            </w:rPr>
            <w:t xml:space="preserve"> </w:t>
          </w:r>
          <w:bookmarkEnd w:id="0"/>
          <w:r w:rsidRPr="001453C6">
            <w:rPr>
              <w:rFonts w:ascii="Times New Roman" w:eastAsia="Calibri" w:hAnsi="Times New Roman" w:cs="Times New Roman"/>
              <w:b/>
              <w:bCs/>
              <w:sz w:val="24"/>
              <w:szCs w:val="24"/>
            </w:rPr>
            <w:t xml:space="preserve">REMONTO </w:t>
          </w:r>
          <w:r w:rsidRPr="001453C6">
            <w:rPr>
              <w:rFonts w:ascii="Times New Roman" w:eastAsia="Calibri" w:hAnsi="Times New Roman" w:cs="Times New Roman"/>
              <w:b/>
              <w:bCs/>
              <w:sz w:val="24"/>
              <w:szCs w:val="24"/>
              <w:lang w:eastAsia="en-US"/>
            </w:rPr>
            <w:t>DARBAI</w:t>
          </w:r>
        </w:p>
        <w:p w14:paraId="79ECCC1F" w14:textId="77777777" w:rsidR="0005436D" w:rsidRPr="001453C6" w:rsidRDefault="0005436D" w:rsidP="0005436D">
          <w:pPr>
            <w:spacing w:after="0" w:line="240" w:lineRule="auto"/>
            <w:jc w:val="center"/>
            <w:rPr>
              <w:rFonts w:ascii="Times New Roman" w:hAnsi="Times New Roman" w:cs="Times New Roman"/>
              <w:b/>
              <w:bCs/>
              <w:sz w:val="24"/>
              <w:szCs w:val="24"/>
            </w:rPr>
          </w:pPr>
          <w:r w:rsidRPr="001453C6">
            <w:rPr>
              <w:rFonts w:ascii="Times New Roman" w:hAnsi="Times New Roman" w:cs="Times New Roman"/>
              <w:b/>
              <w:bCs/>
              <w:sz w:val="24"/>
              <w:szCs w:val="24"/>
            </w:rPr>
            <w:t>ATVIRO KONKURSO SPECIALIOSIOS SĄLYGOS</w:t>
          </w:r>
        </w:p>
        <w:p w14:paraId="0C5FC165" w14:textId="7B54905E"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EA6C4D">
            <w:rPr>
              <w:rFonts w:ascii="Times New Roman" w:hAnsi="Times New Roman" w:cs="Times New Roman"/>
              <w:b/>
              <w:bCs/>
              <w:sz w:val="24"/>
              <w:szCs w:val="24"/>
            </w:rPr>
            <w:t>2</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56A19A9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r w:rsidR="00E32B2B">
        <w:rPr>
          <w:rFonts w:ascii="Times New Roman" w:eastAsiaTheme="minorHAnsi" w:hAnsi="Times New Roman" w:cs="Times New Roman"/>
          <w:sz w:val="24"/>
          <w:szCs w:val="24"/>
          <w:lang w:eastAsia="en-US"/>
        </w:rPr>
        <w:t>.</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547390F1" w14:textId="4F4BE7A8" w:rsidR="001453C6" w:rsidRDefault="00127002" w:rsidP="001453C6">
      <w:pPr>
        <w:spacing w:after="0" w:line="240" w:lineRule="auto"/>
        <w:ind w:left="284"/>
        <w:jc w:val="both"/>
        <w:rPr>
          <w:rFonts w:ascii="Times New Roman" w:hAnsi="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1453C6" w:rsidRPr="001453C6">
        <w:rPr>
          <w:rFonts w:ascii="Times New Roman" w:hAnsi="Times New Roman"/>
          <w:sz w:val="24"/>
          <w:szCs w:val="24"/>
        </w:rPr>
        <w:t xml:space="preserve">Vietinės reikšmės kelio Nr. 28(6-1V) 102 – </w:t>
      </w:r>
      <w:proofErr w:type="spellStart"/>
      <w:r w:rsidR="001453C6" w:rsidRPr="001453C6">
        <w:rPr>
          <w:rFonts w:ascii="Times New Roman" w:hAnsi="Times New Roman"/>
          <w:sz w:val="24"/>
          <w:szCs w:val="24"/>
        </w:rPr>
        <w:t>Mėžionių</w:t>
      </w:r>
      <w:proofErr w:type="spellEnd"/>
      <w:r w:rsidR="001453C6" w:rsidRPr="001453C6">
        <w:rPr>
          <w:rFonts w:ascii="Times New Roman" w:hAnsi="Times New Roman"/>
          <w:sz w:val="24"/>
          <w:szCs w:val="24"/>
        </w:rPr>
        <w:t xml:space="preserve"> k. </w:t>
      </w:r>
      <w:proofErr w:type="spellStart"/>
      <w:r w:rsidR="001453C6" w:rsidRPr="001453C6">
        <w:rPr>
          <w:rFonts w:ascii="Times New Roman" w:hAnsi="Times New Roman"/>
          <w:sz w:val="24"/>
          <w:szCs w:val="24"/>
        </w:rPr>
        <w:t>Cirkliškio</w:t>
      </w:r>
      <w:proofErr w:type="spellEnd"/>
      <w:r w:rsidR="001453C6" w:rsidRPr="001453C6">
        <w:rPr>
          <w:rFonts w:ascii="Times New Roman" w:hAnsi="Times New Roman"/>
          <w:sz w:val="24"/>
          <w:szCs w:val="24"/>
        </w:rPr>
        <w:t xml:space="preserve"> sen. Švenčionių r. sav.</w:t>
      </w:r>
      <w:r w:rsidR="001453C6" w:rsidRPr="001453C6">
        <w:rPr>
          <w:rFonts w:ascii="Times New Roman" w:hAnsi="Times New Roman"/>
          <w:bCs/>
          <w:sz w:val="24"/>
          <w:szCs w:val="24"/>
        </w:rPr>
        <w:t xml:space="preserve"> remonto </w:t>
      </w:r>
      <w:r w:rsidR="001453C6" w:rsidRPr="001453C6">
        <w:rPr>
          <w:rFonts w:ascii="Times New Roman" w:hAnsi="Times New Roman"/>
          <w:sz w:val="24"/>
          <w:szCs w:val="24"/>
        </w:rPr>
        <w:t>darb</w:t>
      </w:r>
      <w:r w:rsidR="001453C6">
        <w:rPr>
          <w:rFonts w:ascii="Times New Roman" w:hAnsi="Times New Roman"/>
          <w:sz w:val="24"/>
          <w:szCs w:val="24"/>
        </w:rPr>
        <w:t>us.</w:t>
      </w:r>
    </w:p>
    <w:p w14:paraId="74FE09F2" w14:textId="310FA00C" w:rsidR="00B75FC7" w:rsidRPr="00823376" w:rsidRDefault="00A348A4" w:rsidP="001453C6">
      <w:pPr>
        <w:spacing w:after="0" w:line="240" w:lineRule="auto"/>
        <w:ind w:left="284" w:firstLine="425"/>
        <w:jc w:val="both"/>
        <w:rPr>
          <w:rFonts w:ascii="Times New Roman" w:hAnsi="Times New Roman" w:cs="Times New Roman"/>
          <w:sz w:val="24"/>
          <w:szCs w:val="24"/>
        </w:rPr>
      </w:pPr>
      <w:r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bookmarkStart w:id="7" w:name="_Hlk206668742"/>
      <w:r w:rsidR="001453C6" w:rsidRPr="001453C6">
        <w:rPr>
          <w:rFonts w:ascii="TimesNewRomanPSMT" w:eastAsia="Calibri" w:hAnsi="TimesNewRomanPSMT" w:cs="TimesNewRomanPSMT"/>
          <w:sz w:val="22"/>
          <w:szCs w:val="22"/>
        </w:rPr>
        <w:t xml:space="preserve">Vietinės reikšmės kelio Nr. 28(6-1V) 102 – </w:t>
      </w:r>
      <w:proofErr w:type="spellStart"/>
      <w:r w:rsidR="001453C6" w:rsidRPr="001453C6">
        <w:rPr>
          <w:rFonts w:ascii="TimesNewRomanPSMT" w:eastAsia="Calibri" w:hAnsi="TimesNewRomanPSMT" w:cs="TimesNewRomanPSMT"/>
          <w:sz w:val="22"/>
          <w:szCs w:val="22"/>
        </w:rPr>
        <w:t>Mėžionių</w:t>
      </w:r>
      <w:proofErr w:type="spellEnd"/>
      <w:r w:rsidR="001453C6" w:rsidRPr="001453C6">
        <w:rPr>
          <w:rFonts w:ascii="TimesNewRomanPSMT" w:eastAsia="Calibri" w:hAnsi="TimesNewRomanPSMT" w:cs="TimesNewRomanPSMT"/>
          <w:sz w:val="22"/>
          <w:szCs w:val="22"/>
        </w:rPr>
        <w:t xml:space="preserve"> k. </w:t>
      </w:r>
      <w:proofErr w:type="spellStart"/>
      <w:r w:rsidR="001453C6" w:rsidRPr="001453C6">
        <w:rPr>
          <w:rFonts w:ascii="TimesNewRomanPSMT" w:eastAsia="Calibri" w:hAnsi="TimesNewRomanPSMT" w:cs="TimesNewRomanPSMT"/>
          <w:sz w:val="22"/>
          <w:szCs w:val="22"/>
        </w:rPr>
        <w:t>Cirkliškio</w:t>
      </w:r>
      <w:proofErr w:type="spellEnd"/>
      <w:r w:rsidR="001453C6" w:rsidRPr="001453C6">
        <w:rPr>
          <w:rFonts w:ascii="TimesNewRomanPSMT" w:eastAsia="Calibri" w:hAnsi="TimesNewRomanPSMT" w:cs="TimesNewRomanPSMT"/>
          <w:sz w:val="22"/>
          <w:szCs w:val="22"/>
        </w:rPr>
        <w:t xml:space="preserve"> sen. Švenčionių r. sav.</w:t>
      </w:r>
      <w:r w:rsidR="001453C6" w:rsidRPr="001453C6">
        <w:rPr>
          <w:rFonts w:ascii="Times New Roman" w:eastAsia="Calibri" w:hAnsi="Times New Roman" w:cs="Times New Roman"/>
          <w:bCs/>
          <w:sz w:val="22"/>
          <w:szCs w:val="22"/>
        </w:rPr>
        <w:t xml:space="preserve"> </w:t>
      </w:r>
      <w:bookmarkEnd w:id="7"/>
      <w:r w:rsidR="001453C6" w:rsidRPr="001453C6">
        <w:rPr>
          <w:rFonts w:ascii="Times New Roman" w:eastAsia="Calibri" w:hAnsi="Times New Roman" w:cs="Times New Roman"/>
          <w:bCs/>
          <w:sz w:val="22"/>
          <w:szCs w:val="22"/>
        </w:rPr>
        <w:t>Remont</w:t>
      </w:r>
      <w:r w:rsidR="001453C6">
        <w:rPr>
          <w:rFonts w:ascii="Times New Roman" w:eastAsia="Calibri" w:hAnsi="Times New Roman" w:cs="Times New Roman"/>
          <w:bCs/>
          <w:sz w:val="22"/>
          <w:szCs w:val="22"/>
        </w:rPr>
        <w:t xml:space="preserve">o darbų projektas, </w:t>
      </w:r>
      <w:r w:rsidR="00B75FC7" w:rsidRPr="00823376">
        <w:rPr>
          <w:rFonts w:ascii="Times New Roman" w:hAnsi="Times New Roman" w:cs="Times New Roman"/>
          <w:bCs/>
          <w:sz w:val="24"/>
          <w:szCs w:val="24"/>
        </w:rPr>
        <w:t>projekt</w:t>
      </w:r>
      <w:r w:rsidR="00987DEE">
        <w:rPr>
          <w:rFonts w:ascii="Times New Roman" w:hAnsi="Times New Roman" w:cs="Times New Roman"/>
          <w:bCs/>
          <w:sz w:val="24"/>
          <w:szCs w:val="24"/>
        </w:rPr>
        <w:t>o</w:t>
      </w:r>
      <w:r w:rsidR="00F63EB1" w:rsidRPr="00823376">
        <w:rPr>
          <w:rFonts w:ascii="Times New Roman" w:hAnsi="Times New Roman" w:cs="Times New Roman"/>
          <w:bCs/>
          <w:sz w:val="24"/>
          <w:szCs w:val="24"/>
        </w:rPr>
        <w:t xml:space="preserve"> </w:t>
      </w:r>
      <w:r w:rsidR="00B75FC7" w:rsidRPr="00823376">
        <w:rPr>
          <w:rFonts w:ascii="Times New Roman" w:hAnsi="Times New Roman" w:cs="Times New Roman"/>
          <w:bCs/>
          <w:sz w:val="24"/>
          <w:szCs w:val="24"/>
        </w:rPr>
        <w:t xml:space="preserve"> Nr. </w:t>
      </w:r>
      <w:r w:rsidR="001453C6" w:rsidRPr="001453C6">
        <w:rPr>
          <w:rFonts w:ascii="Times New Roman" w:hAnsi="Times New Roman" w:cs="Times New Roman"/>
          <w:b/>
          <w:bCs/>
          <w:sz w:val="24"/>
          <w:szCs w:val="24"/>
        </w:rPr>
        <w:t>UL-25-0020/1</w:t>
      </w:r>
      <w:r w:rsidR="005648C6" w:rsidRPr="00823376">
        <w:rPr>
          <w:rFonts w:ascii="Times New Roman" w:hAnsi="Times New Roman" w:cs="Times New Roman"/>
          <w:bCs/>
          <w:sz w:val="24"/>
          <w:szCs w:val="24"/>
        </w:rPr>
        <w:t xml:space="preserve">, specialiųjų pirkimo sąlygų 2 priedas.    </w:t>
      </w:r>
    </w:p>
    <w:p w14:paraId="50D08705" w14:textId="32DB3A1C"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2136F">
        <w:rPr>
          <w:rFonts w:ascii="Times New Roman" w:hAnsi="Times New Roman" w:cs="Times New Roman"/>
          <w:bCs/>
          <w:sz w:val="24"/>
          <w:szCs w:val="24"/>
        </w:rPr>
        <w:t xml:space="preserve">2.3. </w:t>
      </w:r>
      <w:r w:rsidR="00B75FC7" w:rsidRPr="0058795A">
        <w:rPr>
          <w:rFonts w:ascii="Times New Roman" w:hAnsi="Times New Roman" w:cs="Times New Roman"/>
          <w:bCs/>
          <w:sz w:val="24"/>
          <w:szCs w:val="24"/>
        </w:rPr>
        <w:t xml:space="preserve">Pagrindiniai darbai, jų apimtys: </w:t>
      </w:r>
    </w:p>
    <w:p w14:paraId="652AD201" w14:textId="2EECDA36"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9B3C43">
        <w:rPr>
          <w:rFonts w:ascii="Times New Roman" w:hAnsi="Times New Roman" w:cs="Times New Roman"/>
          <w:sz w:val="24"/>
          <w:szCs w:val="24"/>
        </w:rPr>
        <w:t xml:space="preserve">  </w:t>
      </w:r>
      <w:r w:rsidR="00F2136F">
        <w:rPr>
          <w:rFonts w:ascii="Times New Roman" w:hAnsi="Times New Roman" w:cs="Times New Roman"/>
          <w:sz w:val="24"/>
          <w:szCs w:val="24"/>
        </w:rPr>
        <w:t>2.3.</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Projekt</w:t>
      </w:r>
      <w:r w:rsidR="009B3927">
        <w:rPr>
          <w:rFonts w:ascii="Times New Roman" w:hAnsi="Times New Roman" w:cs="Times New Roman"/>
          <w:sz w:val="24"/>
          <w:szCs w:val="24"/>
        </w:rPr>
        <w:t>e</w:t>
      </w:r>
      <w:r w:rsidR="00354113" w:rsidRPr="002A244C">
        <w:rPr>
          <w:rFonts w:ascii="Times New Roman" w:hAnsi="Times New Roman" w:cs="Times New Roman"/>
          <w:sz w:val="24"/>
          <w:szCs w:val="24"/>
        </w:rPr>
        <w:t xml:space="preserve"> numatyta suremontuoti</w:t>
      </w:r>
      <w:r w:rsidR="00495AF2" w:rsidRPr="00495AF2">
        <w:rPr>
          <w:rFonts w:ascii="TimesNewRomanPSMT" w:eastAsia="Calibri" w:hAnsi="TimesNewRomanPSMT" w:cs="TimesNewRomanPSMT"/>
          <w:sz w:val="22"/>
          <w:szCs w:val="22"/>
        </w:rPr>
        <w:t xml:space="preserve"> </w:t>
      </w:r>
      <w:r w:rsidR="00495AF2" w:rsidRPr="00495AF2">
        <w:rPr>
          <w:rFonts w:ascii="Times New Roman" w:hAnsi="Times New Roman" w:cs="Times New Roman"/>
          <w:sz w:val="24"/>
          <w:szCs w:val="24"/>
        </w:rPr>
        <w:t>Vietinės reikšmės keli</w:t>
      </w:r>
      <w:r w:rsidR="00495AF2">
        <w:rPr>
          <w:rFonts w:ascii="Times New Roman" w:hAnsi="Times New Roman" w:cs="Times New Roman"/>
          <w:sz w:val="24"/>
          <w:szCs w:val="24"/>
        </w:rPr>
        <w:t>ą</w:t>
      </w:r>
      <w:r w:rsidR="00495AF2" w:rsidRPr="00495AF2">
        <w:rPr>
          <w:rFonts w:ascii="Times New Roman" w:hAnsi="Times New Roman" w:cs="Times New Roman"/>
          <w:sz w:val="24"/>
          <w:szCs w:val="24"/>
        </w:rPr>
        <w:t xml:space="preserve"> Nr. 28(6-1V) 102 – </w:t>
      </w:r>
      <w:proofErr w:type="spellStart"/>
      <w:r w:rsidR="00495AF2" w:rsidRPr="00495AF2">
        <w:rPr>
          <w:rFonts w:ascii="Times New Roman" w:hAnsi="Times New Roman" w:cs="Times New Roman"/>
          <w:sz w:val="24"/>
          <w:szCs w:val="24"/>
        </w:rPr>
        <w:t>Mėžionių</w:t>
      </w:r>
      <w:proofErr w:type="spellEnd"/>
      <w:r w:rsidR="00495AF2" w:rsidRPr="00495AF2">
        <w:rPr>
          <w:rFonts w:ascii="Times New Roman" w:hAnsi="Times New Roman" w:cs="Times New Roman"/>
          <w:sz w:val="24"/>
          <w:szCs w:val="24"/>
        </w:rPr>
        <w:t xml:space="preserve"> k. </w:t>
      </w:r>
      <w:proofErr w:type="spellStart"/>
      <w:r w:rsidR="00495AF2" w:rsidRPr="00495AF2">
        <w:rPr>
          <w:rFonts w:ascii="Times New Roman" w:hAnsi="Times New Roman" w:cs="Times New Roman"/>
          <w:sz w:val="24"/>
          <w:szCs w:val="24"/>
        </w:rPr>
        <w:t>Cirkliškio</w:t>
      </w:r>
      <w:proofErr w:type="spellEnd"/>
      <w:r w:rsidR="00495AF2" w:rsidRPr="00495AF2">
        <w:rPr>
          <w:rFonts w:ascii="Times New Roman" w:hAnsi="Times New Roman" w:cs="Times New Roman"/>
          <w:sz w:val="24"/>
          <w:szCs w:val="24"/>
        </w:rPr>
        <w:t xml:space="preserve"> sen. Švenčionių r. sav.</w:t>
      </w:r>
      <w:r w:rsidR="00495AF2" w:rsidRPr="00495AF2">
        <w:rPr>
          <w:rFonts w:ascii="Times New Roman" w:hAnsi="Times New Roman" w:cs="Times New Roman"/>
          <w:bCs/>
          <w:sz w:val="24"/>
          <w:szCs w:val="24"/>
        </w:rPr>
        <w:t xml:space="preserve"> </w:t>
      </w:r>
      <w:r w:rsidR="00495AF2">
        <w:rPr>
          <w:rFonts w:ascii="Times New Roman" w:hAnsi="Times New Roman" w:cs="Times New Roman"/>
          <w:sz w:val="24"/>
          <w:szCs w:val="24"/>
        </w:rPr>
        <w:t xml:space="preserve"> </w:t>
      </w:r>
    </w:p>
    <w:p w14:paraId="0B7B0A50" w14:textId="63D062B5" w:rsidR="00B41C66"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F2136F">
        <w:rPr>
          <w:rFonts w:ascii="Times New Roman" w:hAnsi="Times New Roman" w:cs="Times New Roman"/>
          <w:sz w:val="24"/>
          <w:szCs w:val="24"/>
        </w:rPr>
        <w:t>2.3.2</w:t>
      </w:r>
      <w:r w:rsidR="00B75FC7" w:rsidRPr="00D51438">
        <w:rPr>
          <w:rFonts w:ascii="Times New Roman" w:hAnsi="Times New Roman" w:cs="Times New Roman"/>
          <w:sz w:val="24"/>
          <w:szCs w:val="24"/>
        </w:rPr>
        <w:t>.</w:t>
      </w:r>
      <w:r w:rsidR="00FE1FB0" w:rsidRPr="00D51438">
        <w:rPr>
          <w:rFonts w:ascii="Times New Roman" w:hAnsi="Times New Roman" w:cs="Times New Roman"/>
          <w:sz w:val="24"/>
          <w:szCs w:val="24"/>
        </w:rPr>
        <w:t xml:space="preserve"> Parengti išpildomąsias </w:t>
      </w:r>
      <w:r w:rsidR="00B75FC7" w:rsidRPr="00D51438">
        <w:rPr>
          <w:rFonts w:ascii="Times New Roman" w:hAnsi="Times New Roman" w:cs="Times New Roman"/>
          <w:sz w:val="24"/>
          <w:szCs w:val="24"/>
        </w:rPr>
        <w:t>geodezin</w:t>
      </w:r>
      <w:r w:rsidR="00FE1FB0" w:rsidRPr="00D51438">
        <w:rPr>
          <w:rFonts w:ascii="Times New Roman" w:hAnsi="Times New Roman" w:cs="Times New Roman"/>
          <w:sz w:val="24"/>
          <w:szCs w:val="24"/>
        </w:rPr>
        <w:t>es</w:t>
      </w:r>
      <w:r w:rsidR="00B75FC7" w:rsidRPr="00D51438">
        <w:rPr>
          <w:rFonts w:ascii="Times New Roman" w:hAnsi="Times New Roman" w:cs="Times New Roman"/>
          <w:sz w:val="24"/>
          <w:szCs w:val="24"/>
        </w:rPr>
        <w:t xml:space="preserve"> nuotrauk</w:t>
      </w:r>
      <w:r w:rsidR="00FE1FB0" w:rsidRPr="00D51438">
        <w:rPr>
          <w:rFonts w:ascii="Times New Roman" w:hAnsi="Times New Roman" w:cs="Times New Roman"/>
          <w:sz w:val="24"/>
          <w:szCs w:val="24"/>
        </w:rPr>
        <w:t>as</w:t>
      </w:r>
      <w:r w:rsidR="00B75FC7" w:rsidRPr="00D51438">
        <w:rPr>
          <w:rFonts w:ascii="Times New Roman" w:hAnsi="Times New Roman" w:cs="Times New Roman"/>
          <w:sz w:val="24"/>
          <w:szCs w:val="24"/>
        </w:rPr>
        <w:t xml:space="preserve"> ir </w:t>
      </w:r>
      <w:r w:rsidR="00BF13B8" w:rsidRPr="00D51438">
        <w:rPr>
          <w:rFonts w:ascii="Times New Roman" w:hAnsi="Times New Roman" w:cs="Times New Roman"/>
          <w:sz w:val="24"/>
          <w:szCs w:val="24"/>
        </w:rPr>
        <w:t xml:space="preserve">patikslinti </w:t>
      </w:r>
      <w:r w:rsidR="00B75FC7" w:rsidRPr="00D51438">
        <w:rPr>
          <w:rFonts w:ascii="Times New Roman" w:hAnsi="Times New Roman" w:cs="Times New Roman"/>
          <w:sz w:val="24"/>
          <w:szCs w:val="24"/>
        </w:rPr>
        <w:t>kadastrini</w:t>
      </w:r>
      <w:r w:rsidR="00FE1FB0" w:rsidRPr="00D51438">
        <w:rPr>
          <w:rFonts w:ascii="Times New Roman" w:hAnsi="Times New Roman" w:cs="Times New Roman"/>
          <w:sz w:val="24"/>
          <w:szCs w:val="24"/>
        </w:rPr>
        <w:t>ų</w:t>
      </w:r>
      <w:r w:rsidR="00B75FC7" w:rsidRPr="00D51438">
        <w:rPr>
          <w:rFonts w:ascii="Times New Roman" w:hAnsi="Times New Roman" w:cs="Times New Roman"/>
          <w:sz w:val="24"/>
          <w:szCs w:val="24"/>
        </w:rPr>
        <w:t xml:space="preserve"> matavimų byl</w:t>
      </w:r>
      <w:r w:rsidR="00BF13B8" w:rsidRPr="00D51438">
        <w:rPr>
          <w:rFonts w:ascii="Times New Roman" w:hAnsi="Times New Roman" w:cs="Times New Roman"/>
          <w:sz w:val="24"/>
          <w:szCs w:val="24"/>
        </w:rPr>
        <w:t>ą</w:t>
      </w:r>
      <w:r w:rsidR="00FE1FB0" w:rsidRPr="00D51438">
        <w:rPr>
          <w:rFonts w:ascii="Times New Roman" w:hAnsi="Times New Roman" w:cs="Times New Roman"/>
          <w:sz w:val="24"/>
          <w:szCs w:val="24"/>
        </w:rPr>
        <w:t>.</w:t>
      </w:r>
      <w:r w:rsidR="00B75FC7" w:rsidRPr="0058795A">
        <w:rPr>
          <w:rFonts w:ascii="Times New Roman" w:hAnsi="Times New Roman" w:cs="Times New Roman"/>
          <w:sz w:val="24"/>
          <w:szCs w:val="24"/>
        </w:rPr>
        <w:t xml:space="preserve"> </w:t>
      </w:r>
    </w:p>
    <w:p w14:paraId="5894383C" w14:textId="5C59F05F" w:rsidR="00EA6C4D" w:rsidRPr="0058795A" w:rsidRDefault="00EA6C4D" w:rsidP="00EA6C4D">
      <w:pPr>
        <w:pStyle w:val="Betarp"/>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2.3.3. Parengti darbo projektą.</w:t>
      </w:r>
    </w:p>
    <w:p w14:paraId="48EEE6C2" w14:textId="3D3CB864"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00F2136F">
        <w:rPr>
          <w:rFonts w:ascii="Times New Roman" w:hAnsi="Times New Roman" w:cs="Times New Roman"/>
          <w:sz w:val="24"/>
          <w:szCs w:val="24"/>
        </w:rPr>
        <w:t>4</w:t>
      </w:r>
      <w:r w:rsidRPr="0058795A">
        <w:rPr>
          <w:rFonts w:ascii="Times New Roman" w:hAnsi="Times New Roman" w:cs="Times New Roman"/>
          <w:sz w:val="24"/>
          <w:szCs w:val="24"/>
        </w:rPr>
        <w:t xml:space="preserve">. </w:t>
      </w:r>
      <w:r w:rsidR="00B41C66" w:rsidRPr="0058795A">
        <w:rPr>
          <w:rFonts w:ascii="Times New Roman" w:hAnsi="Times New Roman" w:cs="Times New Roman"/>
          <w:sz w:val="24"/>
          <w:szCs w:val="24"/>
        </w:rPr>
        <w:t xml:space="preserve">Pirkimo objektas į dalis neskaidomas. </w:t>
      </w:r>
    </w:p>
    <w:p w14:paraId="0CA81FB8" w14:textId="45140954"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F2136F">
        <w:rPr>
          <w:rFonts w:ascii="Times New Roman" w:hAnsi="Times New Roman" w:cs="Times New Roman"/>
          <w:sz w:val="24"/>
          <w:szCs w:val="24"/>
        </w:rPr>
        <w:t>5</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7A1E614B"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F2136F">
        <w:rPr>
          <w:rFonts w:ascii="Times New Roman" w:hAnsi="Times New Roman" w:cs="Times New Roman"/>
          <w:sz w:val="24"/>
          <w:szCs w:val="24"/>
        </w:rPr>
        <w:t>6</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8795A">
        <w:rPr>
          <w:rFonts w:ascii="Times New Roman" w:hAnsi="Times New Roman" w:cs="Times New Roman"/>
          <w:color w:val="000000"/>
          <w:sz w:val="24"/>
          <w:szCs w:val="24"/>
        </w:rPr>
        <w:lastRenderedPageBreak/>
        <w:t>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9" w:name="_Ref39427921"/>
      <w:bookmarkStart w:id="10" w:name="_Ref39427927"/>
      <w:bookmarkStart w:id="11" w:name="_Ref39740354"/>
      <w:r w:rsidR="00D22226" w:rsidRPr="0058795A">
        <w:rPr>
          <w:rFonts w:ascii="Times New Roman" w:hAnsi="Times New Roman" w:cs="Times New Roman"/>
          <w:b/>
          <w:bCs/>
          <w:sz w:val="28"/>
          <w:szCs w:val="28"/>
        </w:rPr>
        <w:t>Susitikimai su tiekėjais</w:t>
      </w:r>
      <w:bookmarkEnd w:id="9"/>
      <w:bookmarkEnd w:id="10"/>
      <w:r w:rsidR="003B6924" w:rsidRPr="0058795A">
        <w:rPr>
          <w:rFonts w:ascii="Times New Roman" w:hAnsi="Times New Roman" w:cs="Times New Roman"/>
          <w:b/>
          <w:bCs/>
          <w:sz w:val="28"/>
          <w:szCs w:val="28"/>
        </w:rPr>
        <w:t xml:space="preserve"> ir objekto apžiūra</w:t>
      </w:r>
      <w:bookmarkEnd w:id="8"/>
      <w:bookmarkEnd w:id="11"/>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2"/>
      <w:bookmarkEnd w:id="13"/>
      <w:bookmarkEnd w:id="14"/>
      <w:r w:rsidR="00975F1F" w:rsidRPr="0058795A">
        <w:rPr>
          <w:rFonts w:ascii="Times New Roman" w:hAnsi="Times New Roman" w:cs="Times New Roman"/>
          <w:b/>
          <w:bCs/>
          <w:sz w:val="28"/>
          <w:szCs w:val="28"/>
        </w:rPr>
        <w:t xml:space="preserve"> ir kvalifikacijos reikalavimai</w:t>
      </w:r>
      <w:bookmarkEnd w:id="15"/>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6"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6"/>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7"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7"/>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8" w:name="_Ref39666794"/>
      <w:bookmarkStart w:id="19" w:name="_Ref39666796"/>
      <w:bookmarkStart w:id="20"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8"/>
      <w:bookmarkEnd w:id="19"/>
      <w:bookmarkEnd w:id="20"/>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44240"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w:t>
      </w:r>
      <w:r w:rsidRPr="00544240">
        <w:rPr>
          <w:rFonts w:ascii="Times New Roman" w:hAnsi="Times New Roman" w:cs="Times New Roman"/>
          <w:sz w:val="24"/>
          <w:szCs w:val="24"/>
        </w:rPr>
        <w:t>(specialiųjų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8795A">
        <w:rPr>
          <w:rFonts w:ascii="Times New Roman" w:hAnsi="Times New Roman" w:cs="Times New Roman"/>
          <w:b/>
          <w:bCs/>
          <w:sz w:val="28"/>
          <w:szCs w:val="28"/>
        </w:rPr>
        <w:t>Pasiūlymo galiojimo užtikrinimas</w:t>
      </w:r>
      <w:bookmarkEnd w:id="26"/>
      <w:bookmarkEnd w:id="27"/>
      <w:bookmarkEnd w:id="28"/>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8795A">
        <w:rPr>
          <w:rFonts w:ascii="Times New Roman" w:hAnsi="Times New Roman" w:cs="Times New Roman"/>
          <w:b/>
          <w:bCs/>
          <w:sz w:val="28"/>
          <w:szCs w:val="28"/>
        </w:rPr>
        <w:t>Elektroninis aukcionas</w:t>
      </w:r>
      <w:bookmarkEnd w:id="29"/>
      <w:bookmarkEnd w:id="30"/>
      <w:bookmarkEnd w:id="31"/>
      <w:bookmarkEnd w:id="32"/>
      <w:bookmarkEnd w:id="33"/>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4"/>
      <w:bookmarkEnd w:id="35"/>
      <w:bookmarkEnd w:id="36"/>
      <w:bookmarkEnd w:id="37"/>
      <w:bookmarkEnd w:id="38"/>
    </w:p>
    <w:p w14:paraId="46E1A60B" w14:textId="20C3D745"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Perkančioji organizacija ekonomiškai naudingiausią pasiūlymą išrenka pagal tiekėjo pasiūlyme nurodytą</w:t>
      </w:r>
      <w:r w:rsidR="006C6752">
        <w:rPr>
          <w:rFonts w:ascii="Times New Roman" w:hAnsi="Times New Roman" w:cs="Times New Roman"/>
          <w:sz w:val="24"/>
          <w:szCs w:val="24"/>
        </w:rPr>
        <w:t xml:space="preserve"> mažiausią</w:t>
      </w:r>
      <w:r w:rsidR="004E71CB" w:rsidRPr="0058795A">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9"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9"/>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40"/>
      <w:bookmarkEnd w:id="41"/>
      <w:bookmarkEnd w:id="42"/>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3"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3"/>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4"/>
      <w:bookmarkEnd w:id="45"/>
      <w:bookmarkEnd w:id="46"/>
      <w:bookmarkEnd w:id="47"/>
      <w:bookmarkEnd w:id="48"/>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3E7BFA3B" w:rsidR="005648C6" w:rsidRPr="0058795A" w:rsidRDefault="005648C6" w:rsidP="00495AF2">
      <w:pPr>
        <w:tabs>
          <w:tab w:val="left" w:pos="9214"/>
        </w:tabs>
        <w:spacing w:after="0" w:line="240" w:lineRule="auto"/>
        <w:ind w:right="566"/>
        <w:rPr>
          <w:rFonts w:ascii="Times New Roman" w:hAnsi="Times New Roman" w:cs="Times New Roman"/>
          <w:sz w:val="24"/>
          <w:szCs w:val="24"/>
        </w:rPr>
      </w:pPr>
      <w:bookmarkStart w:id="49"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495AF2" w:rsidRPr="00495AF2">
        <w:rPr>
          <w:rFonts w:ascii="Times New Roman" w:hAnsi="Times New Roman" w:cs="Times New Roman"/>
          <w:b/>
          <w:bCs/>
          <w:sz w:val="24"/>
          <w:szCs w:val="24"/>
        </w:rPr>
        <w:t xml:space="preserve">Vietinės reikšmės kelio Nr. 28(6-1V) 102 – </w:t>
      </w:r>
      <w:proofErr w:type="spellStart"/>
      <w:r w:rsidR="00495AF2" w:rsidRPr="00495AF2">
        <w:rPr>
          <w:rFonts w:ascii="Times New Roman" w:hAnsi="Times New Roman" w:cs="Times New Roman"/>
          <w:b/>
          <w:bCs/>
          <w:sz w:val="24"/>
          <w:szCs w:val="24"/>
        </w:rPr>
        <w:t>Mėžionių</w:t>
      </w:r>
      <w:proofErr w:type="spellEnd"/>
      <w:r w:rsidR="00495AF2" w:rsidRPr="00495AF2">
        <w:rPr>
          <w:rFonts w:ascii="Times New Roman" w:hAnsi="Times New Roman" w:cs="Times New Roman"/>
          <w:b/>
          <w:bCs/>
          <w:sz w:val="24"/>
          <w:szCs w:val="24"/>
        </w:rPr>
        <w:t xml:space="preserve"> k. remonto</w:t>
      </w:r>
      <w:r w:rsidR="00495AF2">
        <w:rPr>
          <w:rFonts w:ascii="Times New Roman" w:hAnsi="Times New Roman" w:cs="Times New Roman"/>
          <w:b/>
          <w:bCs/>
          <w:sz w:val="24"/>
          <w:szCs w:val="24"/>
        </w:rPr>
        <w:t xml:space="preserve"> </w:t>
      </w:r>
      <w:proofErr w:type="spellStart"/>
      <w:r w:rsidR="00495AF2" w:rsidRPr="00495AF2">
        <w:rPr>
          <w:rFonts w:ascii="Times New Roman" w:hAnsi="Times New Roman" w:cs="Times New Roman"/>
          <w:b/>
          <w:bCs/>
          <w:sz w:val="24"/>
          <w:szCs w:val="24"/>
        </w:rPr>
        <w:t>Cirkliškio</w:t>
      </w:r>
      <w:proofErr w:type="spellEnd"/>
      <w:r w:rsidR="00495AF2" w:rsidRPr="00495AF2">
        <w:rPr>
          <w:rFonts w:ascii="Times New Roman" w:hAnsi="Times New Roman" w:cs="Times New Roman"/>
          <w:b/>
          <w:bCs/>
          <w:sz w:val="24"/>
          <w:szCs w:val="24"/>
        </w:rPr>
        <w:t xml:space="preserve"> sen. Švenčionių r. sav. Projektas</w:t>
      </w:r>
      <w:r w:rsidR="00495AF2">
        <w:rPr>
          <w:rFonts w:ascii="Times New Roman" w:hAnsi="Times New Roman" w:cs="Times New Roman"/>
          <w:b/>
          <w:bCs/>
          <w:sz w:val="24"/>
          <w:szCs w:val="24"/>
        </w:rPr>
        <w:t>.</w:t>
      </w:r>
    </w:p>
    <w:p w14:paraId="445F4C50" w14:textId="24D22F3B"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9"/>
      <w:r w:rsidR="00495AF2" w:rsidRPr="00495AF2">
        <w:rPr>
          <w:rFonts w:ascii="Times New Roman" w:hAnsi="Times New Roman" w:cs="Times New Roman"/>
          <w:sz w:val="24"/>
          <w:szCs w:val="24"/>
        </w:rPr>
        <w:t>UL-25-0020/1</w:t>
      </w:r>
      <w:r w:rsidRPr="00495AF2">
        <w:rPr>
          <w:rFonts w:ascii="Times New Roman" w:hAnsi="Times New Roman" w:cs="Times New Roman"/>
          <w:sz w:val="24"/>
          <w:szCs w:val="24"/>
        </w:rPr>
        <w:t>sudėtis</w:t>
      </w:r>
      <w:r w:rsidRPr="0058795A">
        <w:rPr>
          <w:rFonts w:ascii="Times New Roman" w:hAnsi="Times New Roman" w:cs="Times New Roman"/>
          <w:sz w:val="24"/>
          <w:szCs w:val="24"/>
        </w:rPr>
        <w:t>:</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698D0F49" w14:textId="66F495A3" w:rsidR="00E371EF" w:rsidRPr="00301685" w:rsidRDefault="00E371EF" w:rsidP="009B3C43">
            <w:pPr>
              <w:autoSpaceDE w:val="0"/>
              <w:autoSpaceDN w:val="0"/>
              <w:adjustRightInd w:val="0"/>
              <w:spacing w:after="0" w:line="240" w:lineRule="auto"/>
              <w:rPr>
                <w:rFonts w:ascii="Times New Roman" w:hAnsi="Times New Roman" w:cs="Times New Roman"/>
                <w:sz w:val="24"/>
                <w:szCs w:val="24"/>
                <w:highlight w:val="yellow"/>
              </w:rPr>
            </w:pPr>
            <w:r w:rsidRPr="00301685">
              <w:rPr>
                <w:rFonts w:ascii="Times New Roman" w:hAnsi="Times New Roman" w:cs="Times New Roman"/>
                <w:sz w:val="24"/>
                <w:szCs w:val="24"/>
              </w:rPr>
              <w:t xml:space="preserve">01 Susisiekimo komunikacijos: </w:t>
            </w:r>
            <w:r w:rsidR="00301685">
              <w:rPr>
                <w:rFonts w:ascii="Times New Roman" w:hAnsi="Times New Roman" w:cs="Times New Roman"/>
                <w:sz w:val="24"/>
                <w:szCs w:val="24"/>
              </w:rPr>
              <w:t>g</w:t>
            </w:r>
            <w:r w:rsidR="00301685" w:rsidRPr="00301685">
              <w:rPr>
                <w:rFonts w:ascii="Times New Roman" w:hAnsi="Times New Roman" w:cs="Times New Roman"/>
                <w:sz w:val="24"/>
                <w:szCs w:val="24"/>
              </w:rPr>
              <w:t xml:space="preserve">atvės </w:t>
            </w:r>
            <w:r w:rsidRPr="00301685">
              <w:rPr>
                <w:rFonts w:ascii="Times New Roman" w:hAnsi="Times New Roman" w:cs="Times New Roman"/>
                <w:sz w:val="24"/>
                <w:szCs w:val="24"/>
              </w:rPr>
              <w:t>(</w:t>
            </w:r>
            <w:r w:rsidR="00301685" w:rsidRPr="00301685">
              <w:rPr>
                <w:rFonts w:ascii="Times New Roman" w:hAnsi="Times New Roman" w:cs="Times New Roman"/>
                <w:sz w:val="24"/>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r w:rsidR="00F97775" w:rsidRPr="0058795A" w14:paraId="439BC3FB"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61D7F2BE" w14:textId="49BA5A9C" w:rsidR="00F97775" w:rsidRPr="00E371EF" w:rsidRDefault="00F97775" w:rsidP="004C53D1">
            <w:pPr>
              <w:pStyle w:val="Stilius3"/>
              <w:jc w:val="center"/>
              <w:rPr>
                <w:color w:val="000000" w:themeColor="text1"/>
                <w:sz w:val="24"/>
                <w:szCs w:val="24"/>
              </w:rPr>
            </w:pPr>
            <w:r>
              <w:rPr>
                <w:color w:val="000000" w:themeColor="text1"/>
                <w:sz w:val="24"/>
                <w:szCs w:val="24"/>
              </w:rPr>
              <w:t>2</w:t>
            </w:r>
          </w:p>
        </w:tc>
        <w:tc>
          <w:tcPr>
            <w:tcW w:w="6905" w:type="dxa"/>
            <w:tcBorders>
              <w:top w:val="single" w:sz="4" w:space="0" w:color="auto"/>
              <w:left w:val="single" w:sz="4" w:space="0" w:color="auto"/>
              <w:bottom w:val="single" w:sz="4" w:space="0" w:color="auto"/>
              <w:right w:val="nil"/>
            </w:tcBorders>
            <w:vAlign w:val="bottom"/>
          </w:tcPr>
          <w:p w14:paraId="34885105" w14:textId="44C0C1C7" w:rsidR="00F97775" w:rsidRPr="00495AF2" w:rsidRDefault="00495AF2" w:rsidP="00987DEE">
            <w:pPr>
              <w:pStyle w:val="Betarp"/>
            </w:pPr>
            <w:r w:rsidRPr="00495AF2">
              <w:rPr>
                <w:rFonts w:ascii="Times New Roman" w:hAnsi="Times New Roman" w:cs="Times New Roman"/>
                <w:sz w:val="24"/>
                <w:szCs w:val="24"/>
              </w:rPr>
              <w:t>Elektroninių ryšių ir telekomunikacijų dalis</w:t>
            </w:r>
          </w:p>
        </w:tc>
        <w:tc>
          <w:tcPr>
            <w:tcW w:w="1701" w:type="dxa"/>
            <w:tcBorders>
              <w:top w:val="single" w:sz="4" w:space="0" w:color="auto"/>
              <w:left w:val="single" w:sz="4" w:space="0" w:color="auto"/>
              <w:bottom w:val="single" w:sz="4" w:space="0" w:color="auto"/>
              <w:right w:val="single" w:sz="4" w:space="0" w:color="auto"/>
            </w:tcBorders>
          </w:tcPr>
          <w:p w14:paraId="6C98F92A" w14:textId="52B1994C" w:rsidR="00F97775" w:rsidRPr="00E371EF" w:rsidRDefault="00F97775" w:rsidP="004C53D1">
            <w:pPr>
              <w:pStyle w:val="Stilius3"/>
              <w:jc w:val="center"/>
              <w:rPr>
                <w:color w:val="000000" w:themeColor="text1"/>
                <w:sz w:val="24"/>
                <w:szCs w:val="24"/>
              </w:rPr>
            </w:pPr>
            <w:r>
              <w:rPr>
                <w:color w:val="000000" w:themeColor="text1"/>
                <w:sz w:val="24"/>
                <w:szCs w:val="24"/>
              </w:rPr>
              <w:t>E</w:t>
            </w:r>
            <w:r w:rsidR="00495AF2">
              <w:rPr>
                <w:color w:val="000000" w:themeColor="text1"/>
                <w:sz w:val="24"/>
                <w:szCs w:val="24"/>
              </w:rPr>
              <w:t>R</w:t>
            </w:r>
          </w:p>
        </w:tc>
      </w:tr>
      <w:tr w:rsidR="00495AF2" w:rsidRPr="0058795A" w14:paraId="410F5E91"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B275B12" w14:textId="62F6611D" w:rsidR="00495AF2" w:rsidRDefault="00495AF2" w:rsidP="004C53D1">
            <w:pPr>
              <w:pStyle w:val="Stilius3"/>
              <w:jc w:val="center"/>
              <w:rPr>
                <w:color w:val="000000" w:themeColor="text1"/>
                <w:sz w:val="24"/>
                <w:szCs w:val="24"/>
              </w:rPr>
            </w:pPr>
            <w:r>
              <w:rPr>
                <w:color w:val="000000" w:themeColor="text1"/>
                <w:sz w:val="24"/>
                <w:szCs w:val="24"/>
              </w:rPr>
              <w:t xml:space="preserve">3. </w:t>
            </w:r>
          </w:p>
        </w:tc>
        <w:tc>
          <w:tcPr>
            <w:tcW w:w="6905" w:type="dxa"/>
            <w:tcBorders>
              <w:top w:val="single" w:sz="4" w:space="0" w:color="auto"/>
              <w:left w:val="single" w:sz="4" w:space="0" w:color="auto"/>
              <w:bottom w:val="single" w:sz="4" w:space="0" w:color="auto"/>
              <w:right w:val="nil"/>
            </w:tcBorders>
            <w:vAlign w:val="bottom"/>
          </w:tcPr>
          <w:p w14:paraId="1FDD9A55" w14:textId="5AD1A1BE" w:rsidR="00495AF2" w:rsidRPr="00495AF2" w:rsidRDefault="00495AF2" w:rsidP="00987DEE">
            <w:pPr>
              <w:pStyle w:val="Betarp"/>
              <w:rPr>
                <w:rFonts w:ascii="Times New Roman" w:hAnsi="Times New Roman" w:cs="Times New Roman"/>
                <w:sz w:val="24"/>
                <w:szCs w:val="24"/>
              </w:rPr>
            </w:pPr>
            <w:r w:rsidRPr="00495AF2">
              <w:rPr>
                <w:rFonts w:ascii="Times New Roman" w:hAnsi="Times New Roman" w:cs="Times New Roman"/>
                <w:sz w:val="24"/>
                <w:szCs w:val="24"/>
              </w:rPr>
              <w:t>Melioracijos statinių tvarkymo projektas</w:t>
            </w:r>
          </w:p>
        </w:tc>
        <w:tc>
          <w:tcPr>
            <w:tcW w:w="1701" w:type="dxa"/>
            <w:tcBorders>
              <w:top w:val="single" w:sz="4" w:space="0" w:color="auto"/>
              <w:left w:val="single" w:sz="4" w:space="0" w:color="auto"/>
              <w:bottom w:val="single" w:sz="4" w:space="0" w:color="auto"/>
              <w:right w:val="single" w:sz="4" w:space="0" w:color="auto"/>
            </w:tcBorders>
          </w:tcPr>
          <w:p w14:paraId="13766BB9" w14:textId="3921EA2F" w:rsidR="00495AF2" w:rsidRDefault="00495AF2" w:rsidP="004C53D1">
            <w:pPr>
              <w:pStyle w:val="Stilius3"/>
              <w:jc w:val="center"/>
              <w:rPr>
                <w:color w:val="000000" w:themeColor="text1"/>
                <w:sz w:val="24"/>
                <w:szCs w:val="24"/>
              </w:rPr>
            </w:pPr>
            <w:r>
              <w:rPr>
                <w:color w:val="000000" w:themeColor="text1"/>
                <w:sz w:val="24"/>
                <w:szCs w:val="24"/>
              </w:rPr>
              <w:t>MS</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0505F2A5" w14:textId="77777777" w:rsidR="00CE16E6" w:rsidRPr="00CE16E6" w:rsidRDefault="00CE16E6" w:rsidP="00CE16E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50" w:name="_Ref38285444"/>
      <w:bookmarkStart w:id="51" w:name="_Ref38291496"/>
      <w:bookmarkStart w:id="52" w:name="_Toc126333941"/>
      <w:r w:rsidRPr="0058795A">
        <w:rPr>
          <w:rFonts w:ascii="Times New Roman" w:eastAsia="Calibri" w:hAnsi="Times New Roman" w:cs="Times New Roman"/>
          <w:color w:val="auto"/>
          <w:sz w:val="22"/>
          <w:szCs w:val="22"/>
        </w:rPr>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50"/>
      <w:bookmarkEnd w:id="51"/>
      <w:bookmarkEnd w:id="52"/>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58795A">
              <w:rPr>
                <w:rFonts w:ascii="Times New Roman" w:hAnsi="Times New Roman" w:cs="Times New Roman"/>
                <w:bCs/>
                <w:sz w:val="24"/>
                <w:szCs w:val="24"/>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3"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lastRenderedPageBreak/>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58795A">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3"/>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w:t>
            </w:r>
            <w:r w:rsidRPr="0058795A">
              <w:rPr>
                <w:rFonts w:ascii="Times New Roman" w:hAnsi="Times New Roman" w:cs="Times New Roman"/>
                <w:sz w:val="24"/>
                <w:szCs w:val="24"/>
                <w:lang w:eastAsia="en-US"/>
              </w:rPr>
              <w:lastRenderedPageBreak/>
              <w:t xml:space="preserve">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lastRenderedPageBreak/>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795A">
              <w:rPr>
                <w:rFonts w:ascii="Times New Roman" w:hAnsi="Times New Roman" w:cs="Times New Roman"/>
                <w:sz w:val="24"/>
                <w:szCs w:val="24"/>
                <w:lang w:eastAsia="en-US"/>
              </w:rPr>
              <w:lastRenderedPageBreak/>
              <w:t xml:space="preserve">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w:t>
            </w:r>
            <w:r w:rsidRPr="0058795A">
              <w:rPr>
                <w:rFonts w:ascii="Times New Roman" w:hAnsi="Times New Roman" w:cs="Times New Roman"/>
                <w:bCs/>
                <w:sz w:val="24"/>
                <w:szCs w:val="24"/>
                <w:lang w:eastAsia="en-US"/>
              </w:rPr>
              <w:lastRenderedPageBreak/>
              <w:t>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w:t>
            </w:r>
            <w:r w:rsidRPr="0058795A">
              <w:rPr>
                <w:rFonts w:ascii="Times New Roman" w:hAnsi="Times New Roman" w:cs="Times New Roman"/>
                <w:sz w:val="24"/>
                <w:szCs w:val="24"/>
                <w:lang w:eastAsia="en-US"/>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w:t>
            </w:r>
            <w:r w:rsidRPr="0058795A">
              <w:rPr>
                <w:rFonts w:ascii="Times New Roman" w:hAnsi="Times New Roman" w:cs="Times New Roman"/>
                <w:sz w:val="24"/>
                <w:szCs w:val="24"/>
                <w:lang w:eastAsia="en-US"/>
              </w:rPr>
              <w:lastRenderedPageBreak/>
              <w:t>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4" w:name="part_030e6c6c64ba4f96a23474e439d1b80c"/>
            <w:bookmarkEnd w:id="54"/>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w:t>
            </w:r>
            <w:r w:rsidRPr="0058795A">
              <w:rPr>
                <w:rFonts w:ascii="Times New Roman" w:eastAsia="Times New Roman" w:hAnsi="Times New Roman" w:cs="Times New Roman"/>
                <w:sz w:val="24"/>
                <w:szCs w:val="24"/>
                <w:lang w:eastAsia="en-US"/>
              </w:rPr>
              <w:lastRenderedPageBreak/>
              <w:t>jis (tiekėjas) neatitinka minimalių patikimo mokesčių mokėtojo kriterijų, nustatytų 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Priimant sprendimus dėl tiekėjo pašalinimo iš pirkimo procedūros šiame punkte nurodytu </w:t>
            </w:r>
            <w:r w:rsidRPr="0058795A">
              <w:rPr>
                <w:rFonts w:ascii="Times New Roman" w:hAnsi="Times New Roman" w:cs="Times New Roman"/>
                <w:sz w:val="24"/>
                <w:szCs w:val="24"/>
                <w:lang w:eastAsia="en-US"/>
              </w:rPr>
              <w:lastRenderedPageBreak/>
              <w:t>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9" w:name="_Hlk143085078"/>
            <w:r w:rsidRPr="0058795A">
              <w:rPr>
                <w:rFonts w:ascii="Times New Roman" w:eastAsia="Calibri" w:hAnsi="Times New Roman" w:cs="Times New Roman"/>
                <w:b/>
                <w:bCs/>
                <w:i/>
                <w:iCs/>
                <w:sz w:val="24"/>
                <w:szCs w:val="24"/>
                <w:lang w:eastAsia="ar-SA"/>
              </w:rPr>
              <w:t>Kvalifikacijos reikalavimus įrodantys dokumentai</w:t>
            </w:r>
            <w:bookmarkEnd w:id="59"/>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tcPr>
          <w:p w14:paraId="1A1F8501" w14:textId="4E13A82D"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Tiekėjas per paskutinius 5 metus iki pasiūlymo pateikimo termino pabaigos pagal vieną ar daugiau sutarčių  yra  atlikęs svarbiausius statybos darbus (statinių grupės – susisiekimo komunikacijos: keliai ir/ar gatvės),  kurių bendra vertė  ne mažesnė kaip</w:t>
            </w:r>
            <w:r w:rsidR="00130450">
              <w:rPr>
                <w:rFonts w:ascii="Times New Roman" w:hAnsi="Times New Roman" w:cs="Times New Roman"/>
                <w:sz w:val="24"/>
                <w:szCs w:val="24"/>
              </w:rPr>
              <w:t xml:space="preserve"> 300</w:t>
            </w:r>
            <w:r w:rsidR="0088239F">
              <w:rPr>
                <w:rFonts w:ascii="Times New Roman" w:hAnsi="Times New Roman" w:cs="Times New Roman"/>
                <w:sz w:val="24"/>
                <w:szCs w:val="24"/>
              </w:rPr>
              <w:t xml:space="preserve"> </w:t>
            </w:r>
            <w:r w:rsidR="00F97775">
              <w:rPr>
                <w:rFonts w:ascii="Times New Roman" w:hAnsi="Times New Roman" w:cs="Times New Roman"/>
                <w:sz w:val="24"/>
                <w:szCs w:val="24"/>
              </w:rPr>
              <w:t>000</w:t>
            </w:r>
            <w:r w:rsidRPr="0058795A">
              <w:rPr>
                <w:rFonts w:ascii="Times New Roman" w:hAnsi="Times New Roman" w:cs="Times New Roman"/>
                <w:sz w:val="24"/>
                <w:szCs w:val="24"/>
              </w:rPr>
              <w:t>,00 EUR (be PVM) ir svarbiausių darbų atlikimas ir galutiniai rezultatai buvo tinkami.</w:t>
            </w:r>
          </w:p>
          <w:p w14:paraId="70F8A2E0" w14:textId="46CE8155" w:rsidR="00F97775"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1C8A9C74" w14:textId="77777777" w:rsidR="00F97775" w:rsidRPr="00F97775" w:rsidRDefault="00F97775" w:rsidP="00F97775">
            <w:pPr>
              <w:spacing w:after="0" w:line="240" w:lineRule="auto"/>
              <w:jc w:val="both"/>
              <w:rPr>
                <w:rFonts w:ascii="Times New Roman" w:hAnsi="Times New Roman" w:cs="Times New Roman"/>
                <w:bCs/>
                <w:sz w:val="24"/>
                <w:szCs w:val="24"/>
              </w:rPr>
            </w:pPr>
            <w:r w:rsidRPr="00F97775">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0CA0D733" w14:textId="5FA8AE15" w:rsidR="00F97775" w:rsidRPr="00F97775" w:rsidRDefault="00F97775" w:rsidP="00F97775">
            <w:pPr>
              <w:spacing w:after="0" w:line="240" w:lineRule="auto"/>
              <w:jc w:val="both"/>
              <w:rPr>
                <w:rFonts w:ascii="Times New Roman" w:hAnsi="Times New Roman" w:cs="Times New Roman"/>
                <w:b/>
                <w:i/>
                <w:iCs/>
                <w:sz w:val="24"/>
                <w:szCs w:val="24"/>
              </w:rPr>
            </w:pPr>
            <w:r w:rsidRPr="00F97775">
              <w:rPr>
                <w:rFonts w:ascii="Times New Roman" w:hAnsi="Times New Roman" w:cs="Times New Roman"/>
                <w:b/>
                <w:i/>
                <w:iCs/>
                <w:sz w:val="24"/>
                <w:szCs w:val="24"/>
              </w:rPr>
              <w:t>Pateikiamos skenuotos elektroninės kopijos arba tiesiogiai elektroninėmis priemonėmis suformuotas dokumentas</w:t>
            </w:r>
            <w:r>
              <w:rPr>
                <w:rFonts w:ascii="Times New Roman" w:hAnsi="Times New Roman" w:cs="Times New Roman"/>
                <w:b/>
                <w:i/>
                <w:iCs/>
                <w:sz w:val="24"/>
                <w:szCs w:val="24"/>
              </w:rPr>
              <w:t>.</w:t>
            </w:r>
          </w:p>
          <w:p w14:paraId="645F78C4" w14:textId="25828DE7" w:rsidR="00AC2585" w:rsidRPr="00127002" w:rsidRDefault="00AC2585"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412B6B12" w14:textId="79943119" w:rsidR="0088239F" w:rsidRPr="00ED7E4E" w:rsidRDefault="002C0B45" w:rsidP="0088239F">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r w:rsidR="0088239F" w:rsidRPr="00ED7E4E">
              <w:rPr>
                <w:sz w:val="22"/>
                <w:szCs w:val="22"/>
              </w:rPr>
              <w:t xml:space="preserve">, ar </w:t>
            </w:r>
            <w:r w:rsidR="0088239F" w:rsidRPr="00ED7E4E">
              <w:rPr>
                <w:sz w:val="22"/>
                <w:szCs w:val="22"/>
                <w:lang w:eastAsia="en-GB"/>
              </w:rPr>
              <w:t>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6148246" w14:textId="39B7616A" w:rsidR="002C0B45" w:rsidRPr="0058795A" w:rsidRDefault="002C0B45" w:rsidP="00D529F1">
            <w:pPr>
              <w:jc w:val="both"/>
              <w:rPr>
                <w:sz w:val="22"/>
                <w:szCs w:val="22"/>
              </w:rPr>
            </w:pPr>
          </w:p>
          <w:p w14:paraId="6BD69743" w14:textId="77777777" w:rsidR="002C0B45" w:rsidRPr="0058795A" w:rsidRDefault="002C0B45" w:rsidP="00D529F1">
            <w:pPr>
              <w:spacing w:line="276" w:lineRule="auto"/>
              <w:jc w:val="both"/>
              <w:rPr>
                <w:sz w:val="22"/>
                <w:szCs w:val="22"/>
              </w:rPr>
            </w:pPr>
          </w:p>
          <w:p w14:paraId="366BE5AC" w14:textId="77777777" w:rsidR="002C0B45" w:rsidRDefault="002C0B45" w:rsidP="00D529F1">
            <w:pPr>
              <w:rPr>
                <w:strike/>
                <w:color w:val="ED7D31" w:themeColor="accent2"/>
                <w:sz w:val="22"/>
                <w:szCs w:val="22"/>
              </w:rPr>
            </w:pPr>
          </w:p>
          <w:p w14:paraId="6E143814" w14:textId="77777777" w:rsidR="00F97775" w:rsidRDefault="00F97775" w:rsidP="00F97775">
            <w:pPr>
              <w:rPr>
                <w:strike/>
                <w:color w:val="ED7D31" w:themeColor="accent2"/>
                <w:sz w:val="22"/>
                <w:szCs w:val="22"/>
              </w:rPr>
            </w:pPr>
          </w:p>
          <w:p w14:paraId="2275CB65" w14:textId="1E630ABA" w:rsidR="00F97775" w:rsidRPr="00F97775" w:rsidRDefault="00F97775" w:rsidP="00F97775">
            <w:pPr>
              <w:rPr>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038D46ED"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r w:rsidR="0088239F" w:rsidRPr="00ED7E4E">
              <w:rPr>
                <w:sz w:val="22"/>
                <w:szCs w:val="22"/>
                <w:lang w:eastAsia="en-GB"/>
              </w:rPr>
              <w:t xml:space="preserve"> Pirkimo vykdytojas, atlikdamas supaprastintą pirkimą, priima ir kitus </w:t>
            </w:r>
            <w:r w:rsidR="0088239F" w:rsidRPr="00ED7E4E">
              <w:rPr>
                <w:sz w:val="22"/>
                <w:szCs w:val="22"/>
                <w:lang w:eastAsia="en-GB"/>
              </w:rPr>
              <w:lastRenderedPageBreak/>
              <w:t>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660315" w14:textId="77777777" w:rsidR="002C0B45" w:rsidRPr="0058795A" w:rsidRDefault="002C0B45" w:rsidP="0088239F">
            <w:pPr>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79F938B6" w14:textId="77777777" w:rsidR="002C0B45" w:rsidRDefault="002C0B45" w:rsidP="00B355A5">
            <w:pPr>
              <w:autoSpaceDE w:val="0"/>
              <w:autoSpaceDN w:val="0"/>
              <w:adjustRightInd w:val="0"/>
              <w:spacing w:line="276" w:lineRule="auto"/>
              <w:rPr>
                <w:rFonts w:eastAsia="Calibri"/>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p w14:paraId="69019D0B" w14:textId="77777777" w:rsidR="009E5697" w:rsidRPr="007104E3" w:rsidRDefault="009E5697" w:rsidP="009E5697">
            <w:pPr>
              <w:autoSpaceDE w:val="0"/>
              <w:autoSpaceDN w:val="0"/>
              <w:adjustRightInd w:val="0"/>
              <w:rPr>
                <w:rFonts w:eastAsia="Calibri"/>
                <w:sz w:val="22"/>
                <w:szCs w:val="22"/>
              </w:rPr>
            </w:pPr>
            <w:r w:rsidRPr="00D00782">
              <w:rPr>
                <w:rFonts w:eastAsia="Calibri"/>
                <w:sz w:val="22"/>
                <w:szCs w:val="22"/>
              </w:rPr>
              <w:t>3</w:t>
            </w:r>
            <w:r w:rsidRPr="007104E3">
              <w:rPr>
                <w:rFonts w:eastAsia="Calibri"/>
                <w:sz w:val="22"/>
                <w:szCs w:val="22"/>
              </w:rPr>
              <w:t>)</w:t>
            </w:r>
            <w:r w:rsidRPr="007104E3">
              <w:rPr>
                <w:rFonts w:eastAsiaTheme="minorHAnsi" w:cstheme="minorHAnsi"/>
                <w:sz w:val="24"/>
                <w:szCs w:val="24"/>
                <w:lang w:eastAsia="en-US"/>
              </w:rPr>
              <w:t>subtiekėjai turi laikytis reikalaujamų aplinkos apsaugos vadybos priemonių, atsižvelgiant į jų prisiimamus įsipareigojimus pirkimo sutarčiai vykdyti.</w:t>
            </w:r>
          </w:p>
          <w:p w14:paraId="39BCA8F5" w14:textId="77777777" w:rsidR="009E5697" w:rsidRPr="0058795A" w:rsidRDefault="009E5697" w:rsidP="00B355A5">
            <w:pPr>
              <w:autoSpaceDE w:val="0"/>
              <w:autoSpaceDN w:val="0"/>
              <w:adjustRightInd w:val="0"/>
              <w:spacing w:line="276" w:lineRule="auto"/>
              <w:rPr>
                <w:color w:val="ED7D31" w:themeColor="accent2"/>
                <w:sz w:val="22"/>
                <w:szCs w:val="22"/>
              </w:rPr>
            </w:pP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4" w:name="_Ref38540913"/>
      <w:bookmarkStart w:id="65" w:name="_Ref38898051"/>
      <w:bookmarkStart w:id="66" w:name="_Ref38901392"/>
      <w:bookmarkStart w:id="67"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4"/>
      <w:bookmarkEnd w:id="65"/>
      <w:bookmarkEnd w:id="66"/>
      <w:bookmarkEnd w:id="67"/>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4818CC54" w14:textId="5879704B" w:rsidR="00130450" w:rsidRPr="0058795A" w:rsidRDefault="00130450" w:rsidP="0009631B">
      <w:pPr>
        <w:jc w:val="center"/>
        <w:rPr>
          <w:rFonts w:ascii="Times New Roman" w:eastAsia="Lucida Sans Unicode" w:hAnsi="Times New Roman" w:cs="Times New Roman"/>
          <w:b/>
          <w:sz w:val="24"/>
          <w:szCs w:val="24"/>
        </w:rPr>
      </w:pPr>
      <w:r w:rsidRPr="001453C6">
        <w:rPr>
          <w:rFonts w:ascii="TimesNewRomanPSMT" w:eastAsia="Calibri" w:hAnsi="TimesNewRomanPSMT" w:cs="TimesNewRomanPSMT"/>
          <w:b/>
          <w:bCs/>
          <w:sz w:val="24"/>
          <w:szCs w:val="24"/>
        </w:rPr>
        <w:t>VIETINĖS REIKŠMĖS KELIO NR. 28(6-1V) 102 – MĖŽIONIŲ K. CIRKLIŠKIO SEN. ŠVENČIONIŲ R. SAV.</w:t>
      </w:r>
    </w:p>
    <w:p w14:paraId="6332071C" w14:textId="031E141E" w:rsidR="0009631B" w:rsidRPr="009C2739" w:rsidRDefault="009C2739" w:rsidP="00127002">
      <w:pPr>
        <w:spacing w:after="0" w:line="240" w:lineRule="auto"/>
        <w:jc w:val="center"/>
        <w:rPr>
          <w:rFonts w:ascii="Times New Roman" w:hAnsi="Times New Roman"/>
          <w:b/>
          <w:bCs/>
          <w:sz w:val="24"/>
          <w:szCs w:val="24"/>
        </w:rPr>
      </w:pPr>
      <w:r w:rsidRPr="009C2739">
        <w:rPr>
          <w:rFonts w:ascii="Times New Roman" w:hAnsi="Times New Roman" w:cs="Times New Roman"/>
          <w:b/>
          <w:bCs/>
          <w:sz w:val="24"/>
          <w:szCs w:val="24"/>
        </w:rPr>
        <w:t xml:space="preserve">REMONTO </w:t>
      </w:r>
      <w:r w:rsidR="00BD321B" w:rsidRPr="009C2739">
        <w:rPr>
          <w:rFonts w:ascii="Times New Roman" w:hAnsi="Times New Roman"/>
          <w:b/>
          <w:bCs/>
          <w:sz w:val="24"/>
          <w:szCs w:val="24"/>
        </w:rPr>
        <w:t>DARBŲ</w:t>
      </w:r>
      <w:r w:rsidR="00BD321B" w:rsidRPr="009C2739">
        <w:rPr>
          <w:rFonts w:ascii="Times New Roman" w:hAnsi="Times New Roman" w:cs="Times New Roman"/>
          <w:b/>
          <w:bCs/>
          <w:color w:val="000000"/>
          <w:sz w:val="24"/>
          <w:szCs w:val="24"/>
        </w:rPr>
        <w:t xml:space="preserve"> </w:t>
      </w:r>
      <w:r w:rsidR="00751B29" w:rsidRPr="009C2739">
        <w:rPr>
          <w:rFonts w:ascii="Times New Roman" w:hAnsi="Times New Roman"/>
          <w:b/>
          <w:bCs/>
          <w:sz w:val="24"/>
          <w:szCs w:val="24"/>
        </w:rPr>
        <w:t xml:space="preserve"> PIRKIM</w:t>
      </w:r>
      <w:r w:rsidR="00BD42AF">
        <w:rPr>
          <w:rFonts w:ascii="Times New Roman" w:hAnsi="Times New Roman"/>
          <w:b/>
          <w:bCs/>
          <w:sz w:val="24"/>
          <w:szCs w:val="24"/>
        </w:rPr>
        <w:t>UI</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9C2739">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12488E14" w14:textId="09DBA9A6" w:rsidR="00FF14ED" w:rsidRPr="00301685" w:rsidRDefault="00D51438" w:rsidP="00D51438">
            <w:pPr>
              <w:tabs>
                <w:tab w:val="left" w:pos="319"/>
              </w:tabs>
              <w:spacing w:after="0" w:line="240" w:lineRule="auto"/>
              <w:rPr>
                <w:rFonts w:ascii="Times New Roman" w:hAnsi="Times New Roman"/>
                <w:sz w:val="24"/>
                <w:szCs w:val="24"/>
              </w:rPr>
            </w:pPr>
            <w:r w:rsidRPr="00D51438">
              <w:rPr>
                <w:rFonts w:ascii="Times New Roman" w:hAnsi="Times New Roman"/>
                <w:sz w:val="24"/>
                <w:szCs w:val="24"/>
              </w:rPr>
              <w:t xml:space="preserve">Vietinės reikšmės kelio Nr. 28(6-1V) 102 – </w:t>
            </w:r>
            <w:proofErr w:type="spellStart"/>
            <w:r w:rsidRPr="00D51438">
              <w:rPr>
                <w:rFonts w:ascii="Times New Roman" w:hAnsi="Times New Roman"/>
                <w:sz w:val="24"/>
                <w:szCs w:val="24"/>
              </w:rPr>
              <w:t>Mėžionių</w:t>
            </w:r>
            <w:proofErr w:type="spellEnd"/>
            <w:r w:rsidRPr="00D51438">
              <w:rPr>
                <w:rFonts w:ascii="Times New Roman" w:hAnsi="Times New Roman"/>
                <w:sz w:val="24"/>
                <w:szCs w:val="24"/>
              </w:rPr>
              <w:t xml:space="preserve"> k. </w:t>
            </w:r>
            <w:proofErr w:type="spellStart"/>
            <w:r w:rsidRPr="00D51438">
              <w:rPr>
                <w:rFonts w:ascii="Times New Roman" w:hAnsi="Times New Roman"/>
                <w:sz w:val="24"/>
                <w:szCs w:val="24"/>
              </w:rPr>
              <w:t>Cirkliškio</w:t>
            </w:r>
            <w:proofErr w:type="spellEnd"/>
            <w:r w:rsidRPr="00D51438">
              <w:rPr>
                <w:rFonts w:ascii="Times New Roman" w:hAnsi="Times New Roman"/>
                <w:sz w:val="24"/>
                <w:szCs w:val="24"/>
              </w:rPr>
              <w:t xml:space="preserve"> sen. Švenčionių r. sav.</w:t>
            </w:r>
            <w:r w:rsidRPr="00D51438">
              <w:rPr>
                <w:rFonts w:ascii="Times New Roman" w:hAnsi="Times New Roman"/>
                <w:bCs/>
                <w:sz w:val="24"/>
                <w:szCs w:val="24"/>
              </w:rPr>
              <w:t xml:space="preserve"> remonto </w:t>
            </w:r>
            <w:r w:rsidRPr="00D51438">
              <w:rPr>
                <w:rFonts w:ascii="Times New Roman" w:hAnsi="Times New Roman"/>
                <w:sz w:val="24"/>
                <w:szCs w:val="24"/>
              </w:rPr>
              <w:t>darbai</w:t>
            </w:r>
          </w:p>
        </w:tc>
        <w:tc>
          <w:tcPr>
            <w:tcW w:w="1559" w:type="dxa"/>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lastRenderedPageBreak/>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5374DD75" w:rsidR="00FF14ED" w:rsidRDefault="009D3CB0" w:rsidP="0009631B">
      <w:pPr>
        <w:jc w:val="both"/>
        <w:rPr>
          <w:rFonts w:ascii="Times New Roman" w:hAnsi="Times New Roman" w:cs="Times New Roman"/>
          <w:sz w:val="24"/>
          <w:szCs w:val="24"/>
        </w:rPr>
      </w:pPr>
      <w:r>
        <w:rPr>
          <w:rFonts w:ascii="Times New Roman" w:hAnsi="Times New Roman" w:cs="Times New Roman"/>
          <w:sz w:val="24"/>
          <w:szCs w:val="24"/>
        </w:rPr>
        <w:br/>
      </w:r>
    </w:p>
    <w:p w14:paraId="2B6E800D" w14:textId="77777777" w:rsidR="009D3CB0" w:rsidRDefault="009D3CB0" w:rsidP="0009631B">
      <w:pPr>
        <w:jc w:val="both"/>
        <w:rPr>
          <w:rFonts w:ascii="Times New Roman" w:hAnsi="Times New Roman" w:cs="Times New Roman"/>
          <w:sz w:val="24"/>
          <w:szCs w:val="24"/>
        </w:rPr>
      </w:pPr>
    </w:p>
    <w:p w14:paraId="4F94476A" w14:textId="77777777" w:rsidR="009D3CB0" w:rsidRPr="0058795A" w:rsidRDefault="009D3CB0"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806140" w:rsidRDefault="00377AA9" w:rsidP="00FF14ED">
      <w:pPr>
        <w:ind w:left="3888" w:firstLine="1296"/>
        <w:rPr>
          <w:rFonts w:cstheme="minorHAnsi"/>
          <w:b/>
          <w:bCs/>
          <w:smallCaps/>
          <w:sz w:val="22"/>
          <w:szCs w:val="22"/>
        </w:rPr>
      </w:pPr>
      <w:r w:rsidRPr="00806140">
        <w:rPr>
          <w:rFonts w:ascii="Times New Roman" w:eastAsia="Calibri" w:hAnsi="Times New Roman" w:cs="Times New Roman"/>
          <w:sz w:val="24"/>
          <w:szCs w:val="24"/>
        </w:rPr>
        <w:t>Pirkimo sąlygų 7 priedas „Veiklų sąrašas“</w:t>
      </w:r>
    </w:p>
    <w:p w14:paraId="0F1AFEF4" w14:textId="77777777" w:rsidR="00290599" w:rsidRPr="00806140" w:rsidRDefault="00290599" w:rsidP="00290599">
      <w:pPr>
        <w:pStyle w:val="Stilius3"/>
        <w:spacing w:before="0"/>
        <w:jc w:val="center"/>
        <w:outlineLvl w:val="0"/>
        <w:rPr>
          <w:b/>
          <w:i/>
          <w:iCs/>
          <w:sz w:val="28"/>
          <w:szCs w:val="28"/>
        </w:rPr>
      </w:pPr>
      <w:r w:rsidRPr="00806140">
        <w:rPr>
          <w:b/>
          <w:i/>
          <w:iCs/>
          <w:sz w:val="28"/>
          <w:szCs w:val="28"/>
        </w:rPr>
        <w:t>Veiklų sąrašas</w:t>
      </w:r>
    </w:p>
    <w:p w14:paraId="19B38FAA" w14:textId="23B9E2A7" w:rsidR="00290599" w:rsidRPr="00806140" w:rsidRDefault="00290599" w:rsidP="00290599">
      <w:pPr>
        <w:pStyle w:val="Stilius3"/>
        <w:spacing w:before="0"/>
        <w:outlineLvl w:val="0"/>
        <w:rPr>
          <w:i/>
          <w:sz w:val="24"/>
          <w:szCs w:val="24"/>
        </w:rPr>
      </w:pPr>
    </w:p>
    <w:tbl>
      <w:tblPr>
        <w:tblW w:w="526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512"/>
        <w:gridCol w:w="1990"/>
      </w:tblGrid>
      <w:tr w:rsidR="00E62CB6" w:rsidRPr="00806140" w14:paraId="0360EA42" w14:textId="77777777" w:rsidTr="004A72EB">
        <w:trPr>
          <w:cantSplit/>
          <w:trHeight w:val="763"/>
        </w:trPr>
        <w:tc>
          <w:tcPr>
            <w:tcW w:w="473" w:type="pct"/>
          </w:tcPr>
          <w:p w14:paraId="4A38C417" w14:textId="54BBC31B" w:rsidR="00E62CB6" w:rsidRPr="00806140"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r w:rsidRPr="00806140">
              <w:rPr>
                <w:rFonts w:ascii="Times New Roman" w:eastAsia="Calibri" w:hAnsi="Times New Roman" w:cs="Times New Roman"/>
                <w:b/>
                <w:bCs/>
                <w:kern w:val="2"/>
                <w:sz w:val="24"/>
                <w:szCs w:val="24"/>
                <w:lang w:eastAsia="en-US"/>
                <w14:ligatures w14:val="standardContextual"/>
              </w:rPr>
              <w:t>Eil.</w:t>
            </w:r>
            <w:r w:rsidR="00B372EF" w:rsidRPr="00806140">
              <w:rPr>
                <w:rFonts w:ascii="Times New Roman" w:eastAsia="Calibri" w:hAnsi="Times New Roman" w:cs="Times New Roman"/>
                <w:b/>
                <w:bCs/>
                <w:kern w:val="2"/>
                <w:sz w:val="24"/>
                <w:szCs w:val="24"/>
                <w:lang w:eastAsia="en-US"/>
                <w14:ligatures w14:val="standardContextual"/>
              </w:rPr>
              <w:t xml:space="preserve"> </w:t>
            </w:r>
            <w:r w:rsidRPr="00806140">
              <w:rPr>
                <w:rFonts w:ascii="Times New Roman" w:eastAsia="Calibri" w:hAnsi="Times New Roman" w:cs="Times New Roman"/>
                <w:b/>
                <w:bCs/>
                <w:kern w:val="2"/>
                <w:sz w:val="24"/>
                <w:szCs w:val="24"/>
                <w:lang w:eastAsia="en-US"/>
                <w14:ligatures w14:val="standardContextual"/>
              </w:rPr>
              <w:t>Nr.</w:t>
            </w:r>
          </w:p>
        </w:tc>
        <w:tc>
          <w:tcPr>
            <w:tcW w:w="3579" w:type="pct"/>
          </w:tcPr>
          <w:p w14:paraId="7EC7739A" w14:textId="77777777" w:rsidR="00E62CB6" w:rsidRPr="00806140"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r w:rsidRPr="00806140">
              <w:rPr>
                <w:rFonts w:ascii="Times New Roman" w:eastAsia="Calibri" w:hAnsi="Times New Roman" w:cs="Times New Roman"/>
                <w:b/>
                <w:bCs/>
                <w:kern w:val="2"/>
                <w:sz w:val="24"/>
                <w:szCs w:val="24"/>
                <w:lang w:eastAsia="en-US"/>
                <w14:ligatures w14:val="standardContextual"/>
              </w:rPr>
              <w:t>Darbų grupių (etapų) pavadinimai</w:t>
            </w:r>
          </w:p>
          <w:p w14:paraId="44AAE590" w14:textId="77777777" w:rsidR="00E62CB6" w:rsidRPr="00806140"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p>
        </w:tc>
        <w:tc>
          <w:tcPr>
            <w:tcW w:w="948" w:type="pct"/>
          </w:tcPr>
          <w:p w14:paraId="6B35A0A6" w14:textId="77777777" w:rsidR="00E62CB6" w:rsidRPr="00806140"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bookmarkStart w:id="68" w:name="_Toc73434231"/>
            <w:bookmarkStart w:id="69" w:name="_Toc73434344"/>
            <w:bookmarkStart w:id="70" w:name="_Toc76448822"/>
            <w:bookmarkStart w:id="71" w:name="_Toc112567501"/>
            <w:r w:rsidRPr="00806140">
              <w:rPr>
                <w:rFonts w:ascii="Times New Roman" w:eastAsia="Calibri" w:hAnsi="Times New Roman" w:cs="Times New Roman"/>
                <w:b/>
                <w:bCs/>
                <w:kern w:val="2"/>
                <w:sz w:val="24"/>
                <w:szCs w:val="24"/>
                <w:lang w:eastAsia="en-US"/>
                <w14:ligatures w14:val="standardContextual"/>
              </w:rPr>
              <w:t>Darbų grupės (etapo) kaina,</w:t>
            </w:r>
            <w:bookmarkStart w:id="72" w:name="_Toc42509141"/>
            <w:r w:rsidRPr="00806140">
              <w:rPr>
                <w:rFonts w:ascii="Times New Roman" w:eastAsia="Calibri" w:hAnsi="Times New Roman" w:cs="Times New Roman"/>
                <w:b/>
                <w:bCs/>
                <w:kern w:val="2"/>
                <w:sz w:val="24"/>
                <w:szCs w:val="24"/>
                <w:lang w:eastAsia="en-US"/>
                <w14:ligatures w14:val="standardContextual"/>
              </w:rPr>
              <w:t xml:space="preserve"> Eur be PVM</w:t>
            </w:r>
            <w:bookmarkEnd w:id="68"/>
            <w:bookmarkEnd w:id="69"/>
            <w:bookmarkEnd w:id="70"/>
            <w:bookmarkEnd w:id="71"/>
            <w:bookmarkEnd w:id="72"/>
          </w:p>
        </w:tc>
      </w:tr>
      <w:tr w:rsidR="000E14DA" w:rsidRPr="00806140" w14:paraId="174FC466"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3FC406B1" w14:textId="734A27AA" w:rsidR="000E14DA"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p>
        </w:tc>
        <w:tc>
          <w:tcPr>
            <w:tcW w:w="3579" w:type="pct"/>
            <w:tcBorders>
              <w:top w:val="single" w:sz="4" w:space="0" w:color="auto"/>
              <w:left w:val="single" w:sz="4" w:space="0" w:color="auto"/>
              <w:bottom w:val="single" w:sz="4" w:space="0" w:color="auto"/>
              <w:right w:val="single" w:sz="4" w:space="0" w:color="auto"/>
            </w:tcBorders>
          </w:tcPr>
          <w:p w14:paraId="5E419DB9" w14:textId="5C92188D" w:rsidR="000E14DA" w:rsidRPr="00806140" w:rsidRDefault="000E14DA" w:rsidP="00046212">
            <w:pPr>
              <w:spacing w:after="0" w:line="240" w:lineRule="auto"/>
              <w:rPr>
                <w:rFonts w:ascii="Times New Roman" w:eastAsia="Calibri" w:hAnsi="Times New Roman" w:cs="Times New Roman"/>
                <w:i/>
                <w:iCs/>
                <w:kern w:val="2"/>
                <w:sz w:val="24"/>
                <w:szCs w:val="24"/>
                <w:lang w:eastAsia="en-US"/>
                <w14:ligatures w14:val="standardContextual"/>
              </w:rPr>
            </w:pPr>
            <w:r w:rsidRPr="00B66306">
              <w:rPr>
                <w:rFonts w:ascii="Times New Roman" w:eastAsia="Calibri" w:hAnsi="Times New Roman" w:cs="Times New Roman"/>
                <w:i/>
                <w:iCs/>
                <w:kern w:val="2"/>
                <w:sz w:val="24"/>
                <w:szCs w:val="24"/>
                <w:lang w:eastAsia="en-US"/>
                <w14:ligatures w14:val="standardContextual"/>
              </w:rPr>
              <w:t>Darbo projekto parengimas.</w:t>
            </w:r>
            <w:r>
              <w:rPr>
                <w:rFonts w:ascii="Times New Roman" w:eastAsia="Calibri" w:hAnsi="Times New Roman" w:cs="Times New Roman"/>
                <w:i/>
                <w:iCs/>
                <w:kern w:val="2"/>
                <w:sz w:val="24"/>
                <w:szCs w:val="24"/>
                <w:lang w:eastAsia="en-US"/>
                <w14:ligatures w14:val="standardContextual"/>
              </w:rPr>
              <w:t xml:space="preserve"> </w:t>
            </w:r>
          </w:p>
        </w:tc>
        <w:tc>
          <w:tcPr>
            <w:tcW w:w="948" w:type="pct"/>
          </w:tcPr>
          <w:p w14:paraId="164CB1DA" w14:textId="77777777" w:rsidR="000E14DA" w:rsidRPr="00806140" w:rsidRDefault="000E14DA"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806140" w14:paraId="1B6BCB1B"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5C9B366C" w14:textId="08F1DC77" w:rsidR="00E62CB6"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w:t>
            </w:r>
            <w:r w:rsidR="00E62CB6"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4983A62D" w14:textId="53E1D2F0" w:rsidR="00E62CB6" w:rsidRPr="00806140" w:rsidRDefault="00E62CB6"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Paruošiamieji darbai</w:t>
            </w:r>
            <w:r w:rsidR="00046212" w:rsidRPr="00806140">
              <w:rPr>
                <w:rFonts w:ascii="Times New Roman" w:eastAsia="Calibri" w:hAnsi="Times New Roman" w:cs="Times New Roman"/>
                <w:i/>
                <w:iCs/>
                <w:kern w:val="2"/>
                <w:sz w:val="24"/>
                <w:szCs w:val="24"/>
                <w:lang w:eastAsia="en-US"/>
                <w14:ligatures w14:val="standardContextual"/>
              </w:rPr>
              <w:t>. Menkaverčių želdinių (krūmų) kirtimas, smulkinimas ir išvežimas Rangovo pasirinktu atstumu. Asfalto dangos, kelio ženklų demontavimas, statybinių atliekų išvežimas.</w:t>
            </w:r>
          </w:p>
        </w:tc>
        <w:tc>
          <w:tcPr>
            <w:tcW w:w="948" w:type="pct"/>
          </w:tcPr>
          <w:p w14:paraId="5A8AD720" w14:textId="77777777" w:rsidR="00E62CB6" w:rsidRPr="00806140"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806140" w14:paraId="7D53C73F"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115B948B" w14:textId="380E866D" w:rsidR="00E62CB6"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E62CB6"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015E41C9" w14:textId="7746A446" w:rsidR="00E62CB6" w:rsidRPr="00806140"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Žemės sankasos įrengimo darbai. Žemės darbai</w:t>
            </w:r>
            <w:r w:rsidR="00046212" w:rsidRPr="00806140">
              <w:rPr>
                <w:rFonts w:ascii="Times New Roman" w:eastAsia="Calibri" w:hAnsi="Times New Roman" w:cs="Times New Roman"/>
                <w:i/>
                <w:iCs/>
                <w:kern w:val="2"/>
                <w:sz w:val="24"/>
                <w:szCs w:val="24"/>
                <w:lang w:eastAsia="en-US"/>
                <w14:ligatures w14:val="standardContextual"/>
              </w:rPr>
              <w:t>.</w:t>
            </w:r>
          </w:p>
        </w:tc>
        <w:tc>
          <w:tcPr>
            <w:tcW w:w="948" w:type="pct"/>
          </w:tcPr>
          <w:p w14:paraId="180E72B8" w14:textId="77777777" w:rsidR="00E62CB6" w:rsidRPr="00806140"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806140" w14:paraId="5E7EFAC6"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120FAF64" w14:textId="7D4F42A7" w:rsidR="00E62CB6"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r w:rsidR="00E62CB6"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7EC855FB" w14:textId="7BB89C82" w:rsidR="00967EC0" w:rsidRPr="00806140" w:rsidRDefault="00E62CB6"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Vandens nuleidimo įrenginių įrengimo darbai.</w:t>
            </w:r>
            <w:r w:rsidR="00967EC0" w:rsidRPr="00806140">
              <w:rPr>
                <w:rFonts w:ascii="Times New Roman" w:eastAsia="Calibri" w:hAnsi="Times New Roman" w:cs="Times New Roman"/>
                <w:i/>
                <w:iCs/>
                <w:kern w:val="2"/>
                <w:sz w:val="24"/>
                <w:szCs w:val="24"/>
                <w:lang w:eastAsia="en-US"/>
                <w14:ligatures w14:val="standardContextual"/>
              </w:rPr>
              <w:t xml:space="preserve"> </w:t>
            </w:r>
            <w:r w:rsidR="00046212" w:rsidRPr="00806140">
              <w:rPr>
                <w:rFonts w:ascii="Times New Roman" w:eastAsia="Calibri" w:hAnsi="Times New Roman" w:cs="Times New Roman"/>
                <w:i/>
                <w:iCs/>
                <w:kern w:val="2"/>
                <w:sz w:val="24"/>
                <w:szCs w:val="24"/>
                <w:lang w:eastAsia="en-US"/>
                <w14:ligatures w14:val="standardContextual"/>
              </w:rPr>
              <w:t>Pralaidos (esamų pralaidų valymas).</w:t>
            </w:r>
          </w:p>
        </w:tc>
        <w:tc>
          <w:tcPr>
            <w:tcW w:w="948" w:type="pct"/>
          </w:tcPr>
          <w:p w14:paraId="66978966" w14:textId="77777777" w:rsidR="00E62CB6" w:rsidRPr="00806140"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806140" w14:paraId="42B0C4A4" w14:textId="77777777" w:rsidTr="004A72EB">
        <w:trPr>
          <w:trHeight w:val="405"/>
        </w:trPr>
        <w:tc>
          <w:tcPr>
            <w:tcW w:w="473" w:type="pct"/>
            <w:tcBorders>
              <w:top w:val="single" w:sz="4" w:space="0" w:color="auto"/>
              <w:left w:val="single" w:sz="4" w:space="0" w:color="auto"/>
              <w:bottom w:val="single" w:sz="4" w:space="0" w:color="auto"/>
              <w:right w:val="single" w:sz="4" w:space="0" w:color="auto"/>
            </w:tcBorders>
          </w:tcPr>
          <w:p w14:paraId="48676D46" w14:textId="41C03DCB" w:rsidR="00E62CB6"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r w:rsidR="00E62CB6"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32FD32FA" w14:textId="77777777" w:rsidR="00046212" w:rsidRPr="00806140" w:rsidRDefault="00E62CB6"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 xml:space="preserve">Dangų konstrukcijų įrengimo darbai. Važiuojamoji dalis </w:t>
            </w:r>
            <w:r w:rsidR="00046212" w:rsidRPr="00806140">
              <w:rPr>
                <w:rFonts w:ascii="Times New Roman" w:eastAsia="Calibri" w:hAnsi="Times New Roman" w:cs="Times New Roman"/>
                <w:i/>
                <w:iCs/>
                <w:kern w:val="2"/>
                <w:sz w:val="24"/>
                <w:szCs w:val="24"/>
                <w:lang w:eastAsia="en-US"/>
                <w14:ligatures w14:val="standardContextual"/>
              </w:rPr>
              <w:t xml:space="preserve">ir nuovažos: </w:t>
            </w:r>
          </w:p>
          <w:p w14:paraId="52BDC5D7" w14:textId="70958431" w:rsidR="00046212" w:rsidRPr="00806140"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35 cm storio stabilizuoto grunto pagrindo sluoksnio (su cemento ir jonų</w:t>
            </w:r>
          </w:p>
          <w:p w14:paraId="108F9A8D" w14:textId="77777777" w:rsidR="00E62CB6" w:rsidRPr="00806140"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mainus gerinančiu preparatu) įrengimas;</w:t>
            </w:r>
          </w:p>
          <w:p w14:paraId="7592555E" w14:textId="52EEDBDA" w:rsidR="00046212" w:rsidRPr="00806140"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046212">
              <w:rPr>
                <w:rFonts w:ascii="Times New Roman" w:eastAsia="Calibri" w:hAnsi="Times New Roman" w:cs="Times New Roman"/>
                <w:i/>
                <w:iCs/>
                <w:kern w:val="2"/>
                <w:sz w:val="24"/>
                <w:szCs w:val="24"/>
                <w:lang w:eastAsia="en-US"/>
                <w14:ligatures w14:val="standardContextual"/>
              </w:rPr>
              <w:t>15 cm storio skaldos pagrindo sluoksnio iš nesurištojo mineralinio</w:t>
            </w:r>
            <w:r w:rsidRPr="00806140">
              <w:rPr>
                <w:rFonts w:ascii="Times New Roman" w:eastAsia="Calibri" w:hAnsi="Times New Roman" w:cs="Times New Roman"/>
                <w:i/>
                <w:iCs/>
                <w:kern w:val="2"/>
                <w:sz w:val="24"/>
                <w:szCs w:val="24"/>
                <w:lang w:eastAsia="en-US"/>
                <w14:ligatures w14:val="standardContextual"/>
              </w:rPr>
              <w:t xml:space="preserve"> medžiagų mišinio (</w:t>
            </w:r>
            <w:proofErr w:type="spellStart"/>
            <w:r w:rsidRPr="00806140">
              <w:rPr>
                <w:rFonts w:ascii="Times New Roman" w:eastAsia="Calibri" w:hAnsi="Times New Roman" w:cs="Times New Roman"/>
                <w:i/>
                <w:iCs/>
                <w:kern w:val="2"/>
                <w:sz w:val="24"/>
                <w:szCs w:val="24"/>
                <w:lang w:eastAsia="en-US"/>
                <w14:ligatures w14:val="standardContextual"/>
              </w:rPr>
              <w:t>fr</w:t>
            </w:r>
            <w:proofErr w:type="spellEnd"/>
            <w:r w:rsidRPr="00806140">
              <w:rPr>
                <w:rFonts w:ascii="Times New Roman" w:eastAsia="Calibri" w:hAnsi="Times New Roman" w:cs="Times New Roman"/>
                <w:i/>
                <w:iCs/>
                <w:kern w:val="2"/>
                <w:sz w:val="24"/>
                <w:szCs w:val="24"/>
                <w:lang w:eastAsia="en-US"/>
                <w14:ligatures w14:val="standardContextual"/>
              </w:rPr>
              <w:t>. 0/45);</w:t>
            </w:r>
          </w:p>
          <w:p w14:paraId="20AE0E2D" w14:textId="77777777" w:rsidR="00046212" w:rsidRPr="00046212"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046212">
              <w:rPr>
                <w:rFonts w:ascii="Times New Roman" w:eastAsia="Calibri" w:hAnsi="Times New Roman" w:cs="Times New Roman"/>
                <w:i/>
                <w:iCs/>
                <w:kern w:val="2"/>
                <w:sz w:val="24"/>
                <w:szCs w:val="24"/>
                <w:lang w:eastAsia="en-US"/>
                <w14:ligatures w14:val="standardContextual"/>
              </w:rPr>
              <w:t>8 cm storio asfalto pagrindo-dangos sluoksnio iš mišinio AC 16 PD</w:t>
            </w:r>
          </w:p>
          <w:p w14:paraId="63895C02" w14:textId="77777777" w:rsidR="00046212" w:rsidRPr="00806140"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Įrengimas.</w:t>
            </w:r>
          </w:p>
          <w:p w14:paraId="60C14D4D" w14:textId="77777777" w:rsidR="00046212" w:rsidRPr="00806140"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 xml:space="preserve">Kelkraštis: 8 cm storio apželdinto kelkraščio iš 80 % nesurištojo mineralinių medžiagų mišinio (skalda </w:t>
            </w:r>
            <w:proofErr w:type="spellStart"/>
            <w:r w:rsidRPr="00806140">
              <w:rPr>
                <w:rFonts w:ascii="Times New Roman" w:eastAsia="Calibri" w:hAnsi="Times New Roman" w:cs="Times New Roman"/>
                <w:i/>
                <w:iCs/>
                <w:kern w:val="2"/>
                <w:sz w:val="24"/>
                <w:szCs w:val="24"/>
                <w:lang w:eastAsia="en-US"/>
                <w14:ligatures w14:val="standardContextual"/>
              </w:rPr>
              <w:t>fr</w:t>
            </w:r>
            <w:proofErr w:type="spellEnd"/>
            <w:r w:rsidRPr="00806140">
              <w:rPr>
                <w:rFonts w:ascii="Times New Roman" w:eastAsia="Calibri" w:hAnsi="Times New Roman" w:cs="Times New Roman"/>
                <w:i/>
                <w:iCs/>
                <w:kern w:val="2"/>
                <w:sz w:val="24"/>
                <w:szCs w:val="24"/>
                <w:lang w:eastAsia="en-US"/>
                <w14:ligatures w14:val="standardContextual"/>
              </w:rPr>
              <w:t>. 16/22) ir 20 % dirvožemio įrengimas.</w:t>
            </w:r>
          </w:p>
          <w:p w14:paraId="42D7ED1F" w14:textId="6B10F1F4" w:rsidR="00046212" w:rsidRPr="00806140" w:rsidRDefault="00046212" w:rsidP="00046212">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Kiti dangų konstrukcijos įrengimo darbai.</w:t>
            </w:r>
          </w:p>
        </w:tc>
        <w:tc>
          <w:tcPr>
            <w:tcW w:w="948" w:type="pct"/>
            <w:tcBorders>
              <w:bottom w:val="single" w:sz="4" w:space="0" w:color="auto"/>
            </w:tcBorders>
          </w:tcPr>
          <w:p w14:paraId="70B09E2B" w14:textId="77777777" w:rsidR="00E62CB6" w:rsidRPr="00806140"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806140" w14:paraId="47DF58B3"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1274AC82" w14:textId="763D6039" w:rsidR="00E62CB6"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6</w:t>
            </w:r>
            <w:r w:rsidR="00E62CB6"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210AC468" w14:textId="43B14473" w:rsidR="00E62CB6" w:rsidRPr="00806140"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 xml:space="preserve">Eismo organizavimo darbai. Kelio ženklų įrengimas. </w:t>
            </w:r>
          </w:p>
        </w:tc>
        <w:tc>
          <w:tcPr>
            <w:tcW w:w="948" w:type="pct"/>
            <w:tcBorders>
              <w:top w:val="single" w:sz="4" w:space="0" w:color="auto"/>
              <w:bottom w:val="single" w:sz="4" w:space="0" w:color="auto"/>
            </w:tcBorders>
          </w:tcPr>
          <w:p w14:paraId="351D80B4" w14:textId="77777777" w:rsidR="00E62CB6" w:rsidRPr="00806140"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046212" w:rsidRPr="00806140" w14:paraId="02727F5A"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0A62FAE8" w14:textId="66FA4792" w:rsidR="00046212"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7</w:t>
            </w:r>
            <w:r w:rsidR="00046212" w:rsidRPr="00806140">
              <w:rPr>
                <w:rFonts w:ascii="Times New Roman" w:eastAsia="Calibri" w:hAnsi="Times New Roman" w:cs="Times New Roman"/>
                <w:kern w:val="2"/>
                <w:sz w:val="24"/>
                <w:szCs w:val="24"/>
                <w:lang w:eastAsia="en-US"/>
                <w14:ligatures w14:val="standardContextual"/>
              </w:rPr>
              <w:t xml:space="preserve">. </w:t>
            </w:r>
          </w:p>
        </w:tc>
        <w:tc>
          <w:tcPr>
            <w:tcW w:w="3579" w:type="pct"/>
            <w:tcBorders>
              <w:top w:val="single" w:sz="4" w:space="0" w:color="auto"/>
              <w:left w:val="single" w:sz="4" w:space="0" w:color="auto"/>
              <w:bottom w:val="single" w:sz="4" w:space="0" w:color="auto"/>
              <w:right w:val="single" w:sz="4" w:space="0" w:color="auto"/>
            </w:tcBorders>
          </w:tcPr>
          <w:p w14:paraId="1240421E" w14:textId="1660C3BA" w:rsidR="00046212" w:rsidRPr="00806140" w:rsidRDefault="00046212" w:rsidP="00E62CB6">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Horizontalus ženklinimas.</w:t>
            </w:r>
          </w:p>
        </w:tc>
        <w:tc>
          <w:tcPr>
            <w:tcW w:w="948" w:type="pct"/>
            <w:tcBorders>
              <w:top w:val="single" w:sz="4" w:space="0" w:color="auto"/>
              <w:bottom w:val="single" w:sz="4" w:space="0" w:color="auto"/>
            </w:tcBorders>
          </w:tcPr>
          <w:p w14:paraId="46353657" w14:textId="77777777" w:rsidR="00046212" w:rsidRPr="00806140" w:rsidRDefault="00046212"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806140" w14:paraId="18E168CE"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5E5AA6AA" w14:textId="39CD6978" w:rsidR="00E62CB6"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r w:rsidR="00E62CB6"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56B8A737" w14:textId="23244DC9" w:rsidR="00E62CB6" w:rsidRPr="00806140"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Kiti</w:t>
            </w:r>
            <w:r w:rsidR="00806140" w:rsidRPr="00806140">
              <w:rPr>
                <w:rFonts w:ascii="Times New Roman" w:eastAsia="Calibri" w:hAnsi="Times New Roman" w:cs="Times New Roman"/>
                <w:i/>
                <w:iCs/>
                <w:kern w:val="2"/>
                <w:sz w:val="24"/>
                <w:szCs w:val="24"/>
                <w:lang w:eastAsia="en-US"/>
                <w14:ligatures w14:val="standardContextual"/>
              </w:rPr>
              <w:t xml:space="preserve"> eismo organizavimo</w:t>
            </w:r>
            <w:r w:rsidRPr="00806140">
              <w:rPr>
                <w:rFonts w:ascii="Times New Roman" w:eastAsia="Calibri" w:hAnsi="Times New Roman" w:cs="Times New Roman"/>
                <w:i/>
                <w:iCs/>
                <w:kern w:val="2"/>
                <w:sz w:val="24"/>
                <w:szCs w:val="24"/>
                <w:lang w:eastAsia="en-US"/>
                <w14:ligatures w14:val="standardContextual"/>
              </w:rPr>
              <w:t xml:space="preserve"> darbai</w:t>
            </w:r>
          </w:p>
        </w:tc>
        <w:tc>
          <w:tcPr>
            <w:tcW w:w="948" w:type="pct"/>
            <w:tcBorders>
              <w:top w:val="single" w:sz="4" w:space="0" w:color="auto"/>
              <w:bottom w:val="single" w:sz="4" w:space="0" w:color="auto"/>
            </w:tcBorders>
          </w:tcPr>
          <w:p w14:paraId="04F3D28F" w14:textId="77777777" w:rsidR="00E62CB6" w:rsidRPr="00806140"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74F98" w:rsidRPr="00806140" w14:paraId="44F77A91"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1FF55776" w14:textId="683FAB8E" w:rsidR="00E74F98" w:rsidRPr="00806140" w:rsidRDefault="000E14DA"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9</w:t>
            </w:r>
            <w:r w:rsidR="00E74F98"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22290896" w14:textId="3E60F7DE" w:rsidR="00E74F98" w:rsidRPr="00806140" w:rsidRDefault="00651CD4" w:rsidP="00E62CB6">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D</w:t>
            </w:r>
            <w:r w:rsidR="00E74F98" w:rsidRPr="00806140">
              <w:rPr>
                <w:rFonts w:ascii="Times New Roman" w:eastAsia="Calibri" w:hAnsi="Times New Roman" w:cs="Times New Roman"/>
                <w:i/>
                <w:iCs/>
                <w:kern w:val="2"/>
                <w:sz w:val="24"/>
                <w:szCs w:val="24"/>
                <w:lang w:eastAsia="en-US"/>
                <w14:ligatures w14:val="standardContextual"/>
              </w:rPr>
              <w:t xml:space="preserve">arbai numatyti </w:t>
            </w:r>
            <w:r w:rsidR="00E74F98" w:rsidRPr="00806140">
              <w:rPr>
                <w:rFonts w:ascii="Times New Roman" w:eastAsia="Calibri" w:hAnsi="Times New Roman" w:cs="Times New Roman"/>
                <w:bCs/>
                <w:i/>
                <w:iCs/>
                <w:kern w:val="2"/>
                <w:sz w:val="24"/>
                <w:szCs w:val="24"/>
                <w:lang w:eastAsia="en-US"/>
                <w14:ligatures w14:val="standardContextual"/>
              </w:rPr>
              <w:t xml:space="preserve">projekto </w:t>
            </w:r>
            <w:r w:rsidR="00806140" w:rsidRPr="00806140">
              <w:rPr>
                <w:rFonts w:ascii="Times New Roman" w:eastAsia="Calibri" w:hAnsi="Times New Roman" w:cs="Times New Roman"/>
                <w:bCs/>
                <w:i/>
                <w:iCs/>
                <w:kern w:val="2"/>
                <w:sz w:val="24"/>
                <w:szCs w:val="24"/>
                <w:lang w:eastAsia="en-US"/>
                <w14:ligatures w14:val="standardContextual"/>
              </w:rPr>
              <w:t>ER ir MS dalyse</w:t>
            </w:r>
          </w:p>
        </w:tc>
        <w:tc>
          <w:tcPr>
            <w:tcW w:w="948" w:type="pct"/>
            <w:tcBorders>
              <w:top w:val="single" w:sz="4" w:space="0" w:color="auto"/>
              <w:bottom w:val="single" w:sz="4" w:space="0" w:color="auto"/>
            </w:tcBorders>
          </w:tcPr>
          <w:p w14:paraId="1B3B173F" w14:textId="77777777" w:rsidR="00E74F98" w:rsidRPr="00806140" w:rsidRDefault="00E74F98"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806140" w14:paraId="16B86BD9" w14:textId="77777777" w:rsidTr="004A72EB">
        <w:trPr>
          <w:trHeight w:val="223"/>
        </w:trPr>
        <w:tc>
          <w:tcPr>
            <w:tcW w:w="473" w:type="pct"/>
            <w:tcBorders>
              <w:top w:val="single" w:sz="4" w:space="0" w:color="auto"/>
              <w:left w:val="single" w:sz="4" w:space="0" w:color="auto"/>
              <w:bottom w:val="single" w:sz="4" w:space="0" w:color="auto"/>
              <w:right w:val="single" w:sz="4" w:space="0" w:color="auto"/>
            </w:tcBorders>
          </w:tcPr>
          <w:p w14:paraId="1A7E6ACC" w14:textId="17023F88" w:rsidR="007D0C0D" w:rsidRPr="00806140" w:rsidRDefault="000E14DA" w:rsidP="007D0C0D">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10</w:t>
            </w:r>
            <w:r w:rsidR="007D0C0D"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7ED3E447" w14:textId="0617B51F" w:rsidR="007D0C0D" w:rsidRPr="00806140" w:rsidRDefault="007D0C0D" w:rsidP="007D0C0D">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Išpildomosios geodezinės dokumentacijos parengimas</w:t>
            </w:r>
          </w:p>
        </w:tc>
        <w:tc>
          <w:tcPr>
            <w:tcW w:w="948" w:type="pct"/>
            <w:tcBorders>
              <w:top w:val="single" w:sz="4" w:space="0" w:color="auto"/>
              <w:bottom w:val="single" w:sz="4" w:space="0" w:color="auto"/>
            </w:tcBorders>
          </w:tcPr>
          <w:p w14:paraId="21E985A2" w14:textId="77777777" w:rsidR="007D0C0D" w:rsidRPr="00806140"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806140" w14:paraId="0445B86D" w14:textId="77777777" w:rsidTr="004A72EB">
        <w:trPr>
          <w:trHeight w:val="255"/>
        </w:trPr>
        <w:tc>
          <w:tcPr>
            <w:tcW w:w="473" w:type="pct"/>
            <w:tcBorders>
              <w:top w:val="single" w:sz="4" w:space="0" w:color="auto"/>
              <w:left w:val="single" w:sz="4" w:space="0" w:color="auto"/>
              <w:bottom w:val="single" w:sz="4" w:space="0" w:color="auto"/>
              <w:right w:val="single" w:sz="4" w:space="0" w:color="auto"/>
            </w:tcBorders>
          </w:tcPr>
          <w:p w14:paraId="3C0E2F10" w14:textId="18F8B035" w:rsidR="007D0C0D" w:rsidRPr="00806140" w:rsidRDefault="007D0C0D" w:rsidP="007D0C0D">
            <w:pPr>
              <w:spacing w:after="0" w:line="240" w:lineRule="auto"/>
              <w:rPr>
                <w:rFonts w:ascii="Times New Roman" w:eastAsia="Calibri" w:hAnsi="Times New Roman" w:cs="Times New Roman"/>
                <w:kern w:val="2"/>
                <w:sz w:val="24"/>
                <w:szCs w:val="24"/>
                <w:lang w:eastAsia="en-US"/>
                <w14:ligatures w14:val="standardContextual"/>
              </w:rPr>
            </w:pPr>
            <w:r w:rsidRPr="00806140">
              <w:rPr>
                <w:rFonts w:ascii="Times New Roman" w:eastAsia="Calibri" w:hAnsi="Times New Roman" w:cs="Times New Roman"/>
                <w:kern w:val="2"/>
                <w:sz w:val="24"/>
                <w:szCs w:val="24"/>
                <w:lang w:eastAsia="en-US"/>
                <w14:ligatures w14:val="standardContextual"/>
              </w:rPr>
              <w:t>1</w:t>
            </w:r>
            <w:r w:rsidR="000E14DA">
              <w:rPr>
                <w:rFonts w:ascii="Times New Roman" w:eastAsia="Calibri" w:hAnsi="Times New Roman" w:cs="Times New Roman"/>
                <w:kern w:val="2"/>
                <w:sz w:val="24"/>
                <w:szCs w:val="24"/>
                <w:lang w:eastAsia="en-US"/>
                <w14:ligatures w14:val="standardContextual"/>
              </w:rPr>
              <w:t>1</w:t>
            </w:r>
            <w:r w:rsidRPr="00806140">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07303A61" w14:textId="568C213B" w:rsidR="007D0C0D" w:rsidRPr="00806140" w:rsidRDefault="007D0C0D" w:rsidP="007D0C0D">
            <w:pPr>
              <w:spacing w:after="0" w:line="240" w:lineRule="auto"/>
              <w:rPr>
                <w:rFonts w:ascii="Times New Roman" w:eastAsia="Calibri" w:hAnsi="Times New Roman" w:cs="Times New Roman"/>
                <w:i/>
                <w:iCs/>
                <w:kern w:val="2"/>
                <w:sz w:val="24"/>
                <w:szCs w:val="24"/>
                <w:lang w:eastAsia="en-US"/>
                <w14:ligatures w14:val="standardContextual"/>
              </w:rPr>
            </w:pPr>
            <w:r w:rsidRPr="00806140">
              <w:rPr>
                <w:rFonts w:ascii="Times New Roman" w:eastAsia="Calibri" w:hAnsi="Times New Roman" w:cs="Times New Roman"/>
                <w:i/>
                <w:iCs/>
                <w:kern w:val="2"/>
                <w:sz w:val="24"/>
                <w:szCs w:val="24"/>
                <w:lang w:eastAsia="en-US"/>
                <w14:ligatures w14:val="standardContextual"/>
              </w:rPr>
              <w:t>Kadastro bylų patikslinimas</w:t>
            </w:r>
          </w:p>
        </w:tc>
        <w:tc>
          <w:tcPr>
            <w:tcW w:w="948" w:type="pct"/>
            <w:tcBorders>
              <w:top w:val="single" w:sz="4" w:space="0" w:color="auto"/>
            </w:tcBorders>
          </w:tcPr>
          <w:p w14:paraId="603C4C3D" w14:textId="77777777" w:rsidR="007D0C0D" w:rsidRPr="00806140"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806140" w14:paraId="2D8C3C96" w14:textId="77777777" w:rsidTr="004A72EB">
        <w:trPr>
          <w:trHeight w:val="257"/>
        </w:trPr>
        <w:tc>
          <w:tcPr>
            <w:tcW w:w="4052" w:type="pct"/>
            <w:gridSpan w:val="2"/>
            <w:tcBorders>
              <w:top w:val="single" w:sz="4" w:space="0" w:color="auto"/>
              <w:left w:val="single" w:sz="4" w:space="0" w:color="auto"/>
              <w:bottom w:val="single" w:sz="4" w:space="0" w:color="auto"/>
              <w:right w:val="single" w:sz="4" w:space="0" w:color="auto"/>
            </w:tcBorders>
          </w:tcPr>
          <w:p w14:paraId="70841B50" w14:textId="77777777" w:rsidR="007D0C0D" w:rsidRPr="00806140"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r w:rsidRPr="00806140">
              <w:rPr>
                <w:rFonts w:ascii="Times New Roman" w:eastAsia="Calibri" w:hAnsi="Times New Roman" w:cs="Times New Roman"/>
                <w:b/>
                <w:kern w:val="2"/>
                <w:sz w:val="24"/>
                <w:szCs w:val="24"/>
                <w:lang w:eastAsia="en-US"/>
                <w14:ligatures w14:val="standardContextual"/>
              </w:rPr>
              <w:t>Iš viso:</w:t>
            </w:r>
          </w:p>
        </w:tc>
        <w:tc>
          <w:tcPr>
            <w:tcW w:w="948" w:type="pct"/>
            <w:tcBorders>
              <w:top w:val="single" w:sz="4" w:space="0" w:color="auto"/>
              <w:left w:val="single" w:sz="4" w:space="0" w:color="auto"/>
              <w:bottom w:val="single" w:sz="4" w:space="0" w:color="auto"/>
              <w:right w:val="single" w:sz="4" w:space="0" w:color="auto"/>
            </w:tcBorders>
          </w:tcPr>
          <w:p w14:paraId="1718CD64" w14:textId="77777777" w:rsidR="007D0C0D" w:rsidRPr="00806140"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806140" w14:paraId="6A47AD3A" w14:textId="77777777" w:rsidTr="004A72EB">
        <w:trPr>
          <w:trHeight w:val="274"/>
        </w:trPr>
        <w:tc>
          <w:tcPr>
            <w:tcW w:w="4052" w:type="pct"/>
            <w:gridSpan w:val="2"/>
            <w:tcBorders>
              <w:top w:val="single" w:sz="4" w:space="0" w:color="auto"/>
              <w:left w:val="single" w:sz="4" w:space="0" w:color="auto"/>
              <w:bottom w:val="single" w:sz="4" w:space="0" w:color="auto"/>
              <w:right w:val="single" w:sz="4" w:space="0" w:color="auto"/>
            </w:tcBorders>
          </w:tcPr>
          <w:p w14:paraId="77FD165D" w14:textId="77777777" w:rsidR="007D0C0D" w:rsidRPr="00806140" w:rsidRDefault="007D0C0D" w:rsidP="007D0C0D">
            <w:pPr>
              <w:spacing w:after="0" w:line="240" w:lineRule="auto"/>
              <w:rPr>
                <w:rFonts w:ascii="Times New Roman" w:eastAsia="Calibri" w:hAnsi="Times New Roman" w:cs="Times New Roman"/>
                <w:b/>
                <w:kern w:val="2"/>
                <w:sz w:val="24"/>
                <w:szCs w:val="24"/>
                <w:lang w:val="en-US" w:eastAsia="en-US"/>
                <w14:ligatures w14:val="standardContextual"/>
              </w:rPr>
            </w:pPr>
            <w:r w:rsidRPr="00806140">
              <w:rPr>
                <w:rFonts w:ascii="Times New Roman" w:eastAsia="Calibri" w:hAnsi="Times New Roman" w:cs="Times New Roman"/>
                <w:b/>
                <w:kern w:val="2"/>
                <w:sz w:val="24"/>
                <w:szCs w:val="24"/>
                <w:lang w:eastAsia="en-US"/>
                <w14:ligatures w14:val="standardContextual"/>
              </w:rPr>
              <w:t>PVM (21</w:t>
            </w:r>
            <w:r w:rsidRPr="00806140">
              <w:rPr>
                <w:rFonts w:ascii="Times New Roman" w:eastAsia="Calibri" w:hAnsi="Times New Roman" w:cs="Times New Roman"/>
                <w:b/>
                <w:kern w:val="2"/>
                <w:sz w:val="24"/>
                <w:szCs w:val="24"/>
                <w:lang w:val="en-US" w:eastAsia="en-US"/>
                <w14:ligatures w14:val="standardContextual"/>
              </w:rPr>
              <w:t>%)</w:t>
            </w:r>
          </w:p>
        </w:tc>
        <w:tc>
          <w:tcPr>
            <w:tcW w:w="948" w:type="pct"/>
            <w:tcBorders>
              <w:top w:val="single" w:sz="4" w:space="0" w:color="auto"/>
              <w:left w:val="single" w:sz="4" w:space="0" w:color="auto"/>
              <w:bottom w:val="single" w:sz="4" w:space="0" w:color="auto"/>
            </w:tcBorders>
          </w:tcPr>
          <w:p w14:paraId="434FDFC0" w14:textId="77777777" w:rsidR="007D0C0D" w:rsidRPr="00806140"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E62CB6" w14:paraId="4B62DD58" w14:textId="77777777" w:rsidTr="004A72EB">
        <w:trPr>
          <w:trHeight w:val="265"/>
        </w:trPr>
        <w:tc>
          <w:tcPr>
            <w:tcW w:w="4052" w:type="pct"/>
            <w:gridSpan w:val="2"/>
            <w:tcBorders>
              <w:top w:val="single" w:sz="4" w:space="0" w:color="auto"/>
              <w:left w:val="single" w:sz="4" w:space="0" w:color="auto"/>
              <w:bottom w:val="single" w:sz="4" w:space="0" w:color="auto"/>
              <w:right w:val="single" w:sz="4" w:space="0" w:color="auto"/>
            </w:tcBorders>
          </w:tcPr>
          <w:p w14:paraId="5ACD7A29"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r w:rsidRPr="00806140">
              <w:rPr>
                <w:rFonts w:ascii="Times New Roman" w:eastAsia="Calibri" w:hAnsi="Times New Roman" w:cs="Times New Roman"/>
                <w:b/>
                <w:kern w:val="2"/>
                <w:sz w:val="24"/>
                <w:szCs w:val="24"/>
                <w:lang w:eastAsia="en-US"/>
                <w14:ligatures w14:val="standardContextual"/>
              </w:rPr>
              <w:t>Bendra suma su PVM (Eur)</w:t>
            </w:r>
          </w:p>
        </w:tc>
        <w:tc>
          <w:tcPr>
            <w:tcW w:w="948" w:type="pct"/>
            <w:tcBorders>
              <w:top w:val="single" w:sz="4" w:space="0" w:color="auto"/>
              <w:left w:val="single" w:sz="4" w:space="0" w:color="auto"/>
              <w:bottom w:val="single" w:sz="4" w:space="0" w:color="auto"/>
            </w:tcBorders>
          </w:tcPr>
          <w:p w14:paraId="17D46CE9"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bl>
    <w:p w14:paraId="5516C794" w14:textId="77777777" w:rsidR="00E62CB6" w:rsidRDefault="00E62CB6" w:rsidP="00290599">
      <w:pPr>
        <w:pStyle w:val="Stilius3"/>
        <w:spacing w:before="0"/>
        <w:outlineLvl w:val="0"/>
        <w:rPr>
          <w:i/>
          <w:sz w:val="24"/>
          <w:szCs w:val="24"/>
        </w:rPr>
      </w:pPr>
    </w:p>
    <w:p w14:paraId="444D039E" w14:textId="77777777" w:rsidR="00E62CB6" w:rsidRPr="0058795A" w:rsidRDefault="00E62CB6" w:rsidP="00290599">
      <w:pPr>
        <w:pStyle w:val="Stilius3"/>
        <w:spacing w:before="0"/>
        <w:outlineLvl w:val="0"/>
        <w:rPr>
          <w:i/>
          <w:sz w:val="24"/>
          <w:szCs w:val="24"/>
        </w:rPr>
      </w:pPr>
    </w:p>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ADBD" w14:textId="77777777" w:rsidR="0082761A" w:rsidRPr="0058795A" w:rsidRDefault="0082761A" w:rsidP="00D05666">
      <w:r w:rsidRPr="0058795A">
        <w:separator/>
      </w:r>
    </w:p>
  </w:endnote>
  <w:endnote w:type="continuationSeparator" w:id="0">
    <w:p w14:paraId="718A305B" w14:textId="77777777" w:rsidR="0082761A" w:rsidRPr="0058795A" w:rsidRDefault="0082761A" w:rsidP="00D05666">
      <w:r w:rsidRPr="0058795A">
        <w:continuationSeparator/>
      </w:r>
    </w:p>
  </w:endnote>
  <w:endnote w:type="continuationNotice" w:id="1">
    <w:p w14:paraId="5F288E3A" w14:textId="77777777" w:rsidR="0082761A" w:rsidRPr="0058795A" w:rsidRDefault="00827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3637" w14:textId="77777777" w:rsidR="0082761A" w:rsidRPr="0058795A" w:rsidRDefault="0082761A" w:rsidP="00D05666">
      <w:r w:rsidRPr="0058795A">
        <w:separator/>
      </w:r>
    </w:p>
  </w:footnote>
  <w:footnote w:type="continuationSeparator" w:id="0">
    <w:p w14:paraId="2F07490A" w14:textId="77777777" w:rsidR="0082761A" w:rsidRPr="0058795A" w:rsidRDefault="0082761A" w:rsidP="00D05666">
      <w:r w:rsidRPr="0058795A">
        <w:continuationSeparator/>
      </w:r>
    </w:p>
  </w:footnote>
  <w:footnote w:type="continuationNotice" w:id="1">
    <w:p w14:paraId="5299371D" w14:textId="77777777" w:rsidR="0082761A" w:rsidRPr="0058795A" w:rsidRDefault="00827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212"/>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A65"/>
    <w:rsid w:val="00082F6A"/>
    <w:rsid w:val="0008369A"/>
    <w:rsid w:val="0008436A"/>
    <w:rsid w:val="00085070"/>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7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4DA"/>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4D14"/>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88E"/>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045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3C6"/>
    <w:rsid w:val="001455B2"/>
    <w:rsid w:val="0014578C"/>
    <w:rsid w:val="00145B8E"/>
    <w:rsid w:val="00146477"/>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5162"/>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A7C3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00"/>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0AC"/>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3FF"/>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21"/>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A7A"/>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4B8"/>
    <w:rsid w:val="00365384"/>
    <w:rsid w:val="003660B8"/>
    <w:rsid w:val="003671C3"/>
    <w:rsid w:val="00370489"/>
    <w:rsid w:val="00370682"/>
    <w:rsid w:val="003713E4"/>
    <w:rsid w:val="00371433"/>
    <w:rsid w:val="00373245"/>
    <w:rsid w:val="00373C97"/>
    <w:rsid w:val="003741D5"/>
    <w:rsid w:val="00374529"/>
    <w:rsid w:val="00374650"/>
    <w:rsid w:val="00374A04"/>
    <w:rsid w:val="00375389"/>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0D83"/>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325"/>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54"/>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D"/>
    <w:rsid w:val="004905CE"/>
    <w:rsid w:val="004909FF"/>
    <w:rsid w:val="0049128B"/>
    <w:rsid w:val="004923AA"/>
    <w:rsid w:val="0049538A"/>
    <w:rsid w:val="00495AF2"/>
    <w:rsid w:val="00495F71"/>
    <w:rsid w:val="00496EFB"/>
    <w:rsid w:val="00497851"/>
    <w:rsid w:val="0049788B"/>
    <w:rsid w:val="00497DF3"/>
    <w:rsid w:val="004A01F5"/>
    <w:rsid w:val="004A0401"/>
    <w:rsid w:val="004A0E10"/>
    <w:rsid w:val="004A13CE"/>
    <w:rsid w:val="004A1BB5"/>
    <w:rsid w:val="004A22E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24"/>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6D0"/>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6BD"/>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240"/>
    <w:rsid w:val="005448A6"/>
    <w:rsid w:val="005464B7"/>
    <w:rsid w:val="00547265"/>
    <w:rsid w:val="00547443"/>
    <w:rsid w:val="00550260"/>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4B77"/>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E6"/>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631"/>
    <w:rsid w:val="005C0B37"/>
    <w:rsid w:val="005C17C2"/>
    <w:rsid w:val="005C1E12"/>
    <w:rsid w:val="005C3F18"/>
    <w:rsid w:val="005C4CBF"/>
    <w:rsid w:val="005C4CF6"/>
    <w:rsid w:val="005C5BD5"/>
    <w:rsid w:val="005C6C2A"/>
    <w:rsid w:val="005C6D8F"/>
    <w:rsid w:val="005D08AD"/>
    <w:rsid w:val="005D0CD2"/>
    <w:rsid w:val="005D102E"/>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2A"/>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D83"/>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D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0740"/>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52"/>
    <w:rsid w:val="006C67DC"/>
    <w:rsid w:val="006C749B"/>
    <w:rsid w:val="006C7941"/>
    <w:rsid w:val="006D0D4C"/>
    <w:rsid w:val="006D0EC0"/>
    <w:rsid w:val="006D1119"/>
    <w:rsid w:val="006D224F"/>
    <w:rsid w:val="006D235A"/>
    <w:rsid w:val="006D2363"/>
    <w:rsid w:val="006D2E10"/>
    <w:rsid w:val="006D2F3C"/>
    <w:rsid w:val="006D3202"/>
    <w:rsid w:val="006D3C8B"/>
    <w:rsid w:val="006D463E"/>
    <w:rsid w:val="006D5E06"/>
    <w:rsid w:val="006D6409"/>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A8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2D33"/>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C0D"/>
    <w:rsid w:val="007D0F6B"/>
    <w:rsid w:val="007D1221"/>
    <w:rsid w:val="007D1BAE"/>
    <w:rsid w:val="007D1C37"/>
    <w:rsid w:val="007D41C0"/>
    <w:rsid w:val="007D534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E7F5F"/>
    <w:rsid w:val="007F0164"/>
    <w:rsid w:val="007F14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140"/>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61A"/>
    <w:rsid w:val="00827AF2"/>
    <w:rsid w:val="008305F0"/>
    <w:rsid w:val="00830CAF"/>
    <w:rsid w:val="00830D3F"/>
    <w:rsid w:val="00831187"/>
    <w:rsid w:val="00831650"/>
    <w:rsid w:val="008320EC"/>
    <w:rsid w:val="0083270B"/>
    <w:rsid w:val="0083276A"/>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9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6FD4"/>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008"/>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C0"/>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DEE"/>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1D31"/>
    <w:rsid w:val="009B2302"/>
    <w:rsid w:val="009B2D7A"/>
    <w:rsid w:val="009B3266"/>
    <w:rsid w:val="009B338B"/>
    <w:rsid w:val="009B3927"/>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739"/>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5697"/>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09DD"/>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5E4"/>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8F"/>
    <w:rsid w:val="00A96518"/>
    <w:rsid w:val="00A96626"/>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5BD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6399"/>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C67"/>
    <w:rsid w:val="00B33EAC"/>
    <w:rsid w:val="00B34FE6"/>
    <w:rsid w:val="00B3551C"/>
    <w:rsid w:val="00B355A5"/>
    <w:rsid w:val="00B359A7"/>
    <w:rsid w:val="00B35FC1"/>
    <w:rsid w:val="00B368D9"/>
    <w:rsid w:val="00B3699E"/>
    <w:rsid w:val="00B372EF"/>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47D51"/>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D5"/>
    <w:rsid w:val="00B6421A"/>
    <w:rsid w:val="00B64F95"/>
    <w:rsid w:val="00B6522C"/>
    <w:rsid w:val="00B65F97"/>
    <w:rsid w:val="00B66306"/>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2D8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3DB"/>
    <w:rsid w:val="00B944B8"/>
    <w:rsid w:val="00B946B2"/>
    <w:rsid w:val="00B95A24"/>
    <w:rsid w:val="00B9652B"/>
    <w:rsid w:val="00B9672B"/>
    <w:rsid w:val="00B96756"/>
    <w:rsid w:val="00B96A6C"/>
    <w:rsid w:val="00B970B0"/>
    <w:rsid w:val="00B97D87"/>
    <w:rsid w:val="00BA0136"/>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43"/>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28A"/>
    <w:rsid w:val="00BD0C86"/>
    <w:rsid w:val="00BD13B8"/>
    <w:rsid w:val="00BD22D9"/>
    <w:rsid w:val="00BD321B"/>
    <w:rsid w:val="00BD3C64"/>
    <w:rsid w:val="00BD41D7"/>
    <w:rsid w:val="00BD42AF"/>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3B8"/>
    <w:rsid w:val="00BF1959"/>
    <w:rsid w:val="00BF1D3B"/>
    <w:rsid w:val="00BF22F5"/>
    <w:rsid w:val="00BF2B58"/>
    <w:rsid w:val="00BF4594"/>
    <w:rsid w:val="00BF5827"/>
    <w:rsid w:val="00BF5A66"/>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B23"/>
    <w:rsid w:val="00C52F1E"/>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F0"/>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26C"/>
    <w:rsid w:val="00CD46EA"/>
    <w:rsid w:val="00CD483E"/>
    <w:rsid w:val="00CD4A66"/>
    <w:rsid w:val="00CD5A4E"/>
    <w:rsid w:val="00CD5F1C"/>
    <w:rsid w:val="00CD6F81"/>
    <w:rsid w:val="00CD73FF"/>
    <w:rsid w:val="00CE07F5"/>
    <w:rsid w:val="00CE0A3E"/>
    <w:rsid w:val="00CE134E"/>
    <w:rsid w:val="00CE1414"/>
    <w:rsid w:val="00CE14DF"/>
    <w:rsid w:val="00CE16E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6CB"/>
    <w:rsid w:val="00CF7B33"/>
    <w:rsid w:val="00CF7B52"/>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B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38"/>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58F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B2B"/>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775"/>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B6"/>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4F98"/>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FF"/>
    <w:rsid w:val="00EA0CD1"/>
    <w:rsid w:val="00EA100E"/>
    <w:rsid w:val="00EA141A"/>
    <w:rsid w:val="00EA1790"/>
    <w:rsid w:val="00EA256A"/>
    <w:rsid w:val="00EA4193"/>
    <w:rsid w:val="00EA4970"/>
    <w:rsid w:val="00EA4E23"/>
    <w:rsid w:val="00EA56A6"/>
    <w:rsid w:val="00EA5D01"/>
    <w:rsid w:val="00EA6573"/>
    <w:rsid w:val="00EA6C4D"/>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58"/>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8F"/>
    <w:rsid w:val="00EE4477"/>
    <w:rsid w:val="00EE44B0"/>
    <w:rsid w:val="00EE523A"/>
    <w:rsid w:val="00EE54B9"/>
    <w:rsid w:val="00EE593B"/>
    <w:rsid w:val="00EE5F7A"/>
    <w:rsid w:val="00EE5FC7"/>
    <w:rsid w:val="00EE6920"/>
    <w:rsid w:val="00EE6E84"/>
    <w:rsid w:val="00EE7148"/>
    <w:rsid w:val="00EE7654"/>
    <w:rsid w:val="00EF000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6ABB"/>
    <w:rsid w:val="00F170D1"/>
    <w:rsid w:val="00F17A1F"/>
    <w:rsid w:val="00F20241"/>
    <w:rsid w:val="00F20406"/>
    <w:rsid w:val="00F207CB"/>
    <w:rsid w:val="00F2108C"/>
    <w:rsid w:val="00F211FE"/>
    <w:rsid w:val="00F2136F"/>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6BDB"/>
    <w:rsid w:val="00F37882"/>
    <w:rsid w:val="00F40BD7"/>
    <w:rsid w:val="00F40E95"/>
    <w:rsid w:val="00F411D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947"/>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775"/>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15"/>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27603</Words>
  <Characters>15734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27</cp:revision>
  <dcterms:created xsi:type="dcterms:W3CDTF">2025-06-10T10:18:00Z</dcterms:created>
  <dcterms:modified xsi:type="dcterms:W3CDTF">2025-09-03T13:10:00Z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