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8CCE0F3" w:rsidR="003470BD" w:rsidRPr="004D4B7E" w:rsidRDefault="00204AF7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Vertikalios vonios įrangos naujinimas (remontas)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01B1801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60526F66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204AF7" w:rsidRPr="00204AF7">
              <w:rPr>
                <w:rFonts w:ascii="Cambria" w:hAnsi="Cambria"/>
                <w:b/>
                <w:kern w:val="2"/>
                <w:sz w:val="20"/>
              </w:rPr>
              <w:t>vertikalios vonios įrangos naujinim</w:t>
            </w:r>
            <w:r w:rsidR="00204AF7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204AF7" w:rsidRPr="00204AF7">
              <w:rPr>
                <w:rFonts w:ascii="Cambria" w:hAnsi="Cambria"/>
                <w:b/>
                <w:kern w:val="2"/>
                <w:sz w:val="20"/>
              </w:rPr>
              <w:t xml:space="preserve"> (remont</w:t>
            </w:r>
            <w:r w:rsidR="00204AF7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204AF7" w:rsidRPr="00204AF7">
              <w:rPr>
                <w:rFonts w:ascii="Cambria" w:hAnsi="Cambria"/>
                <w:b/>
                <w:kern w:val="2"/>
                <w:sz w:val="20"/>
              </w:rPr>
              <w:t>)</w:t>
            </w:r>
            <w:r w:rsidR="00204AF7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</w:t>
            </w:r>
            <w:r w:rsidR="00204AF7">
              <w:rPr>
                <w:rFonts w:ascii="Cambria" w:hAnsi="Cambria"/>
                <w:color w:val="000000"/>
                <w:kern w:val="2"/>
                <w:sz w:val="20"/>
              </w:rPr>
              <w:t>/Paslaugos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pristatymą, iškrovimą,</w:t>
            </w:r>
            <w:r w:rsidR="002E2E64">
              <w:rPr>
                <w:rFonts w:ascii="Cambria" w:hAnsi="Cambria"/>
                <w:color w:val="000000" w:themeColor="text1"/>
                <w:sz w:val="20"/>
              </w:rPr>
              <w:t xml:space="preserve"> instaliavimą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5926A4E7" w:rsidR="003470BD" w:rsidRPr="004D4B7E" w:rsidRDefault="003470BD" w:rsidP="002E2E64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</w:t>
            </w:r>
            <w:r w:rsidR="002E2E64">
              <w:rPr>
                <w:rFonts w:ascii="Cambria" w:hAnsi="Cambria"/>
                <w:color w:val="000000"/>
                <w:kern w:val="2"/>
                <w:sz w:val="20"/>
              </w:rPr>
              <w:t>/Paslaugų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aprašymas ir kiti reikalavimai tiekiamoms Prekėms </w:t>
            </w:r>
            <w:r w:rsidR="002E2E64">
              <w:rPr>
                <w:rFonts w:ascii="Cambria" w:hAnsi="Cambria"/>
                <w:color w:val="000000"/>
                <w:kern w:val="2"/>
                <w:sz w:val="20"/>
              </w:rPr>
              <w:t xml:space="preserve">/teikiamoms Paslaugoms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nustatyti Sutarties priede Nr. 1 „Techninė specifikacija“ (toliau – Techninė specifikacija) ir Sutarties priede Nr. 2 „Prekių</w:t>
            </w:r>
            <w:r w:rsidR="002E2E64">
              <w:rPr>
                <w:rFonts w:ascii="Cambria" w:hAnsi="Cambria"/>
                <w:color w:val="000000"/>
                <w:kern w:val="2"/>
                <w:sz w:val="20"/>
              </w:rPr>
              <w:t>/Paslaugų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24D0A6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204AF7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204AF7">
              <w:rPr>
                <w:rFonts w:ascii="Cambria" w:hAnsi="Cambria"/>
                <w:kern w:val="2"/>
                <w:sz w:val="20"/>
              </w:rPr>
              <w:t>„</w:t>
            </w:r>
            <w:r w:rsidR="00204AF7">
              <w:rPr>
                <w:rFonts w:ascii="Cambria" w:hAnsi="Cambria"/>
                <w:kern w:val="2"/>
                <w:sz w:val="20"/>
              </w:rPr>
              <w:t>Vertikalios vonios įrangos naujinimas (remontas)</w:t>
            </w:r>
            <w:r w:rsidRPr="00204AF7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7A7FAD54" w:rsidR="003470BD" w:rsidRPr="004D4B7E" w:rsidRDefault="003470BD" w:rsidP="002E2E64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Tiekėjas pagal atskirą užsakymą įsipareigoja pristatyti Prekes</w:t>
            </w:r>
            <w:r w:rsidR="002E2E64">
              <w:rPr>
                <w:rFonts w:ascii="Cambria" w:hAnsi="Cambria"/>
                <w:kern w:val="2"/>
                <w:sz w:val="20"/>
              </w:rPr>
              <w:t>/suteikti paslaugas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(visą Prekių</w:t>
            </w:r>
            <w:r w:rsidR="002E2E64">
              <w:rPr>
                <w:rFonts w:ascii="Cambria" w:hAnsi="Cambria"/>
                <w:kern w:val="2"/>
                <w:sz w:val="20"/>
              </w:rPr>
              <w:t xml:space="preserve">/Paslaugų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3E9515B5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Kartu su Prekėmis pateikiam</w:t>
            </w:r>
            <w:r w:rsidR="002E2E64">
              <w:rPr>
                <w:rFonts w:ascii="Cambria" w:hAnsi="Cambria"/>
                <w:kern w:val="2"/>
                <w:sz w:val="20"/>
              </w:rPr>
              <w:t>as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Prekių perdavimo-priėmimo aktas. </w:t>
            </w:r>
          </w:p>
          <w:p w14:paraId="73FFA04B" w14:textId="096526EA" w:rsidR="003470BD" w:rsidRPr="004D4B7E" w:rsidRDefault="003470BD" w:rsidP="002E2E64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</w:t>
            </w:r>
            <w:r w:rsidR="002E2E64">
              <w:rPr>
                <w:rFonts w:ascii="Cambria" w:hAnsi="Cambria"/>
                <w:kern w:val="2"/>
                <w:sz w:val="20"/>
              </w:rPr>
              <w:t>o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dokument</w:t>
            </w:r>
            <w:r w:rsidR="002E2E64">
              <w:rPr>
                <w:rFonts w:ascii="Cambria" w:hAnsi="Cambria"/>
                <w:kern w:val="2"/>
                <w:sz w:val="20"/>
              </w:rPr>
              <w:t>o</w:t>
            </w:r>
            <w:r w:rsidRPr="004D4B7E">
              <w:rPr>
                <w:rFonts w:ascii="Cambria" w:hAnsi="Cambria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1666498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</w:t>
            </w:r>
            <w:r w:rsidR="002E2E64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/Paslaugų suteikimo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0AD712DF" w:rsidR="00761236" w:rsidRDefault="003470BD" w:rsidP="00761236">
            <w:pPr>
              <w:jc w:val="both"/>
              <w:rPr>
                <w:rFonts w:ascii="Cambria" w:hAnsi="Cambria"/>
                <w:color w:val="2E74B5" w:themeColor="accent1" w:themeShade="BF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Prekėms</w:t>
            </w:r>
            <w:r w:rsidR="00324F8A">
              <w:rPr>
                <w:rFonts w:ascii="Cambria" w:hAnsi="Cambria"/>
                <w:kern w:val="2"/>
                <w:sz w:val="20"/>
              </w:rPr>
              <w:t>/Paslaugoms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nustatomas </w:t>
            </w:r>
            <w:r w:rsidRPr="00761236">
              <w:rPr>
                <w:rFonts w:ascii="Cambria" w:hAnsi="Cambria"/>
                <w:kern w:val="2"/>
                <w:sz w:val="20"/>
              </w:rPr>
              <w:t xml:space="preserve">Techninėje specifikacijoje nustatytas </w:t>
            </w:r>
            <w:r w:rsidRPr="00761236">
              <w:rPr>
                <w:rFonts w:ascii="Cambria" w:hAnsi="Cambria"/>
                <w:sz w:val="20"/>
              </w:rPr>
              <w:t xml:space="preserve">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761236" w:rsidRPr="00321EFD">
              <w:rPr>
                <w:rFonts w:ascii="Cambria" w:hAnsi="Cambria"/>
                <w:color w:val="4472C4"/>
                <w:kern w:val="2"/>
                <w:sz w:val="20"/>
              </w:rPr>
              <w:t>(įrašyti terminą</w:t>
            </w:r>
            <w:r w:rsidR="00761236" w:rsidRPr="00F53592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)</w:t>
            </w:r>
            <w:r w:rsidR="00761236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.</w:t>
            </w:r>
          </w:p>
          <w:p w14:paraId="5290D4C5" w14:textId="6A069757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Garantinis terminas, skaičiuojamas nuo Prekių</w:t>
            </w:r>
            <w:r w:rsidR="00324F8A">
              <w:rPr>
                <w:rFonts w:ascii="Cambria" w:hAnsi="Cambria"/>
                <w:kern w:val="2"/>
                <w:sz w:val="20"/>
              </w:rPr>
              <w:t>/Paslaugų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perdavimo–priėmimo akto ar Sąskaitos (kai Prekių</w:t>
            </w:r>
            <w:r w:rsidR="00324F8A">
              <w:rPr>
                <w:rFonts w:ascii="Cambria" w:hAnsi="Cambria"/>
                <w:kern w:val="2"/>
                <w:sz w:val="20"/>
              </w:rPr>
              <w:t>/Paslaugų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perdavimo–priėmimo aktas nėra pasirašomas)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6D6AA917" w:rsidR="008E4772" w:rsidRPr="002E2E64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2E2E64">
              <w:rPr>
                <w:rFonts w:ascii="Cambria" w:hAnsi="Cambria"/>
                <w:sz w:val="20"/>
              </w:rPr>
              <w:t>Garantinio termino laikotarpiu nustačius Prekių</w:t>
            </w:r>
            <w:r w:rsidR="00324F8A">
              <w:rPr>
                <w:rFonts w:ascii="Cambria" w:hAnsi="Cambria"/>
                <w:sz w:val="20"/>
              </w:rPr>
              <w:t>/Paslaugų</w:t>
            </w:r>
            <w:r w:rsidRPr="002E2E64">
              <w:rPr>
                <w:rFonts w:ascii="Cambria" w:hAnsi="Cambria"/>
                <w:sz w:val="20"/>
              </w:rPr>
              <w:t xml:space="preserve"> trūkumų, Tiekėjas turi </w:t>
            </w:r>
            <w:r w:rsidR="00761236" w:rsidRPr="002E2E64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2E2E64">
              <w:rPr>
                <w:rFonts w:ascii="Cambria" w:hAnsi="Cambria"/>
                <w:sz w:val="20"/>
              </w:rPr>
              <w:t xml:space="preserve"> per</w:t>
            </w:r>
            <w:r w:rsidR="00761236" w:rsidRPr="002E2E64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2E2E64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2E2E64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2E2E64">
              <w:rPr>
                <w:rFonts w:ascii="Cambria" w:hAnsi="Cambria"/>
                <w:sz w:val="20"/>
              </w:rPr>
              <w:t xml:space="preserve"> nuo rašytinės pretenzijos gavimo dienos pašalinti Prekių</w:t>
            </w:r>
            <w:r w:rsidR="00324F8A">
              <w:rPr>
                <w:rFonts w:ascii="Cambria" w:hAnsi="Cambria"/>
                <w:sz w:val="20"/>
              </w:rPr>
              <w:t>/Paslaugų</w:t>
            </w:r>
            <w:r w:rsidRPr="002E2E64">
              <w:rPr>
                <w:rFonts w:ascii="Cambria" w:hAnsi="Cambria"/>
                <w:sz w:val="20"/>
              </w:rPr>
              <w:t xml:space="preserve">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60086933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Jei Pirkėjas, gavęs tinkamai pateiktą ir užpildytą Sąskaitą, uždelsia atsiskaityti už tinkamai Tiekėjo perduotas kokybiškas Prekes</w:t>
            </w:r>
            <w:r w:rsidR="008E10DE">
              <w:rPr>
                <w:rFonts w:ascii="Cambria" w:hAnsi="Cambria"/>
                <w:color w:val="000000"/>
                <w:kern w:val="2"/>
                <w:sz w:val="20"/>
              </w:rPr>
              <w:t>/suteiktas Paslaugas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260905E7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</w:t>
            </w:r>
            <w:r w:rsidR="008E10DE">
              <w:rPr>
                <w:rFonts w:ascii="Cambria" w:hAnsi="Cambria"/>
                <w:color w:val="000000"/>
                <w:kern w:val="2"/>
                <w:sz w:val="20"/>
              </w:rPr>
              <w:t>/suteikti Paslaugas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</w:t>
            </w:r>
            <w:r w:rsidR="008E10DE">
              <w:rPr>
                <w:rFonts w:ascii="Cambria" w:hAnsi="Cambria"/>
                <w:kern w:val="2"/>
                <w:sz w:val="20"/>
              </w:rPr>
              <w:t>/nesuteiktų Paslaugų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ar Prekių</w:t>
            </w:r>
            <w:r w:rsidR="008E10DE">
              <w:rPr>
                <w:rFonts w:ascii="Cambria" w:hAnsi="Cambria"/>
                <w:kern w:val="2"/>
                <w:sz w:val="20"/>
              </w:rPr>
              <w:t>/Paslaugų</w:t>
            </w:r>
            <w:bookmarkStart w:id="0" w:name="_GoBack"/>
            <w:bookmarkEnd w:id="0"/>
            <w:r w:rsidRPr="00F81B10">
              <w:rPr>
                <w:rFonts w:ascii="Cambria" w:hAnsi="Cambria"/>
                <w:kern w:val="2"/>
                <w:sz w:val="20"/>
              </w:rPr>
              <w:t>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</w:t>
            </w:r>
            <w:r w:rsidRPr="00F81B10">
              <w:rPr>
                <w:rFonts w:ascii="Cambria" w:hAnsi="Cambria"/>
                <w:sz w:val="20"/>
                <w:lang w:val="lt"/>
              </w:rPr>
              <w:lastRenderedPageBreak/>
              <w:t>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F81B10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F81B10" w:rsidRPr="004D4B7E" w:rsidRDefault="00F81B10" w:rsidP="00F81B1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2EE7D0CF" w:rsidR="00F81B10" w:rsidRPr="004D4B7E" w:rsidRDefault="002E2E64" w:rsidP="00F81B1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F81B10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F81B10" w:rsidRPr="004D4B7E" w:rsidRDefault="00F81B10" w:rsidP="00F81B1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10.2. Dideli arba nuolatiniai esminės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Sutarties sąlygos vykdymo trūkumai</w:t>
            </w:r>
          </w:p>
        </w:tc>
        <w:tc>
          <w:tcPr>
            <w:tcW w:w="6835" w:type="dxa"/>
            <w:gridSpan w:val="3"/>
          </w:tcPr>
          <w:p w14:paraId="27FF7C68" w14:textId="25D2E27F" w:rsidR="00F81B10" w:rsidRPr="004D4B7E" w:rsidRDefault="002E2E64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64417ACA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Aplinkosauginiai kriterijai Prekėms</w:t>
            </w:r>
            <w:r w:rsidR="00324F8A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/Paslaugoms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24BCA975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</w:t>
            </w:r>
            <w:r w:rsidR="00324F8A">
              <w:rPr>
                <w:rFonts w:ascii="Cambria" w:hAnsi="Cambria"/>
                <w:kern w:val="2"/>
                <w:sz w:val="20"/>
                <w:shd w:val="clear" w:color="auto" w:fill="FFFFFF"/>
              </w:rPr>
              <w:t>/atvykti suteikti paslaugas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:00 iki 15:00 val. ir trumpiausiais galimais maršrutais. Už Prekių</w:t>
            </w:r>
            <w:r w:rsidR="00324F8A">
              <w:rPr>
                <w:rFonts w:ascii="Cambria" w:hAnsi="Cambria"/>
                <w:kern w:val="2"/>
                <w:sz w:val="20"/>
                <w:shd w:val="clear" w:color="auto" w:fill="FFFFFF"/>
              </w:rPr>
              <w:t>/Paslaugų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priėmimą atsakingas Pirkėjo atstovas, nurodytas šios Specialiųjų sąlygų 2.1 punkte, priimdamas Prekes</w:t>
            </w:r>
            <w:r w:rsidR="00324F8A">
              <w:rPr>
                <w:rFonts w:ascii="Cambria" w:hAnsi="Cambria"/>
                <w:kern w:val="2"/>
                <w:sz w:val="20"/>
                <w:shd w:val="clear" w:color="auto" w:fill="FFFFFF"/>
              </w:rPr>
              <w:t>/Paslaugas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fiziškai įsitikina, ar Tiekėjas Prekes pristatė</w:t>
            </w:r>
            <w:r w:rsidR="00324F8A">
              <w:rPr>
                <w:rFonts w:ascii="Cambria" w:hAnsi="Cambria"/>
                <w:kern w:val="2"/>
                <w:sz w:val="20"/>
                <w:shd w:val="clear" w:color="auto" w:fill="FFFFFF"/>
              </w:rPr>
              <w:t>/atvyko suteikti Paslaugas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ne kelių eismo piko valandomis. Pirkėjas 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5A9505CE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</w:t>
            </w:r>
            <w:r w:rsidR="002E2E64">
              <w:rPr>
                <w:rFonts w:ascii="Cambria" w:hAnsi="Cambria"/>
                <w:bCs/>
                <w:kern w:val="2"/>
                <w:sz w:val="20"/>
              </w:rPr>
              <w:t>/Paslaugų</w:t>
            </w: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EC2" w14:textId="184E59C3" w:rsidR="001C6D0C" w:rsidRDefault="001C6D0C" w:rsidP="001C6D0C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0DA1EEAF" w:rsidR="003470BD" w:rsidRPr="004D4B7E" w:rsidRDefault="001C6D0C" w:rsidP="001C6D0C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31DEA33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</w:t>
      </w:r>
      <w:r w:rsidR="002E2E64">
        <w:rPr>
          <w:rFonts w:ascii="Cambria" w:hAnsi="Cambria"/>
          <w:sz w:val="20"/>
        </w:rPr>
        <w:t>/PASLAUGŲ</w:t>
      </w:r>
      <w:r w:rsidRPr="00321EFD">
        <w:rPr>
          <w:rFonts w:ascii="Cambria" w:hAnsi="Cambria"/>
          <w:sz w:val="20"/>
        </w:rPr>
        <w:t xml:space="preserve"> ŽINIARAŠTIS</w:t>
      </w:r>
    </w:p>
    <w:p w14:paraId="0DAE8A43" w14:textId="7BFAEDC0" w:rsidR="002E2E64" w:rsidRDefault="002E2E64" w:rsidP="001B1B21">
      <w:pPr>
        <w:jc w:val="center"/>
        <w:rPr>
          <w:rFonts w:ascii="Cambria" w:hAnsi="Cambria"/>
          <w:sz w:val="20"/>
        </w:rPr>
      </w:pPr>
    </w:p>
    <w:tbl>
      <w:tblPr>
        <w:tblW w:w="11009" w:type="dxa"/>
        <w:tblInd w:w="-856" w:type="dxa"/>
        <w:tblLook w:val="04A0" w:firstRow="1" w:lastRow="0" w:firstColumn="1" w:lastColumn="0" w:noHBand="0" w:noVBand="1"/>
      </w:tblPr>
      <w:tblGrid>
        <w:gridCol w:w="503"/>
        <w:gridCol w:w="4479"/>
        <w:gridCol w:w="1841"/>
        <w:gridCol w:w="800"/>
        <w:gridCol w:w="795"/>
        <w:gridCol w:w="926"/>
        <w:gridCol w:w="797"/>
        <w:gridCol w:w="868"/>
      </w:tblGrid>
      <w:tr w:rsidR="002E2E64" w:rsidRPr="002E2E64" w14:paraId="40DF5047" w14:textId="77777777" w:rsidTr="00F611BB">
        <w:trPr>
          <w:trHeight w:val="85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B3CCE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90E2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3D97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9DB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BFAE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 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6662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DDB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380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2E2E6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2E2E64" w:rsidRPr="002E2E64" w14:paraId="392FC300" w14:textId="77777777" w:rsidTr="00F611BB">
        <w:trPr>
          <w:trHeight w:val="40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9845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7F28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Gamintojo „CTX“ vertikalios vonios „</w:t>
            </w:r>
            <w:proofErr w:type="spellStart"/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Guardian</w:t>
            </w:r>
            <w:proofErr w:type="spellEnd"/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Next2“ (</w:t>
            </w:r>
            <w:proofErr w:type="spellStart"/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gamykl</w:t>
            </w:r>
            <w:proofErr w:type="spellEnd"/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. </w:t>
            </w:r>
            <w:proofErr w:type="spellStart"/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nr.</w:t>
            </w:r>
            <w:proofErr w:type="spellEnd"/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E15C00470) remonto paslauga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178B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*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0CA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743A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9297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719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0056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68937C64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B615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0B9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Filtro korpusas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1508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612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2EE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456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841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2806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79CD1355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FF3C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B1E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Specialus dezinfekuojantis filtro užpildas (0,7-2,00 mm)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5D5C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8CDA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kg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FC2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F2EC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F91D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9BE9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433B6516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8DFA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9173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Specialus dezinfekuojantis filtro užpildas (0,4-0,8 mm)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DC9E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6C58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kg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48BA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02D5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512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888D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2ACDC453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CAFE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5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4F7C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Filtravimo siurblys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206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5BA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94B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F8FB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7AA5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CE07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48391AA0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7F91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6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A83A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Automatinė sklendė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AF02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5F9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C78D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71F8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9C6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A33C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3AA8F421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4045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7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03B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Elektrinė sklendė baseino šluotos sistemai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671F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C204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E4F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1C8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81A1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CD8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2904CF9F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7226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8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5AD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Vandens siurblys baseino šluotos sistemai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B104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A0F8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4FB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0076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A04E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0B1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4A0E0FAB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DEE1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9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2898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Instaliacinės medžiagos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144E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9F2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48F1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F8B9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D3BB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96F4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483F68F8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E4DF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10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901" w14:textId="77777777" w:rsidR="002E2E64" w:rsidRPr="002E2E64" w:rsidRDefault="002E2E64" w:rsidP="00F611B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Automatinis pH ir chloro dozatorius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8BD5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3682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E1AE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C2DB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FB96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93E4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E2E64" w:rsidRPr="002E2E64" w14:paraId="05B3AE10" w14:textId="77777777" w:rsidTr="00F611BB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D57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11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7113" w14:textId="77777777" w:rsidR="002E2E64" w:rsidRPr="002E2E64" w:rsidRDefault="002E2E64" w:rsidP="002E2E64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Automatinio šilumokaičio korpusas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A6A5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B906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DAF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7663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7635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7240" w14:textId="77777777" w:rsidR="002E2E64" w:rsidRPr="002E2E64" w:rsidRDefault="002E2E64" w:rsidP="002E2E6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F611BB" w:rsidRPr="002E2E64" w14:paraId="5FA7312F" w14:textId="77777777" w:rsidTr="00F611BB">
        <w:trPr>
          <w:trHeight w:val="229"/>
        </w:trPr>
        <w:tc>
          <w:tcPr>
            <w:tcW w:w="10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40C0" w14:textId="643F16E4" w:rsidR="00F611BB" w:rsidRPr="002E2E64" w:rsidRDefault="00F611BB" w:rsidP="00F611B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F4A5" w14:textId="77777777" w:rsidR="00F611BB" w:rsidRPr="002E2E64" w:rsidRDefault="00F611BB" w:rsidP="00F611B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611BB" w:rsidRPr="002E2E64" w14:paraId="0FA200AB" w14:textId="77777777" w:rsidTr="00F611BB">
        <w:trPr>
          <w:trHeight w:val="208"/>
        </w:trPr>
        <w:tc>
          <w:tcPr>
            <w:tcW w:w="10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D0B6" w14:textId="2DB23115" w:rsidR="00F611BB" w:rsidRPr="002E2E64" w:rsidRDefault="00F611BB" w:rsidP="00F611B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A88" w14:textId="77777777" w:rsidR="00F611BB" w:rsidRPr="002E2E64" w:rsidRDefault="00F611BB" w:rsidP="00F611B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611BB" w:rsidRPr="002E2E64" w14:paraId="6FB2657B" w14:textId="77777777" w:rsidTr="00F611BB">
        <w:trPr>
          <w:trHeight w:val="218"/>
        </w:trPr>
        <w:tc>
          <w:tcPr>
            <w:tcW w:w="10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4882" w14:textId="49601CFF" w:rsidR="00F611BB" w:rsidRPr="002E2E64" w:rsidRDefault="00F611BB" w:rsidP="00F611B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067" w14:textId="77777777" w:rsidR="00F611BB" w:rsidRPr="002E2E64" w:rsidRDefault="00F611BB" w:rsidP="00F611B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E2E6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647FCE8B" w14:textId="77777777" w:rsidR="002E2E64" w:rsidRPr="00321EFD" w:rsidRDefault="002E2E64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2BA40" w14:textId="77777777" w:rsidR="00DC6E51" w:rsidRDefault="00DC6E51">
      <w:r>
        <w:separator/>
      </w:r>
    </w:p>
  </w:endnote>
  <w:endnote w:type="continuationSeparator" w:id="0">
    <w:p w14:paraId="6AA02A49" w14:textId="77777777" w:rsidR="00DC6E51" w:rsidRDefault="00DC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2E2E64" w:rsidRDefault="002E2E64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2E2E64" w:rsidRDefault="002E2E64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2E2E64" w:rsidRDefault="002E2E64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C0730" w14:textId="77777777" w:rsidR="00DC6E51" w:rsidRDefault="00DC6E51">
      <w:r>
        <w:separator/>
      </w:r>
    </w:p>
  </w:footnote>
  <w:footnote w:type="continuationSeparator" w:id="0">
    <w:p w14:paraId="654B6476" w14:textId="77777777" w:rsidR="00DC6E51" w:rsidRDefault="00DC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2E2E64" w:rsidRDefault="002E2E64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2E2E64" w:rsidRDefault="002E2E64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2E2E64" w:rsidRDefault="002E2E64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1C6D0C"/>
    <w:rsid w:val="00201517"/>
    <w:rsid w:val="00202E5E"/>
    <w:rsid w:val="00204AF7"/>
    <w:rsid w:val="002E2E64"/>
    <w:rsid w:val="002F0B5F"/>
    <w:rsid w:val="002F538F"/>
    <w:rsid w:val="00324F8A"/>
    <w:rsid w:val="003470BD"/>
    <w:rsid w:val="003B2818"/>
    <w:rsid w:val="003E5D1D"/>
    <w:rsid w:val="004907C1"/>
    <w:rsid w:val="004D4B7E"/>
    <w:rsid w:val="00541169"/>
    <w:rsid w:val="005828DD"/>
    <w:rsid w:val="00587E3C"/>
    <w:rsid w:val="00617C60"/>
    <w:rsid w:val="006576ED"/>
    <w:rsid w:val="00700659"/>
    <w:rsid w:val="00761236"/>
    <w:rsid w:val="007919E1"/>
    <w:rsid w:val="007E7705"/>
    <w:rsid w:val="007F1803"/>
    <w:rsid w:val="008E10DE"/>
    <w:rsid w:val="008E4772"/>
    <w:rsid w:val="00966341"/>
    <w:rsid w:val="009A0319"/>
    <w:rsid w:val="00B1016E"/>
    <w:rsid w:val="00B20913"/>
    <w:rsid w:val="00B767F3"/>
    <w:rsid w:val="00DA703E"/>
    <w:rsid w:val="00DC6E51"/>
    <w:rsid w:val="00DD7479"/>
    <w:rsid w:val="00EF3B62"/>
    <w:rsid w:val="00F02B08"/>
    <w:rsid w:val="00F611BB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9603</Words>
  <Characters>5474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2025-09-03T18:04:00Z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