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362EBD" w:rsidRDefault="00D94423" w:rsidP="00D94423">
      <w:pPr>
        <w:spacing w:after="0" w:line="240" w:lineRule="auto"/>
        <w:ind w:right="-1"/>
        <w:jc w:val="center"/>
        <w:rPr>
          <w:rFonts w:ascii="Times New Roman" w:eastAsia="Times New Roman" w:hAnsi="Times New Roman" w:cs="Times New Roman"/>
          <w:b/>
          <w:bCs/>
          <w:sz w:val="24"/>
          <w:szCs w:val="24"/>
        </w:rPr>
      </w:pPr>
      <w:r w:rsidRPr="00362EBD">
        <w:rPr>
          <w:rFonts w:ascii="Times New Roman" w:eastAsia="Times New Roman" w:hAnsi="Times New Roman" w:cs="Times New Roman"/>
          <w:b/>
          <w:bCs/>
          <w:sz w:val="24"/>
          <w:szCs w:val="24"/>
        </w:rPr>
        <w:t xml:space="preserve">KVIETIMAS Į IŠANKSTINĘ (RINKOS) KONSULTACIJĄ </w:t>
      </w:r>
    </w:p>
    <w:p w14:paraId="4B110BB8" w14:textId="10992BB7" w:rsidR="00BC4BA3" w:rsidRPr="00362EBD" w:rsidRDefault="00BC4BA3"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362EBD">
        <w:rPr>
          <w:rFonts w:ascii="Times New Roman" w:eastAsiaTheme="minorEastAsia" w:hAnsi="Times New Roman" w:cs="Times New Roman"/>
          <w:b/>
          <w:bCs/>
          <w:noProof/>
          <w:sz w:val="24"/>
          <w:szCs w:val="24"/>
          <w:lang w:eastAsia="lt-LT"/>
        </w:rPr>
        <w:t xml:space="preserve">DALYKO UŽDUOČIŲ MODULIŲ (DIDELĮ MOKYMOSI POTENCIALĄ TURINTIEMS MOKINIAMS) SUKŪRIMO 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3C1B5BD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„Galimybių mokykla“</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338EE158"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pasirengimas </w:t>
      </w:r>
      <w:r w:rsidR="00BC4BA3" w:rsidRPr="00362EBD">
        <w:rPr>
          <w:rFonts w:ascii="Times New Roman" w:eastAsia="Times New Roman" w:hAnsi="Times New Roman" w:cs="Times New Roman"/>
          <w:bCs/>
          <w:sz w:val="24"/>
          <w:szCs w:val="24"/>
        </w:rPr>
        <w:t>dalyko užduočių modulių sukūrimo paslaugų</w:t>
      </w:r>
      <w:r w:rsidR="00BC4BA3" w:rsidRPr="00362EBD">
        <w:rPr>
          <w:rFonts w:ascii="Times New Roman" w:hAnsi="Times New Roman" w:cs="Times New Roman"/>
          <w:sz w:val="24"/>
          <w:szCs w:val="24"/>
        </w:rPr>
        <w:t xml:space="preserve"> pirkimui</w:t>
      </w:r>
      <w:r w:rsidR="00BC4BA3" w:rsidRPr="00362EBD">
        <w:rPr>
          <w:rFonts w:ascii="Times New Roman" w:hAnsi="Times New Roman" w:cs="Times New Roman"/>
          <w:color w:val="000000"/>
          <w:sz w:val="24"/>
          <w:szCs w:val="24"/>
        </w:rPr>
        <w:t xml:space="preserve"> </w:t>
      </w:r>
      <w:r w:rsidRPr="00362EBD">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47A91CB9" w:rsidR="00EE5273" w:rsidRPr="00362EBD" w:rsidRDefault="004D25CA" w:rsidP="00114F69">
      <w:pPr>
        <w:tabs>
          <w:tab w:val="left" w:pos="0"/>
          <w:tab w:val="left" w:pos="142"/>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BB3B31">
        <w:rPr>
          <w:rFonts w:ascii="Times New Roman" w:eastAsia="Calibri" w:hAnsi="Times New Roman" w:cs="Times New Roman"/>
          <w:b/>
          <w:sz w:val="24"/>
          <w:szCs w:val="24"/>
        </w:rPr>
        <w:t>202</w:t>
      </w:r>
      <w:r w:rsidR="00BC4BA3" w:rsidRPr="00BB3B31">
        <w:rPr>
          <w:rFonts w:ascii="Times New Roman" w:eastAsia="Calibri" w:hAnsi="Times New Roman" w:cs="Times New Roman"/>
          <w:b/>
          <w:sz w:val="24"/>
          <w:szCs w:val="24"/>
        </w:rPr>
        <w:t xml:space="preserve">4 </w:t>
      </w:r>
      <w:r w:rsidRPr="00BB3B31">
        <w:rPr>
          <w:rFonts w:ascii="Times New Roman" w:eastAsia="Calibri" w:hAnsi="Times New Roman" w:cs="Times New Roman"/>
          <w:b/>
          <w:sz w:val="24"/>
          <w:szCs w:val="24"/>
        </w:rPr>
        <w:t xml:space="preserve">m. </w:t>
      </w:r>
      <w:r w:rsidR="00BC4BA3" w:rsidRPr="00BB3B31">
        <w:rPr>
          <w:rFonts w:ascii="Times New Roman" w:eastAsia="Calibri" w:hAnsi="Times New Roman" w:cs="Times New Roman"/>
          <w:b/>
          <w:sz w:val="24"/>
          <w:szCs w:val="24"/>
        </w:rPr>
        <w:t>gruodžio</w:t>
      </w:r>
      <w:r w:rsidR="00C479F1" w:rsidRPr="00BB3B31">
        <w:rPr>
          <w:rFonts w:ascii="Times New Roman" w:eastAsia="Calibri" w:hAnsi="Times New Roman" w:cs="Times New Roman"/>
          <w:b/>
          <w:sz w:val="24"/>
          <w:szCs w:val="24"/>
        </w:rPr>
        <w:t xml:space="preserve"> </w:t>
      </w:r>
      <w:r w:rsidR="00BB3B31" w:rsidRPr="00BB3B31">
        <w:rPr>
          <w:rFonts w:ascii="Times New Roman" w:eastAsia="Calibri" w:hAnsi="Times New Roman" w:cs="Times New Roman"/>
          <w:b/>
          <w:sz w:val="24"/>
          <w:szCs w:val="24"/>
        </w:rPr>
        <w:t>20</w:t>
      </w:r>
      <w:r w:rsidR="00C479F1" w:rsidRPr="00BB3B31">
        <w:rPr>
          <w:rFonts w:ascii="Times New Roman" w:eastAsia="Calibri" w:hAnsi="Times New Roman" w:cs="Times New Roman"/>
          <w:b/>
          <w:sz w:val="24"/>
          <w:szCs w:val="24"/>
        </w:rPr>
        <w:t xml:space="preserve"> d. </w:t>
      </w:r>
      <w:r w:rsidRPr="00BB3B31">
        <w:rPr>
          <w:rFonts w:ascii="Times New Roman" w:eastAsia="Calibri" w:hAnsi="Times New Roman" w:cs="Times New Roman"/>
          <w:b/>
          <w:sz w:val="24"/>
          <w:szCs w:val="24"/>
        </w:rPr>
        <w:t xml:space="preserve"> 1</w:t>
      </w:r>
      <w:r w:rsidR="005B1D08" w:rsidRPr="00BB3B31">
        <w:rPr>
          <w:rFonts w:ascii="Times New Roman" w:eastAsia="Calibri" w:hAnsi="Times New Roman" w:cs="Times New Roman"/>
          <w:b/>
          <w:sz w:val="24"/>
          <w:szCs w:val="24"/>
        </w:rPr>
        <w:t>0</w:t>
      </w:r>
      <w:r w:rsidRPr="00BB3B31">
        <w:rPr>
          <w:rFonts w:ascii="Times New Roman" w:eastAsia="Calibri" w:hAnsi="Times New Roman" w:cs="Times New Roman"/>
          <w:b/>
          <w:sz w:val="24"/>
          <w:szCs w:val="24"/>
        </w:rPr>
        <w:t xml:space="preserve"> val. 00 min</w:t>
      </w:r>
      <w:r w:rsidRPr="00362EBD">
        <w:rPr>
          <w:rFonts w:ascii="Times New Roman" w:eastAsia="Calibri" w:hAnsi="Times New Roman" w:cs="Times New Roman"/>
          <w:b/>
          <w:sz w:val="24"/>
          <w:szCs w:val="24"/>
          <w:highlight w:val="yellow"/>
        </w:rPr>
        <w:t>.</w:t>
      </w:r>
      <w:r w:rsidRPr="00362EBD">
        <w:rPr>
          <w:rFonts w:ascii="Times New Roman" w:eastAsia="Calibri" w:hAnsi="Times New Roman" w:cs="Times New Roman"/>
          <w:sz w:val="24"/>
          <w:szCs w:val="24"/>
        </w:rPr>
        <w:t xml:space="preserve"> teikti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r w:rsidR="0027233D" w:rsidRPr="00362EBD">
        <w:rPr>
          <w:rFonts w:ascii="Times New Roman" w:hAnsi="Times New Roman" w:cs="Times New Roman"/>
          <w:sz w:val="24"/>
          <w:szCs w:val="24"/>
        </w:rPr>
        <w:t>daiva.asad@nsa.smm.lt</w:t>
      </w:r>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378F4F60" w14:textId="1C7FDB32" w:rsidTr="7265FEB3">
        <w:tc>
          <w:tcPr>
            <w:tcW w:w="4414" w:type="dxa"/>
            <w:gridSpan w:val="2"/>
            <w:vAlign w:val="center"/>
          </w:tcPr>
          <w:p w14:paraId="234CF5CB" w14:textId="107AE16B" w:rsidR="00E37400" w:rsidRPr="00362EBD" w:rsidRDefault="00E37400" w:rsidP="00BF3E0C">
            <w:pPr>
              <w:spacing w:line="276" w:lineRule="auto"/>
              <w:rPr>
                <w:rFonts w:ascii="Times New Roman" w:eastAsia="Calibri" w:hAnsi="Times New Roman" w:cs="Times New Roman"/>
                <w:bCs/>
                <w:i/>
                <w:iCs/>
                <w:sz w:val="24"/>
                <w:szCs w:val="24"/>
              </w:rPr>
            </w:pPr>
            <w:r w:rsidRPr="00362EBD">
              <w:rPr>
                <w:rFonts w:ascii="Times New Roman" w:eastAsia="Calibri" w:hAnsi="Times New Roman" w:cs="Times New Roman"/>
                <w:bCs/>
                <w:i/>
                <w:iCs/>
                <w:sz w:val="24"/>
                <w:szCs w:val="24"/>
              </w:rPr>
              <w:t xml:space="preserve">Ar pageidautumėte dalyvauti susitikime, naudojant </w:t>
            </w:r>
            <w:r w:rsidRPr="00362EBD">
              <w:rPr>
                <w:rFonts w:ascii="Times New Roman" w:hAnsi="Times New Roman" w:cs="Times New Roman"/>
                <w:bCs/>
                <w:i/>
                <w:iCs/>
                <w:sz w:val="24"/>
                <w:szCs w:val="24"/>
              </w:rPr>
              <w:t>„Microsoft Teams“ įrankį.</w:t>
            </w:r>
          </w:p>
        </w:tc>
        <w:tc>
          <w:tcPr>
            <w:tcW w:w="2669" w:type="dxa"/>
            <w:vAlign w:val="center"/>
          </w:tcPr>
          <w:p w14:paraId="5A7E3A4C" w14:textId="1F65525A" w:rsidR="00E37400" w:rsidRPr="00362EBD" w:rsidRDefault="00E37400" w:rsidP="00243FD8">
            <w:pPr>
              <w:spacing w:line="276" w:lineRule="auto"/>
              <w:jc w:val="both"/>
              <w:rPr>
                <w:rFonts w:ascii="Times New Roman" w:eastAsia="Calibri" w:hAnsi="Times New Roman" w:cs="Times New Roman"/>
                <w:b/>
                <w:sz w:val="24"/>
                <w:szCs w:val="24"/>
              </w:rPr>
            </w:pPr>
          </w:p>
        </w:tc>
        <w:tc>
          <w:tcPr>
            <w:tcW w:w="2263" w:type="dxa"/>
          </w:tcPr>
          <w:p w14:paraId="7008C6B5" w14:textId="77777777" w:rsidR="00E37400" w:rsidRPr="00362EBD" w:rsidRDefault="00E37400" w:rsidP="00243FD8">
            <w:pPr>
              <w:spacing w:line="276" w:lineRule="auto"/>
              <w:jc w:val="both"/>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1F13687F"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136EBB0E"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 atskiroms pirkimo dalims?</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5B593151"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išbrangina </w:t>
            </w:r>
            <w:r w:rsidR="00112F11" w:rsidRPr="00362EBD">
              <w:rPr>
                <w:rFonts w:ascii="Times New Roman" w:eastAsia="Calibri" w:hAnsi="Times New Roman" w:cs="Times New Roman"/>
                <w:bCs/>
                <w:sz w:val="24"/>
                <w:szCs w:val="24"/>
              </w:rPr>
              <w:t xml:space="preserve">paslaugų </w:t>
            </w:r>
            <w:r w:rsidRPr="00362EBD">
              <w:rPr>
                <w:rFonts w:ascii="Times New Roman" w:eastAsia="Calibri" w:hAnsi="Times New Roman" w:cs="Times New Roman"/>
                <w:bCs/>
                <w:sz w:val="24"/>
                <w:szCs w:val="24"/>
              </w:rPr>
              <w:t>kaštus?</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BC4BA3" w:rsidRPr="00362EBD" w14:paraId="44B5D10B" w14:textId="77777777" w:rsidTr="7265FEB3">
        <w:tc>
          <w:tcPr>
            <w:tcW w:w="570" w:type="dxa"/>
          </w:tcPr>
          <w:p w14:paraId="0FCF60B3"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21BD598B" w14:textId="7F87F57A"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Kokia jūsų nuomonė apie technologinius parametrus (žr. III skyrius techninės specifikacijos)? Gal kažkurį specifikacijos punktą reikėtų tikslint, keisti, pridėti (naikinti)?</w:t>
            </w:r>
          </w:p>
        </w:tc>
        <w:tc>
          <w:tcPr>
            <w:tcW w:w="2669" w:type="dxa"/>
          </w:tcPr>
          <w:p w14:paraId="7820EAE8" w14:textId="77777777" w:rsidR="00BC4BA3" w:rsidRPr="00362EBD" w:rsidRDefault="00BC4BA3" w:rsidP="00ED0B8E">
            <w:pPr>
              <w:rPr>
                <w:rFonts w:ascii="Times New Roman" w:eastAsia="Calibri" w:hAnsi="Times New Roman" w:cs="Times New Roman"/>
                <w:b/>
                <w:sz w:val="24"/>
                <w:szCs w:val="24"/>
              </w:rPr>
            </w:pPr>
          </w:p>
        </w:tc>
        <w:tc>
          <w:tcPr>
            <w:tcW w:w="2263" w:type="dxa"/>
          </w:tcPr>
          <w:p w14:paraId="21E0B614" w14:textId="77777777" w:rsidR="00BC4BA3" w:rsidRPr="00362EBD" w:rsidRDefault="00BC4BA3" w:rsidP="00ED0B8E">
            <w:pPr>
              <w:rPr>
                <w:rFonts w:ascii="Times New Roman" w:eastAsia="Calibri" w:hAnsi="Times New Roman" w:cs="Times New Roman"/>
                <w:sz w:val="24"/>
                <w:szCs w:val="24"/>
              </w:rPr>
            </w:pPr>
          </w:p>
        </w:tc>
      </w:tr>
      <w:tr w:rsidR="00E37400" w:rsidRPr="00362EBD" w14:paraId="13453841" w14:textId="020E3876" w:rsidTr="7265FEB3">
        <w:tc>
          <w:tcPr>
            <w:tcW w:w="570" w:type="dxa"/>
          </w:tcPr>
          <w:p w14:paraId="0D660986" w14:textId="4BC7A74A"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157D276A" w14:textId="35BB3B7F" w:rsidR="00E37400" w:rsidRPr="00362EBD" w:rsidRDefault="001B554E" w:rsidP="00114F69">
            <w:pPr>
              <w:jc w:val="both"/>
              <w:rPr>
                <w:rFonts w:ascii="Times New Roman" w:eastAsia="Calibri" w:hAnsi="Times New Roman" w:cs="Times New Roman"/>
                <w:iCs/>
                <w:sz w:val="24"/>
                <w:szCs w:val="24"/>
              </w:rPr>
            </w:pPr>
            <w:r w:rsidRPr="00362EBD">
              <w:rPr>
                <w:rFonts w:ascii="Times New Roman" w:eastAsia="Calibri" w:hAnsi="Times New Roman" w:cs="Times New Roman"/>
                <w:iCs/>
                <w:sz w:val="24"/>
                <w:szCs w:val="24"/>
              </w:rPr>
              <w:t xml:space="preserve">1-as skaitmeninis modulis (H5P formatas) šiek tiek skirsis tiek mokiniui tiek mokytojui </w:t>
            </w:r>
            <w:r w:rsidR="00BC4BA3" w:rsidRPr="00362EBD">
              <w:rPr>
                <w:rFonts w:ascii="Times New Roman" w:eastAsia="Calibri" w:hAnsi="Times New Roman" w:cs="Times New Roman"/>
                <w:iCs/>
                <w:sz w:val="24"/>
                <w:szCs w:val="24"/>
              </w:rPr>
              <w:t xml:space="preserve">(žr. </w:t>
            </w:r>
            <w:r w:rsidR="00C639DF" w:rsidRPr="00362EBD">
              <w:rPr>
                <w:rFonts w:ascii="Times New Roman" w:eastAsia="Calibri" w:hAnsi="Times New Roman" w:cs="Times New Roman"/>
                <w:iCs/>
                <w:sz w:val="24"/>
                <w:szCs w:val="24"/>
              </w:rPr>
              <w:t>36 specifikacijos punktas), kokį racionaliausią sprendimą siūlytumėte įgyvendinimui.</w:t>
            </w:r>
          </w:p>
        </w:tc>
        <w:tc>
          <w:tcPr>
            <w:tcW w:w="2669" w:type="dxa"/>
          </w:tcPr>
          <w:p w14:paraId="7D5DD1C4" w14:textId="6D726D41" w:rsidR="00E37400" w:rsidRPr="00362EBD" w:rsidRDefault="00E37400" w:rsidP="00DB6D58">
            <w:pPr>
              <w:pStyle w:val="Sraopastraipa"/>
              <w:spacing w:after="0"/>
              <w:rPr>
                <w:rFonts w:eastAsia="Calibri"/>
                <w:szCs w:val="24"/>
              </w:rPr>
            </w:pPr>
          </w:p>
        </w:tc>
        <w:tc>
          <w:tcPr>
            <w:tcW w:w="2263" w:type="dxa"/>
          </w:tcPr>
          <w:p w14:paraId="7698BC23" w14:textId="7674B239"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A666781"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68D1A54" w14:textId="6D62AC1C" w:rsidR="00E37400" w:rsidRPr="00362EBD" w:rsidRDefault="28B1250E" w:rsidP="7265FEB3">
            <w:pPr>
              <w:jc w:val="both"/>
              <w:rPr>
                <w:rFonts w:ascii="Times New Roman" w:eastAsia="Times New Roman" w:hAnsi="Times New Roman" w:cs="Times New Roman"/>
                <w:color w:val="000000" w:themeColor="text1"/>
                <w:sz w:val="24"/>
                <w:szCs w:val="24"/>
              </w:rPr>
            </w:pPr>
            <w:r w:rsidRPr="7265FEB3">
              <w:rPr>
                <w:rFonts w:ascii="Times New Roman" w:eastAsia="Times New Roman" w:hAnsi="Times New Roman" w:cs="Times New Roman"/>
                <w:color w:val="000000" w:themeColor="text1"/>
                <w:sz w:val="24"/>
                <w:szCs w:val="24"/>
              </w:rPr>
              <w:t>Kokie būtų Jūsų klausimai dėl šio pirkimo?</w:t>
            </w:r>
          </w:p>
          <w:p w14:paraId="4A46CDAF" w14:textId="58716EE2" w:rsidR="00E37400" w:rsidRPr="00362EBD" w:rsidRDefault="00E37400" w:rsidP="00D73161">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6732EF20" w14:textId="12CFDCAF" w:rsidTr="7265FEB3">
        <w:tc>
          <w:tcPr>
            <w:tcW w:w="570" w:type="dxa"/>
          </w:tcPr>
          <w:p w14:paraId="7B08A261" w14:textId="7DECCC5E" w:rsidR="00E37400" w:rsidRPr="00362EBD"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154A55E2" w14:textId="798C1A2A" w:rsidR="00E37400" w:rsidRPr="00362EBD" w:rsidRDefault="00E37400" w:rsidP="00114F69">
            <w:pPr>
              <w:jc w:val="both"/>
              <w:rPr>
                <w:rFonts w:ascii="Times New Roman" w:eastAsia="Times New Roman" w:hAnsi="Times New Roman" w:cs="Times New Roman"/>
                <w:color w:val="000000"/>
                <w:sz w:val="24"/>
                <w:szCs w:val="24"/>
              </w:rPr>
            </w:pPr>
          </w:p>
        </w:tc>
        <w:tc>
          <w:tcPr>
            <w:tcW w:w="2669" w:type="dxa"/>
          </w:tcPr>
          <w:p w14:paraId="5FCD6F47" w14:textId="1FA3AD3D"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51F333" w14:textId="7D757F5A"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241A42EA" w14:textId="21EBCC43" w:rsidTr="7265FEB3">
        <w:tc>
          <w:tcPr>
            <w:tcW w:w="570" w:type="dxa"/>
          </w:tcPr>
          <w:p w14:paraId="4156028D" w14:textId="410151B6" w:rsidR="00E37400" w:rsidRPr="00362EBD"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1BACBFB4" w14:textId="6921736E" w:rsidR="00E37400" w:rsidRPr="00362EBD" w:rsidRDefault="00E37400" w:rsidP="00114F69">
            <w:pPr>
              <w:jc w:val="both"/>
              <w:rPr>
                <w:rFonts w:ascii="Times New Roman" w:eastAsia="Calibri" w:hAnsi="Times New Roman" w:cs="Times New Roman"/>
                <w:sz w:val="24"/>
                <w:szCs w:val="24"/>
              </w:rPr>
            </w:pPr>
          </w:p>
        </w:tc>
        <w:tc>
          <w:tcPr>
            <w:tcW w:w="2669" w:type="dxa"/>
          </w:tcPr>
          <w:p w14:paraId="4D43261F" w14:textId="15333914"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E07ECEB" w14:textId="71EC66DE"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1F531E44" w14:textId="4118F79F" w:rsidTr="7265FEB3">
        <w:trPr>
          <w:trHeight w:val="950"/>
        </w:trPr>
        <w:tc>
          <w:tcPr>
            <w:tcW w:w="570" w:type="dxa"/>
          </w:tcPr>
          <w:p w14:paraId="1162FD95" w14:textId="6AA87DD2" w:rsidR="00E37400" w:rsidRPr="00362EBD"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1DA6E6A5" w14:textId="161AB062" w:rsidR="00E37400" w:rsidRPr="00362EBD" w:rsidRDefault="00E37400" w:rsidP="00114F69">
            <w:pPr>
              <w:jc w:val="both"/>
              <w:rPr>
                <w:rFonts w:ascii="Times New Roman" w:eastAsia="Calibri" w:hAnsi="Times New Roman" w:cs="Times New Roman"/>
                <w:sz w:val="24"/>
                <w:szCs w:val="24"/>
              </w:rPr>
            </w:pPr>
          </w:p>
        </w:tc>
        <w:tc>
          <w:tcPr>
            <w:tcW w:w="2669" w:type="dxa"/>
          </w:tcPr>
          <w:p w14:paraId="26EAF8AF" w14:textId="3568B667"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75E0592A" w14:textId="43562185" w:rsidR="00E37400" w:rsidRPr="00362EBD" w:rsidRDefault="00E37400" w:rsidP="005F54E8">
            <w:pPr>
              <w:spacing w:line="276" w:lineRule="auto"/>
              <w:rPr>
                <w:rFonts w:ascii="Times New Roman" w:eastAsia="Calibri" w:hAnsi="Times New Roman" w:cs="Times New Roman"/>
                <w:sz w:val="24"/>
                <w:szCs w:val="24"/>
              </w:rPr>
            </w:pPr>
          </w:p>
        </w:tc>
      </w:tr>
      <w:tr w:rsidR="00E37400" w:rsidRPr="00362EBD" w14:paraId="60FF4D23" w14:textId="3AC98842" w:rsidTr="7265FEB3">
        <w:tc>
          <w:tcPr>
            <w:tcW w:w="570" w:type="dxa"/>
          </w:tcPr>
          <w:p w14:paraId="40D1617A" w14:textId="45C55476"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B955DE3" w14:textId="02A6994F" w:rsidR="00E37400" w:rsidRPr="00362EBD" w:rsidRDefault="00E37400" w:rsidP="00114F69">
            <w:pPr>
              <w:jc w:val="both"/>
              <w:rPr>
                <w:rFonts w:ascii="Times New Roman" w:eastAsia="Calibri" w:hAnsi="Times New Roman" w:cs="Times New Roman"/>
                <w:sz w:val="24"/>
                <w:szCs w:val="24"/>
              </w:rPr>
            </w:pPr>
          </w:p>
        </w:tc>
        <w:tc>
          <w:tcPr>
            <w:tcW w:w="2669" w:type="dxa"/>
          </w:tcPr>
          <w:p w14:paraId="6C3FA73A" w14:textId="7EEA6EB9" w:rsidR="00E37400" w:rsidRPr="00362EBD" w:rsidRDefault="00E37400" w:rsidP="00DB6D58">
            <w:pPr>
              <w:rPr>
                <w:rFonts w:ascii="Times New Roman" w:eastAsia="Calibri" w:hAnsi="Times New Roman" w:cs="Times New Roman"/>
                <w:sz w:val="24"/>
                <w:szCs w:val="24"/>
              </w:rPr>
            </w:pPr>
          </w:p>
        </w:tc>
        <w:tc>
          <w:tcPr>
            <w:tcW w:w="2263" w:type="dxa"/>
          </w:tcPr>
          <w:p w14:paraId="607D2A4F" w14:textId="533EB1FF" w:rsidR="00E37400" w:rsidRPr="00362EBD" w:rsidRDefault="00E37400" w:rsidP="00873E4B">
            <w:pPr>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5BB57052"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Kvalifikaciniai reikalavimai</w:t>
      </w:r>
      <w:r w:rsidR="00452CD2" w:rsidRPr="00362EBD">
        <w:rPr>
          <w:szCs w:val="24"/>
        </w:rPr>
        <w:t>.</w:t>
      </w: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1"/>
      <w:footerReference w:type="default" r:id="rId12"/>
      <w:footerReference w:type="first" r:id="rId13"/>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6A43" w14:textId="77777777" w:rsidR="00A94B17" w:rsidRDefault="00A94B17" w:rsidP="007A2D50">
      <w:pPr>
        <w:spacing w:after="0" w:line="240" w:lineRule="auto"/>
      </w:pPr>
      <w:r>
        <w:separator/>
      </w:r>
    </w:p>
  </w:endnote>
  <w:endnote w:type="continuationSeparator" w:id="0">
    <w:p w14:paraId="10831B76" w14:textId="77777777" w:rsidR="00A94B17" w:rsidRDefault="00A94B17" w:rsidP="007A2D50">
      <w:pPr>
        <w:spacing w:after="0" w:line="240" w:lineRule="auto"/>
      </w:pPr>
      <w:r>
        <w:continuationSeparator/>
      </w:r>
    </w:p>
  </w:endnote>
  <w:endnote w:type="continuationNotice" w:id="1">
    <w:p w14:paraId="61DEC87D" w14:textId="77777777" w:rsidR="00A94B17" w:rsidRDefault="00A94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60F6" w14:textId="77777777" w:rsidR="00A94B17" w:rsidRDefault="00A94B17" w:rsidP="007A2D50">
      <w:pPr>
        <w:spacing w:after="0" w:line="240" w:lineRule="auto"/>
      </w:pPr>
      <w:r>
        <w:separator/>
      </w:r>
    </w:p>
  </w:footnote>
  <w:footnote w:type="continuationSeparator" w:id="0">
    <w:p w14:paraId="1A7D7BD8" w14:textId="77777777" w:rsidR="00A94B17" w:rsidRDefault="00A94B17" w:rsidP="007A2D50">
      <w:pPr>
        <w:spacing w:after="0" w:line="240" w:lineRule="auto"/>
      </w:pPr>
      <w:r>
        <w:continuationSeparator/>
      </w:r>
    </w:p>
  </w:footnote>
  <w:footnote w:type="continuationNotice" w:id="1">
    <w:p w14:paraId="60F7AF3F" w14:textId="77777777" w:rsidR="00A94B17" w:rsidRDefault="00A94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8167291">
    <w:abstractNumId w:val="16"/>
  </w:num>
  <w:num w:numId="2" w16cid:durableId="894318121">
    <w:abstractNumId w:val="19"/>
  </w:num>
  <w:num w:numId="3" w16cid:durableId="1296326820">
    <w:abstractNumId w:val="10"/>
  </w:num>
  <w:num w:numId="4" w16cid:durableId="664020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03433">
    <w:abstractNumId w:val="25"/>
  </w:num>
  <w:num w:numId="6" w16cid:durableId="1572229655">
    <w:abstractNumId w:val="11"/>
  </w:num>
  <w:num w:numId="7" w16cid:durableId="2030914004">
    <w:abstractNumId w:val="22"/>
  </w:num>
  <w:num w:numId="8" w16cid:durableId="1752897023">
    <w:abstractNumId w:val="14"/>
  </w:num>
  <w:num w:numId="9" w16cid:durableId="57439249">
    <w:abstractNumId w:val="21"/>
  </w:num>
  <w:num w:numId="10" w16cid:durableId="1350253661">
    <w:abstractNumId w:val="4"/>
  </w:num>
  <w:num w:numId="11" w16cid:durableId="1609774444">
    <w:abstractNumId w:val="9"/>
  </w:num>
  <w:num w:numId="12" w16cid:durableId="1595818716">
    <w:abstractNumId w:val="20"/>
  </w:num>
  <w:num w:numId="13" w16cid:durableId="614362473">
    <w:abstractNumId w:val="24"/>
  </w:num>
  <w:num w:numId="14" w16cid:durableId="1221090920">
    <w:abstractNumId w:val="0"/>
  </w:num>
  <w:num w:numId="15" w16cid:durableId="934096367">
    <w:abstractNumId w:val="6"/>
  </w:num>
  <w:num w:numId="16" w16cid:durableId="1139572261">
    <w:abstractNumId w:val="12"/>
  </w:num>
  <w:num w:numId="17" w16cid:durableId="419716000">
    <w:abstractNumId w:val="17"/>
  </w:num>
  <w:num w:numId="18" w16cid:durableId="634987489">
    <w:abstractNumId w:val="8"/>
  </w:num>
  <w:num w:numId="19" w16cid:durableId="1007294458">
    <w:abstractNumId w:val="23"/>
  </w:num>
  <w:num w:numId="20" w16cid:durableId="790325412">
    <w:abstractNumId w:val="5"/>
  </w:num>
  <w:num w:numId="21" w16cid:durableId="1252665984">
    <w:abstractNumId w:val="3"/>
  </w:num>
  <w:num w:numId="22" w16cid:durableId="919370109">
    <w:abstractNumId w:val="1"/>
  </w:num>
  <w:num w:numId="23" w16cid:durableId="1628198231">
    <w:abstractNumId w:val="15"/>
  </w:num>
  <w:num w:numId="24" w16cid:durableId="192504731">
    <w:abstractNumId w:val="18"/>
  </w:num>
  <w:num w:numId="25" w16cid:durableId="817723154">
    <w:abstractNumId w:val="2"/>
  </w:num>
  <w:num w:numId="26" w16cid:durableId="1810127188">
    <w:abstractNumId w:val="7"/>
  </w:num>
  <w:num w:numId="27" w16cid:durableId="418908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6EA8"/>
    <w:rsid w:val="00067DB0"/>
    <w:rsid w:val="00070B5E"/>
    <w:rsid w:val="00072F33"/>
    <w:rsid w:val="00073CEF"/>
    <w:rsid w:val="000803FA"/>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3874"/>
    <w:rsid w:val="00362EBD"/>
    <w:rsid w:val="003A0033"/>
    <w:rsid w:val="003E18F6"/>
    <w:rsid w:val="003E3286"/>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421C"/>
    <w:rsid w:val="005F54E8"/>
    <w:rsid w:val="0060015D"/>
    <w:rsid w:val="00602AA2"/>
    <w:rsid w:val="00605980"/>
    <w:rsid w:val="00622D1C"/>
    <w:rsid w:val="0063277F"/>
    <w:rsid w:val="00645B05"/>
    <w:rsid w:val="006928EE"/>
    <w:rsid w:val="006A3215"/>
    <w:rsid w:val="006C3C32"/>
    <w:rsid w:val="006C7B34"/>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4FFA"/>
    <w:rsid w:val="007D36C1"/>
    <w:rsid w:val="007D5115"/>
    <w:rsid w:val="007E0035"/>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4108D"/>
    <w:rsid w:val="00973EE7"/>
    <w:rsid w:val="0097463E"/>
    <w:rsid w:val="009B7837"/>
    <w:rsid w:val="009E2BEE"/>
    <w:rsid w:val="009E4F92"/>
    <w:rsid w:val="00A04407"/>
    <w:rsid w:val="00A05A41"/>
    <w:rsid w:val="00A215BF"/>
    <w:rsid w:val="00A70981"/>
    <w:rsid w:val="00A94B17"/>
    <w:rsid w:val="00AA201E"/>
    <w:rsid w:val="00AC0200"/>
    <w:rsid w:val="00AC3B39"/>
    <w:rsid w:val="00AF2C6F"/>
    <w:rsid w:val="00B10E95"/>
    <w:rsid w:val="00B16308"/>
    <w:rsid w:val="00B72701"/>
    <w:rsid w:val="00B920B3"/>
    <w:rsid w:val="00B92C21"/>
    <w:rsid w:val="00B97484"/>
    <w:rsid w:val="00BB3B31"/>
    <w:rsid w:val="00BC4BA3"/>
    <w:rsid w:val="00BE2062"/>
    <w:rsid w:val="00BE60C4"/>
    <w:rsid w:val="00BF3E0C"/>
    <w:rsid w:val="00C029F7"/>
    <w:rsid w:val="00C160E5"/>
    <w:rsid w:val="00C31640"/>
    <w:rsid w:val="00C33570"/>
    <w:rsid w:val="00C42C3C"/>
    <w:rsid w:val="00C45626"/>
    <w:rsid w:val="00C479F1"/>
    <w:rsid w:val="00C51061"/>
    <w:rsid w:val="00C539B5"/>
    <w:rsid w:val="00C639DF"/>
    <w:rsid w:val="00C713BC"/>
    <w:rsid w:val="00C868D2"/>
    <w:rsid w:val="00C90717"/>
    <w:rsid w:val="00C97A4E"/>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635AD"/>
    <w:rsid w:val="00E65D19"/>
    <w:rsid w:val="00E67E08"/>
    <w:rsid w:val="00E71A15"/>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46A1"/>
    <w:rsid w:val="00FA0013"/>
    <w:rsid w:val="00FA5CBC"/>
    <w:rsid w:val="00FC534D"/>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2ED97-C819-4DE3-85C0-4AF60E38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3.xml><?xml version="1.0" encoding="utf-8"?>
<ds:datastoreItem xmlns:ds="http://schemas.openxmlformats.org/officeDocument/2006/customXml" ds:itemID="{3203D99F-FBC5-409E-8FB0-3BC309FB7A47}">
  <ds:schemaRefs>
    <ds:schemaRef ds:uri="http://schemas.openxmlformats.org/officeDocument/2006/bibliography"/>
  </ds:schemaRefs>
</ds:datastoreItem>
</file>

<file path=customXml/itemProps4.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2270</Words>
  <Characters>1295</Characters>
  <Application>Microsoft Office Word</Application>
  <DocSecurity>0</DocSecurity>
  <Lines>10</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Jolanta Pavlovskiene</cp:lastModifiedBy>
  <cp:revision>2</cp:revision>
  <cp:lastPrinted>2023-07-14T13:04:00Z</cp:lastPrinted>
  <dcterms:created xsi:type="dcterms:W3CDTF">2024-12-12T17:00:00Z</dcterms:created>
  <dcterms:modified xsi:type="dcterms:W3CDTF">2024-12-12T17:00:00Z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