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9728B7B" w:rsidR="00D13680" w:rsidRDefault="00DA7EB6" w:rsidP="00B821EC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821EC" w:rsidRPr="00B821EC">
        <w:rPr>
          <w:rFonts w:ascii="Arial" w:hAnsi="Arial" w:cs="Arial"/>
          <w:i/>
        </w:rPr>
        <w:t>31926 Praėjimo kontrolės postas (Modulinis statinys)</w:t>
      </w:r>
      <w:r w:rsidR="00B821EC">
        <w:rPr>
          <w:rFonts w:ascii="Arial" w:hAnsi="Arial" w:cs="Arial"/>
          <w:b/>
          <w:bCs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5DED1713" w:rsidR="004A684B" w:rsidRPr="004A684B" w:rsidRDefault="00B821EC" w:rsidP="008A1E96">
      <w:pPr>
        <w:widowControl w:val="0"/>
        <w:tabs>
          <w:tab w:val="left" w:pos="709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>mano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04DB7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A1E96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821EC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04DB7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6DB968EB-60A7-4DBE-9647-B011D58DE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2025-09-02T20:41:00Z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