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2CB2" w14:textId="77777777" w:rsidR="00A75977" w:rsidRDefault="00D269F7" w:rsidP="00A75977">
      <w:pPr>
        <w:spacing w:after="0"/>
        <w:jc w:val="right"/>
        <w:rPr>
          <w:rFonts w:eastAsia="Times New Roman"/>
          <w:szCs w:val="24"/>
        </w:rPr>
      </w:pPr>
      <w:r w:rsidRPr="00D269F7">
        <w:rPr>
          <w:rFonts w:eastAsia="Times New Roman"/>
          <w:szCs w:val="24"/>
        </w:rPr>
        <w:t>Pirkimo specialiųjų</w:t>
      </w:r>
    </w:p>
    <w:p w14:paraId="45B62DFE" w14:textId="0F3791F1" w:rsidR="000170A9" w:rsidRDefault="00D269F7" w:rsidP="00A75977">
      <w:pPr>
        <w:spacing w:after="0"/>
        <w:jc w:val="right"/>
        <w:rPr>
          <w:rFonts w:eastAsia="Times New Roman"/>
          <w:szCs w:val="24"/>
        </w:rPr>
      </w:pPr>
      <w:r w:rsidRPr="00D269F7">
        <w:rPr>
          <w:rFonts w:eastAsia="Times New Roman"/>
          <w:szCs w:val="24"/>
        </w:rPr>
        <w:t xml:space="preserve">sąlygų </w:t>
      </w:r>
      <w:r>
        <w:rPr>
          <w:rFonts w:eastAsia="Times New Roman"/>
          <w:szCs w:val="24"/>
        </w:rPr>
        <w:t>3</w:t>
      </w:r>
      <w:r w:rsidRPr="00D269F7">
        <w:rPr>
          <w:rFonts w:eastAsia="Times New Roman"/>
          <w:szCs w:val="24"/>
        </w:rPr>
        <w:t xml:space="preserve"> priedas</w:t>
      </w:r>
    </w:p>
    <w:p w14:paraId="025DF5EA" w14:textId="77777777" w:rsidR="00A75977" w:rsidRDefault="00A75977" w:rsidP="00A75977">
      <w:pPr>
        <w:spacing w:after="0"/>
        <w:jc w:val="right"/>
        <w:rPr>
          <w:rFonts w:eastAsia="Times New Roman"/>
          <w:szCs w:val="24"/>
        </w:rPr>
      </w:pPr>
    </w:p>
    <w:p w14:paraId="1B18AF5B" w14:textId="6D11249B" w:rsidR="00341CDA" w:rsidRPr="00952FC8" w:rsidRDefault="00341CDA" w:rsidP="00341CDA">
      <w:pPr>
        <w:jc w:val="center"/>
        <w:rPr>
          <w:b/>
        </w:rPr>
      </w:pPr>
      <w:r w:rsidRPr="00952FC8">
        <w:rPr>
          <w:b/>
        </w:rPr>
        <w:t>EKONOMIŠKAI NAUDINGIAUSIO PASIŪLYMO VERTINIMO KRITERIJAI IR VERTINIMO TVARKA</w:t>
      </w:r>
    </w:p>
    <w:p w14:paraId="1D0BFAEC" w14:textId="26DCB2CA" w:rsidR="00341CDA" w:rsidRPr="00952FC8" w:rsidRDefault="00341CDA" w:rsidP="006178F9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  <w:jc w:val="both"/>
        <w:rPr>
          <w:i/>
        </w:rPr>
      </w:pPr>
      <w:r w:rsidRPr="00952FC8">
        <w:t>1.</w:t>
      </w:r>
      <w:r w:rsidR="006725EF">
        <w:t xml:space="preserve"> </w:t>
      </w:r>
      <w:r w:rsidRPr="00952FC8">
        <w:t>Pasiūlymuose nurodytos kainos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6FA5E06F" w14:textId="22E69492" w:rsidR="00341CDA" w:rsidRPr="00952FC8" w:rsidRDefault="00341CDA" w:rsidP="006178F9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  <w:jc w:val="both"/>
      </w:pPr>
      <w:r w:rsidRPr="00952FC8">
        <w:t>2.</w:t>
      </w:r>
      <w:r w:rsidR="006725EF">
        <w:t xml:space="preserve"> </w:t>
      </w:r>
      <w:r w:rsidRPr="00952FC8">
        <w:t>Perkančiosios organizacijos neatmesti pasiūlymai vertinami pagal ekonomiškai naudingiausio pasiūlymo vertinimo kriterijų.</w:t>
      </w:r>
    </w:p>
    <w:p w14:paraId="49A00513" w14:textId="77777777" w:rsidR="00341CDA" w:rsidRPr="00952FC8" w:rsidRDefault="00341CDA" w:rsidP="006178F9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  <w:jc w:val="both"/>
      </w:pPr>
      <w:r w:rsidRPr="00952FC8">
        <w:t>3. Perkančioji organizacija ekonomiškai naudingiausią pasiūlymą išrenka pagal kainos ir kokybės santykį. Ekonomiškai naudingiausiu pasiūlymu laikomas pasiūlymas, kurio ekonominis naudingumas didžiausias.</w:t>
      </w:r>
    </w:p>
    <w:p w14:paraId="1AEF8265" w14:textId="77777777" w:rsidR="00341CDA" w:rsidRPr="00952FC8" w:rsidRDefault="00341CDA" w:rsidP="006178F9">
      <w:pPr>
        <w:spacing w:after="0" w:line="240" w:lineRule="auto"/>
        <w:ind w:firstLine="720"/>
      </w:pPr>
      <w:r w:rsidRPr="00952FC8">
        <w:t>4. Pasiūlymų vertinimo kriterijai:</w:t>
      </w:r>
    </w:p>
    <w:p w14:paraId="716A2405" w14:textId="77777777" w:rsidR="00341CDA" w:rsidRPr="00952FC8" w:rsidRDefault="00341CDA" w:rsidP="006178F9">
      <w:pPr>
        <w:spacing w:after="0" w:line="240" w:lineRule="auto"/>
        <w:ind w:firstLine="720"/>
        <w:jc w:val="both"/>
      </w:pPr>
      <w:r w:rsidRPr="00952FC8">
        <w:t xml:space="preserve">4.1. </w:t>
      </w:r>
      <w:r w:rsidRPr="00952FC8">
        <w:rPr>
          <w:b/>
        </w:rPr>
        <w:t>kaina (C).</w:t>
      </w:r>
      <w:r w:rsidRPr="00952FC8">
        <w:t xml:space="preserve"> Vertinama pasiūlymo kaina eurais, įskaitant visus mokesčius ir kitas susijusias išlaidas;</w:t>
      </w:r>
    </w:p>
    <w:p w14:paraId="3E039ABD" w14:textId="7DBF3DBA" w:rsidR="00341CDA" w:rsidRPr="00952FC8" w:rsidRDefault="00341CDA" w:rsidP="3C31BB98">
      <w:pPr>
        <w:spacing w:after="0" w:line="240" w:lineRule="auto"/>
        <w:ind w:firstLine="720"/>
        <w:jc w:val="both"/>
      </w:pPr>
      <w:r>
        <w:t xml:space="preserve">4.2. </w:t>
      </w:r>
      <w:r w:rsidRPr="3C31BB98">
        <w:rPr>
          <w:b/>
          <w:bCs/>
        </w:rPr>
        <w:t>kokybė (T)</w:t>
      </w:r>
      <w:r>
        <w:t>:</w:t>
      </w:r>
      <w:r w:rsidR="6FB6988C">
        <w:t xml:space="preserve"> </w:t>
      </w:r>
      <w:r w:rsidR="00ED0357">
        <w:t>Vertinama ekspertiniu vertinimu pagal šiame priede nustatytą tvarką.</w:t>
      </w:r>
    </w:p>
    <w:p w14:paraId="1DCE133A" w14:textId="77777777" w:rsidR="00341CDA" w:rsidRPr="00952FC8" w:rsidRDefault="00341CDA" w:rsidP="006178F9">
      <w:pPr>
        <w:spacing w:after="0" w:line="240" w:lineRule="auto"/>
        <w:ind w:firstLine="720"/>
        <w:jc w:val="both"/>
      </w:pPr>
      <w:r w:rsidRPr="00952FC8">
        <w:t>5. Ekonominio vertinimo kriterijų lyginamasis svoris: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557"/>
        <w:gridCol w:w="1247"/>
        <w:gridCol w:w="1701"/>
      </w:tblGrid>
      <w:tr w:rsidR="00341CDA" w:rsidRPr="00952FC8" w14:paraId="57311894" w14:textId="77777777" w:rsidTr="55FB7F54">
        <w:trPr>
          <w:cantSplit/>
          <w:trHeight w:val="676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4CC0" w14:textId="77777777" w:rsidR="00341CDA" w:rsidRPr="00952FC8" w:rsidRDefault="00341CDA">
            <w:pPr>
              <w:widowControl w:val="0"/>
              <w:spacing w:after="0" w:line="240" w:lineRule="auto"/>
              <w:ind w:firstLine="694"/>
              <w:jc w:val="center"/>
            </w:pPr>
            <w:r w:rsidRPr="00952FC8">
              <w:t>VERTINIMO KRITERIJAI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0976" w14:textId="6835B521" w:rsidR="00341CDA" w:rsidRPr="00952FC8" w:rsidRDefault="0064654D">
            <w:pPr>
              <w:widowControl w:val="0"/>
              <w:spacing w:after="0" w:line="240" w:lineRule="auto"/>
              <w:jc w:val="center"/>
            </w:pPr>
            <w:r w:rsidRPr="0064654D">
              <w:t>Maksimalus suteikiamas balų 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D80C" w14:textId="77777777" w:rsidR="00341CDA" w:rsidRPr="00952FC8" w:rsidRDefault="00341CDA">
            <w:pPr>
              <w:widowControl w:val="0"/>
              <w:spacing w:after="0" w:line="240" w:lineRule="auto"/>
              <w:ind w:firstLine="40"/>
              <w:jc w:val="center"/>
              <w:rPr>
                <w:color w:val="000000"/>
              </w:rPr>
            </w:pPr>
            <w:r w:rsidRPr="00952FC8">
              <w:rPr>
                <w:color w:val="000000"/>
              </w:rPr>
              <w:t>Lyginamasis svoris ekonominio naudingumo įvertinime</w:t>
            </w:r>
          </w:p>
        </w:tc>
      </w:tr>
      <w:tr w:rsidR="00341CDA" w:rsidRPr="00952FC8" w14:paraId="6BB6C43C" w14:textId="77777777" w:rsidTr="55FB7F54">
        <w:trPr>
          <w:cantSplit/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C5E7" w14:textId="77777777" w:rsidR="00341CDA" w:rsidRPr="00952FC8" w:rsidRDefault="00341CDA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</w:pPr>
            <w:r w:rsidRPr="00952FC8">
              <w:t>5.1.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41E" w14:textId="77777777" w:rsidR="00341CDA" w:rsidRPr="00952FC8" w:rsidRDefault="00341CDA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</w:rPr>
            </w:pPr>
            <w:r w:rsidRPr="00952FC8">
              <w:rPr>
                <w:i/>
              </w:rPr>
              <w:t xml:space="preserve">Pirmas kriterijus – </w:t>
            </w:r>
            <w:r w:rsidRPr="00952FC8">
              <w:rPr>
                <w:b/>
              </w:rPr>
              <w:t>Kaina (C)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B64" w14:textId="77777777" w:rsidR="00341CDA" w:rsidRPr="00952FC8" w:rsidRDefault="00341CDA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62A9" w14:textId="719243AB" w:rsidR="00341CDA" w:rsidRPr="00B06C76" w:rsidRDefault="00341CDA" w:rsidP="2A900E3C">
            <w:pPr>
              <w:widowControl w:val="0"/>
              <w:spacing w:after="0" w:line="240" w:lineRule="auto"/>
              <w:ind w:firstLine="40"/>
              <w:jc w:val="center"/>
              <w:rPr>
                <w:color w:val="000000"/>
              </w:rPr>
            </w:pPr>
            <w:r w:rsidRPr="00B06C76">
              <w:rPr>
                <w:color w:val="000000" w:themeColor="text1"/>
              </w:rPr>
              <w:t>X=</w:t>
            </w:r>
            <w:r w:rsidR="008C53D1" w:rsidRPr="00B06C76">
              <w:rPr>
                <w:color w:val="000000" w:themeColor="text1"/>
              </w:rPr>
              <w:t>40</w:t>
            </w:r>
          </w:p>
        </w:tc>
      </w:tr>
      <w:tr w:rsidR="00341CDA" w:rsidRPr="00952FC8" w14:paraId="20DBF84B" w14:textId="77777777" w:rsidTr="55FB7F54">
        <w:trPr>
          <w:cantSplit/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FA4" w14:textId="77777777" w:rsidR="00341CDA" w:rsidRPr="00952FC8" w:rsidRDefault="00341CDA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</w:pPr>
            <w:r w:rsidRPr="00952FC8">
              <w:t>5.2.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BC8" w14:textId="77777777" w:rsidR="00341CDA" w:rsidRDefault="00341CDA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</w:rPr>
            </w:pPr>
            <w:r w:rsidRPr="00952FC8">
              <w:rPr>
                <w:i/>
              </w:rPr>
              <w:t xml:space="preserve">Antras kriterijus – </w:t>
            </w:r>
            <w:r w:rsidRPr="00952FC8">
              <w:rPr>
                <w:b/>
              </w:rPr>
              <w:t>Kokybė (T)</w:t>
            </w:r>
          </w:p>
          <w:p w14:paraId="7031BB81" w14:textId="503D83A8" w:rsidR="004D28A9" w:rsidRPr="000170A9" w:rsidRDefault="004D28A9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</w:pPr>
            <w:r>
              <w:t>Analizės atlikimo metodika  ir jos įgyvendinimas. Bus vertinama, kaip suprantama paslaugų pirkimo sutarties esmę ir jo žinios apie paslaugų objektą/atlikimą</w:t>
            </w:r>
            <w:r w:rsidR="384A9FED">
              <w:t>;</w:t>
            </w:r>
            <w:r w:rsidR="3169D6E0">
              <w:t xml:space="preserve"> </w:t>
            </w:r>
            <w:r>
              <w:t xml:space="preserve">kaip tiekėjas pagrindžia analizės metodiką: kaip susieja siūlomą analizės požiūrį ir metodus su </w:t>
            </w:r>
            <w:r w:rsidR="008D6925">
              <w:t>techninėje</w:t>
            </w:r>
            <w:r w:rsidR="7971C726">
              <w:t xml:space="preserve"> specifikacijoje numatytais </w:t>
            </w:r>
            <w:r>
              <w:t>tikslais, uždaviniais, klausimais ir laukiamais rezultatais; kaip yra pagrindžiamas analizės metodų rinkinio tinkamumas,</w:t>
            </w:r>
            <w:r w:rsidR="009E180F">
              <w:t xml:space="preserve"> logika</w:t>
            </w:r>
            <w:r w:rsidR="00C52807">
              <w:t>,</w:t>
            </w:r>
            <w:r>
              <w:t xml:space="preserve"> suderinamumas ir papildomumas, paaiškinant, kuriame etape ir kaip kiekvienas analizės metodas nuosekliai bus taikomas. Taip pat vertinamas darbų grafike nustatytų terminų pagrįstumas ir kaip pateiktas darbo planas atitinka Užsakovo poreikius.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3767" w14:textId="583D346F" w:rsidR="00341CDA" w:rsidRPr="000170A9" w:rsidRDefault="003B4A96" w:rsidP="000170A9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147DB" w14:textId="77777777" w:rsidR="00341CDA" w:rsidRPr="00952FC8" w:rsidRDefault="00341CDA">
            <w:pPr>
              <w:widowControl w:val="0"/>
              <w:spacing w:after="0" w:line="240" w:lineRule="auto"/>
              <w:ind w:firstLine="40"/>
              <w:jc w:val="center"/>
              <w:rPr>
                <w:i/>
                <w:color w:val="000000"/>
              </w:rPr>
            </w:pPr>
          </w:p>
          <w:p w14:paraId="2D4E6371" w14:textId="7AE34D6D" w:rsidR="00341CDA" w:rsidRPr="00FB2F42" w:rsidRDefault="00341CDA">
            <w:pPr>
              <w:widowControl w:val="0"/>
              <w:spacing w:after="0" w:line="240" w:lineRule="auto"/>
              <w:ind w:firstLine="40"/>
              <w:jc w:val="center"/>
              <w:rPr>
                <w:iCs/>
                <w:color w:val="000000"/>
              </w:rPr>
            </w:pPr>
            <w:r w:rsidRPr="00FB2F42">
              <w:rPr>
                <w:iCs/>
                <w:color w:val="000000"/>
              </w:rPr>
              <w:t>Y=</w:t>
            </w:r>
            <w:r w:rsidR="008E5AC0" w:rsidRPr="00FB2F42">
              <w:rPr>
                <w:iCs/>
                <w:color w:val="000000"/>
              </w:rPr>
              <w:t>60</w:t>
            </w:r>
          </w:p>
          <w:p w14:paraId="3349B972" w14:textId="77777777" w:rsidR="00341CDA" w:rsidRPr="00952FC8" w:rsidRDefault="00341CDA">
            <w:pPr>
              <w:widowControl w:val="0"/>
              <w:spacing w:after="0" w:line="240" w:lineRule="auto"/>
              <w:ind w:firstLine="40"/>
              <w:rPr>
                <w:i/>
                <w:color w:val="000000"/>
              </w:rPr>
            </w:pPr>
          </w:p>
          <w:p w14:paraId="2E5C2AA0" w14:textId="77777777" w:rsidR="00341CDA" w:rsidRPr="00952FC8" w:rsidRDefault="00341CDA">
            <w:pPr>
              <w:widowControl w:val="0"/>
              <w:spacing w:after="0" w:line="240" w:lineRule="auto"/>
              <w:ind w:firstLine="40"/>
              <w:jc w:val="center"/>
              <w:rPr>
                <w:i/>
                <w:color w:val="000000"/>
              </w:rPr>
            </w:pPr>
          </w:p>
        </w:tc>
      </w:tr>
    </w:tbl>
    <w:p w14:paraId="04AD201D" w14:textId="77777777" w:rsidR="00341CDA" w:rsidRPr="00952FC8" w:rsidRDefault="00341CDA" w:rsidP="004858F5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b/>
        </w:rPr>
      </w:pPr>
      <w:r w:rsidRPr="00952FC8">
        <w:t xml:space="preserve">6. Kiekvienas pasiūlymas vertinamas pagal </w:t>
      </w:r>
      <w:r w:rsidRPr="00952FC8">
        <w:rPr>
          <w:szCs w:val="24"/>
        </w:rPr>
        <w:t>pirkimo</w:t>
      </w:r>
      <w:r w:rsidRPr="00952FC8">
        <w:t xml:space="preserve"> sąlygose nustatytus reikalavimus. Vertinant pasiūlymus pagal nurodytus kriterijus, vadovaujamasi kokybės kriterijaus vertinimo skale ir aprašymu bei techninės specifikacijos reikalavimais</w:t>
      </w:r>
      <w:r>
        <w:t xml:space="preserve">. </w:t>
      </w:r>
    </w:p>
    <w:p w14:paraId="00B5B78E" w14:textId="77777777" w:rsidR="00341CDA" w:rsidRPr="00952FC8" w:rsidRDefault="00341CDA" w:rsidP="004858F5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  <w:jc w:val="both"/>
      </w:pPr>
      <w:r w:rsidRPr="00952FC8">
        <w:t>7. Ekonominis naudingumas (S) apskaičiuojamas sudedant tiekėjo pasiūlymo kainos C ir kitų kriterijų (T) balus:</w:t>
      </w:r>
    </w:p>
    <w:p w14:paraId="564F6CD8" w14:textId="77777777" w:rsidR="00341CDA" w:rsidRPr="00952FC8" w:rsidRDefault="00341CDA" w:rsidP="004858F5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  <w:jc w:val="both"/>
      </w:pPr>
      <w:r w:rsidRPr="00952FC8">
        <w:rPr>
          <w:i/>
        </w:rPr>
        <w:t>S = C + T</w:t>
      </w:r>
      <w:r w:rsidRPr="00952FC8">
        <w:t xml:space="preserve">. </w:t>
      </w:r>
    </w:p>
    <w:p w14:paraId="400F8565" w14:textId="77777777" w:rsidR="00341CDA" w:rsidRPr="00952FC8" w:rsidRDefault="00341CDA" w:rsidP="004858F5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  <w:jc w:val="both"/>
      </w:pPr>
      <w:r w:rsidRPr="00952FC8">
        <w:t>8. Pasiūlymo kainos (C) balai apskaičiuojami mažiausios pasiūlytos kainos (C</w:t>
      </w:r>
      <w:r w:rsidRPr="00952FC8">
        <w:rPr>
          <w:vertAlign w:val="subscript"/>
        </w:rPr>
        <w:t>min</w:t>
      </w:r>
      <w:r w:rsidRPr="00952FC8">
        <w:t>) ir vertinamo pasiūlymo kainos (C</w:t>
      </w:r>
      <w:r w:rsidRPr="00952FC8">
        <w:rPr>
          <w:vertAlign w:val="subscript"/>
        </w:rPr>
        <w:t>p</w:t>
      </w:r>
      <w:r w:rsidRPr="00952FC8">
        <w:t>) santykį padauginant iš kainos lyginamojo svorio (X):</w:t>
      </w:r>
    </w:p>
    <w:p w14:paraId="2E7D3A5A" w14:textId="77777777" w:rsidR="00341CDA" w:rsidRPr="00952FC8" w:rsidRDefault="00341CDA" w:rsidP="006178F9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</w:pPr>
      <w:r w:rsidRPr="00952FC8">
        <w:rPr>
          <w:noProof/>
          <w:lang w:eastAsia="lt-LT"/>
        </w:rPr>
        <w:lastRenderedPageBreak/>
        <w:drawing>
          <wp:inline distT="0" distB="0" distL="0" distR="0" wp14:anchorId="20284ED3" wp14:editId="4564A894">
            <wp:extent cx="824230" cy="4622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FC8">
        <w:t>.</w:t>
      </w:r>
    </w:p>
    <w:p w14:paraId="4079B3DD" w14:textId="22321D2F" w:rsidR="00341CDA" w:rsidRPr="00952FC8" w:rsidRDefault="00E52FF8" w:rsidP="006178F9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</w:pPr>
      <w:r>
        <w:t>9</w:t>
      </w:r>
      <w:r w:rsidR="00341CDA" w:rsidRPr="00952FC8">
        <w:t xml:space="preserve">. </w:t>
      </w:r>
      <w:r w:rsidR="000F39D6">
        <w:t xml:space="preserve">Kokybės </w:t>
      </w:r>
      <w:r w:rsidR="00D74226">
        <w:t xml:space="preserve">kriterijaus </w:t>
      </w:r>
      <w:r w:rsidR="003E42F1" w:rsidRPr="003E42F1">
        <w:t>(T)</w:t>
      </w:r>
      <w:r w:rsidR="003E42F1">
        <w:t xml:space="preserve"> balai</w:t>
      </w:r>
      <w:r w:rsidR="00A51F56">
        <w:t xml:space="preserve"> </w:t>
      </w:r>
      <w:r w:rsidR="00A51F56" w:rsidRPr="00952FC8">
        <w:t>apskaičiuojam</w:t>
      </w:r>
      <w:r w:rsidR="00A51F56">
        <w:t>i</w:t>
      </w:r>
      <w:r w:rsidR="00A51F56" w:rsidRPr="00952FC8">
        <w:t xml:space="preserve"> </w:t>
      </w:r>
      <w:r w:rsidR="007C4C1D">
        <w:t>šio kriterijaus</w:t>
      </w:r>
      <w:r w:rsidR="00D722BE">
        <w:t xml:space="preserve"> </w:t>
      </w:r>
      <w:r w:rsidR="00230A44">
        <w:t>balo</w:t>
      </w:r>
      <w:r w:rsidR="00230A44" w:rsidRPr="00952FC8">
        <w:t xml:space="preserve"> </w:t>
      </w:r>
      <w:r w:rsidR="00341CDA" w:rsidRPr="00952FC8">
        <w:t>reikšmę (</w:t>
      </w:r>
      <w:r w:rsidR="00230A44">
        <w:t>T</w:t>
      </w:r>
      <w:r w:rsidR="00341CDA" w:rsidRPr="00952FC8">
        <w:rPr>
          <w:vertAlign w:val="subscript"/>
        </w:rPr>
        <w:t>p</w:t>
      </w:r>
      <w:r w:rsidR="00341CDA" w:rsidRPr="00952FC8">
        <w:t xml:space="preserve">) palyginant su geriausia to paties </w:t>
      </w:r>
      <w:r w:rsidR="00D74226">
        <w:t>kriterijaus</w:t>
      </w:r>
      <w:r w:rsidR="00D74226" w:rsidRPr="00952FC8">
        <w:t xml:space="preserve"> </w:t>
      </w:r>
      <w:r w:rsidR="00D722BE">
        <w:t xml:space="preserve">balo </w:t>
      </w:r>
      <w:r w:rsidR="00341CDA" w:rsidRPr="00952FC8">
        <w:t>reikšme (</w:t>
      </w:r>
      <w:r w:rsidR="00D722BE">
        <w:t>T</w:t>
      </w:r>
      <w:r w:rsidR="00341CDA" w:rsidRPr="00952FC8">
        <w:rPr>
          <w:vertAlign w:val="subscript"/>
        </w:rPr>
        <w:t>max</w:t>
      </w:r>
      <w:r w:rsidR="00341CDA" w:rsidRPr="00952FC8">
        <w:t xml:space="preserve">) ir padauginant iš </w:t>
      </w:r>
      <w:r w:rsidR="00D722BE">
        <w:t>kokybės</w:t>
      </w:r>
      <w:r w:rsidR="00D722BE" w:rsidRPr="00952FC8">
        <w:t xml:space="preserve"> </w:t>
      </w:r>
      <w:r w:rsidR="00341CDA" w:rsidRPr="00952FC8">
        <w:t xml:space="preserve">lyginamojo svorio </w:t>
      </w:r>
      <w:r w:rsidR="00D722BE" w:rsidRPr="00D722BE">
        <w:t>(</w:t>
      </w:r>
      <w:r w:rsidR="00D722BE">
        <w:t>Y</w:t>
      </w:r>
      <w:r w:rsidR="00D722BE" w:rsidRPr="00D722BE">
        <w:t>)</w:t>
      </w:r>
      <w:r w:rsidR="00D722BE">
        <w:t>:</w:t>
      </w:r>
    </w:p>
    <w:p w14:paraId="17F5F2FD" w14:textId="1D89E283" w:rsidR="00341CDA" w:rsidRPr="00952FC8" w:rsidRDefault="006A24A4" w:rsidP="006178F9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</w:pPr>
      <w:r>
        <w:t>T = (</w:t>
      </w:r>
      <w:r w:rsidR="446F6D7C">
        <w:t>T</w:t>
      </w:r>
      <w:r w:rsidR="446F6D7C" w:rsidRPr="55FB7F54">
        <w:rPr>
          <w:vertAlign w:val="subscript"/>
        </w:rPr>
        <w:t>p</w:t>
      </w:r>
      <w:r>
        <w:t xml:space="preserve"> / </w:t>
      </w:r>
      <w:r w:rsidR="1C131DA3">
        <w:t>T</w:t>
      </w:r>
      <w:r w:rsidR="1C131DA3" w:rsidRPr="55FB7F54">
        <w:rPr>
          <w:vertAlign w:val="subscript"/>
        </w:rPr>
        <w:t>max</w:t>
      </w:r>
      <w:r>
        <w:t>) × Y</w:t>
      </w:r>
    </w:p>
    <w:p w14:paraId="48E43992" w14:textId="00D83C4D" w:rsidR="55FB7F54" w:rsidRDefault="55FB7F54" w:rsidP="55FB7F54">
      <w:pPr>
        <w:tabs>
          <w:tab w:val="left" w:pos="709"/>
          <w:tab w:val="num" w:pos="1392"/>
          <w:tab w:val="left" w:pos="1440"/>
        </w:tabs>
        <w:spacing w:after="0" w:line="240" w:lineRule="auto"/>
        <w:ind w:firstLine="720"/>
      </w:pPr>
    </w:p>
    <w:p w14:paraId="5177953F" w14:textId="2DADD70E" w:rsidR="00341CDA" w:rsidRPr="00952FC8" w:rsidRDefault="006A24A4" w:rsidP="006178F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/>
        <w:jc w:val="both"/>
      </w:pPr>
      <w:r>
        <w:t>Kokybės</w:t>
      </w:r>
      <w:r w:rsidR="00AC70A5">
        <w:t xml:space="preserve"> kriterijaus</w:t>
      </w:r>
      <w:r w:rsidR="00341CDA" w:rsidRPr="00952FC8">
        <w:t xml:space="preserve"> įvertinimas apskaičiuojamas ekspertinio vertinimo būdu. Vertinimo rezultatus tvirtina Viešųjų pirkimų komisija. </w:t>
      </w:r>
    </w:p>
    <w:p w14:paraId="73A57AB5" w14:textId="6866B125" w:rsidR="00341CDA" w:rsidRPr="00952FC8" w:rsidRDefault="00026041" w:rsidP="006178F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/>
        <w:jc w:val="both"/>
      </w:pPr>
      <w:r>
        <w:t>Analizę</w:t>
      </w:r>
      <w:r w:rsidR="00341CDA" w:rsidRPr="00952FC8">
        <w:t xml:space="preserve"> atliks ekspertai, ne mažiau kaip 3 asmenys, turintys žinių ir kompetencijos perkamo objekto</w:t>
      </w:r>
      <w:r w:rsidR="00341CDA" w:rsidRPr="00952FC8">
        <w:rPr>
          <w:spacing w:val="-12"/>
        </w:rPr>
        <w:t xml:space="preserve"> </w:t>
      </w:r>
      <w:r w:rsidR="00341CDA" w:rsidRPr="00952FC8">
        <w:t>srityje.</w:t>
      </w:r>
    </w:p>
    <w:p w14:paraId="2E617661" w14:textId="483FF659" w:rsidR="00341CDA" w:rsidRPr="00952FC8" w:rsidRDefault="0028491F" w:rsidP="006178F9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/>
        <w:jc w:val="both"/>
      </w:pPr>
      <w:r>
        <w:t>Kokybės kriterijus</w:t>
      </w:r>
      <w:r w:rsidR="007542E3">
        <w:t xml:space="preserve"> </w:t>
      </w:r>
      <w:r w:rsidR="00341CDA" w:rsidRPr="00952FC8">
        <w:t xml:space="preserve">yra </w:t>
      </w:r>
      <w:r w:rsidRPr="00952FC8">
        <w:t>kokybini</w:t>
      </w:r>
      <w:r>
        <w:t>s</w:t>
      </w:r>
      <w:r w:rsidR="00341CDA" w:rsidRPr="00952FC8">
        <w:t xml:space="preserve">, </w:t>
      </w:r>
      <w:r w:rsidRPr="00952FC8">
        <w:t>kuri</w:t>
      </w:r>
      <w:r>
        <w:t>o</w:t>
      </w:r>
      <w:r w:rsidRPr="00952FC8">
        <w:t xml:space="preserve"> </w:t>
      </w:r>
      <w:r w:rsidR="00341CDA" w:rsidRPr="00952FC8">
        <w:t xml:space="preserve">reikšmė </w:t>
      </w:r>
      <w:r w:rsidRPr="00952FC8">
        <w:t>nustatom</w:t>
      </w:r>
      <w:r>
        <w:t>a</w:t>
      </w:r>
      <w:r w:rsidRPr="00952FC8">
        <w:t xml:space="preserve"> </w:t>
      </w:r>
      <w:r w:rsidR="00341CDA" w:rsidRPr="00952FC8">
        <w:t>vertinant balais (iki 1</w:t>
      </w:r>
      <w:r w:rsidR="00CE561D">
        <w:t>0</w:t>
      </w:r>
      <w:r w:rsidR="00341CDA" w:rsidRPr="00952FC8">
        <w:t xml:space="preserve"> balų), išanalizavus tiekėjo pasiūlymą. </w:t>
      </w:r>
      <w:r>
        <w:t>Kokybės kriterijus</w:t>
      </w:r>
      <w:r w:rsidR="00341CDA" w:rsidRPr="00952FC8">
        <w:t xml:space="preserve"> vertinamas pagal apibrėžtas</w:t>
      </w:r>
      <w:r w:rsidR="00341CDA" w:rsidRPr="00952FC8">
        <w:rPr>
          <w:spacing w:val="-10"/>
        </w:rPr>
        <w:t xml:space="preserve"> </w:t>
      </w:r>
      <w:r w:rsidR="00341CDA" w:rsidRPr="00952FC8">
        <w:t>charakteristikas.</w:t>
      </w:r>
    </w:p>
    <w:p w14:paraId="6C072E31" w14:textId="77777777" w:rsidR="00341CDA" w:rsidRPr="00952FC8" w:rsidRDefault="00341CDA" w:rsidP="006178F9">
      <w:pPr>
        <w:spacing w:after="0" w:line="240" w:lineRule="auto"/>
        <w:ind w:firstLine="720"/>
        <w:jc w:val="both"/>
      </w:pPr>
      <w:r w:rsidRPr="00952FC8">
        <w:t>15. Perkančioji organizacija gali prašyti tiekėjų patikslinti, papildyti arba paaiškinti savo pasiūlymus, tačiau ji negali prašyti, siūlyti arba leisti pakeisti pasiūlymo esmės – pakeisti kainą arba padaryti kitų pakeitimų, dėl kurių pirkimo dokumentų reikalavimų neatitinkantis pasiūlymas taptų atitinkantis pirkimo dokumentų reikalavimus.</w:t>
      </w:r>
    </w:p>
    <w:p w14:paraId="6A840E86" w14:textId="77777777" w:rsidR="00341CDA" w:rsidRPr="00952FC8" w:rsidRDefault="00341CDA" w:rsidP="006178F9">
      <w:pPr>
        <w:tabs>
          <w:tab w:val="left" w:pos="0"/>
          <w:tab w:val="left" w:pos="993"/>
          <w:tab w:val="left" w:pos="1560"/>
        </w:tabs>
        <w:spacing w:after="0" w:line="240" w:lineRule="auto"/>
        <w:ind w:firstLine="720"/>
        <w:jc w:val="both"/>
        <w:rPr>
          <w:b/>
        </w:rPr>
      </w:pPr>
      <w:r w:rsidRPr="00952FC8">
        <w:rPr>
          <w:bCs/>
          <w:color w:val="000000"/>
        </w:rPr>
        <w:t>16. Perkančioji organizacija gali nevertinti viso tiekėjo pasiūlymo, jeigu patikrinusi jo dalį nustato, kad, vadovaujantis Viešųjų pirkimų įstatymo ir pirkimo dokumentų reikalavimais, pasiūlymas turi būti atmestas.</w:t>
      </w:r>
    </w:p>
    <w:p w14:paraId="672E2D47" w14:textId="77777777" w:rsidR="00341CDA" w:rsidRDefault="00341CDA" w:rsidP="006178F9">
      <w:pPr>
        <w:pStyle w:val="NoSpacing"/>
        <w:ind w:firstLine="720"/>
      </w:pPr>
    </w:p>
    <w:p w14:paraId="718BEDA2" w14:textId="77777777" w:rsidR="00341CDA" w:rsidRPr="00B0677D" w:rsidRDefault="00341CDA" w:rsidP="006178F9">
      <w:pPr>
        <w:spacing w:after="0" w:line="240" w:lineRule="auto"/>
        <w:ind w:firstLine="720"/>
      </w:pPr>
    </w:p>
    <w:p w14:paraId="58D70B40" w14:textId="77777777" w:rsidR="004A5566" w:rsidRDefault="004A5566" w:rsidP="006178F9">
      <w:pPr>
        <w:spacing w:after="0" w:line="240" w:lineRule="auto"/>
        <w:ind w:firstLine="720"/>
      </w:pPr>
    </w:p>
    <w:sectPr w:rsidR="004A5566" w:rsidSect="00BB760C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D72E" w14:textId="77777777" w:rsidR="00460DD9" w:rsidRDefault="00460DD9" w:rsidP="00B70401">
      <w:pPr>
        <w:spacing w:after="0" w:line="240" w:lineRule="auto"/>
      </w:pPr>
      <w:r>
        <w:separator/>
      </w:r>
    </w:p>
  </w:endnote>
  <w:endnote w:type="continuationSeparator" w:id="0">
    <w:p w14:paraId="70D48988" w14:textId="77777777" w:rsidR="00460DD9" w:rsidRDefault="00460DD9" w:rsidP="00B7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6837" w14:textId="77777777" w:rsidR="00460DD9" w:rsidRDefault="00460DD9" w:rsidP="00B70401">
      <w:pPr>
        <w:spacing w:after="0" w:line="240" w:lineRule="auto"/>
      </w:pPr>
      <w:r>
        <w:separator/>
      </w:r>
    </w:p>
  </w:footnote>
  <w:footnote w:type="continuationSeparator" w:id="0">
    <w:p w14:paraId="562079C0" w14:textId="77777777" w:rsidR="00460DD9" w:rsidRDefault="00460DD9" w:rsidP="00B7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B74C" w14:textId="77777777" w:rsidR="00B70401" w:rsidRDefault="00B70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31B6E"/>
    <w:multiLevelType w:val="hybridMultilevel"/>
    <w:tmpl w:val="D90E8C54"/>
    <w:lvl w:ilvl="0" w:tplc="3D1CE654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7521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AE"/>
    <w:rsid w:val="00001AC1"/>
    <w:rsid w:val="00002F7C"/>
    <w:rsid w:val="00003937"/>
    <w:rsid w:val="0001693F"/>
    <w:rsid w:val="000170A9"/>
    <w:rsid w:val="000246FF"/>
    <w:rsid w:val="00026041"/>
    <w:rsid w:val="00027437"/>
    <w:rsid w:val="00030589"/>
    <w:rsid w:val="00032E98"/>
    <w:rsid w:val="0003352A"/>
    <w:rsid w:val="00041EB8"/>
    <w:rsid w:val="00045C42"/>
    <w:rsid w:val="00047487"/>
    <w:rsid w:val="00053C55"/>
    <w:rsid w:val="00063DFB"/>
    <w:rsid w:val="000722EB"/>
    <w:rsid w:val="00075475"/>
    <w:rsid w:val="00083A38"/>
    <w:rsid w:val="00087233"/>
    <w:rsid w:val="000A3FD0"/>
    <w:rsid w:val="000C18A0"/>
    <w:rsid w:val="000F39D6"/>
    <w:rsid w:val="00100617"/>
    <w:rsid w:val="001032A2"/>
    <w:rsid w:val="00107F0C"/>
    <w:rsid w:val="0011257D"/>
    <w:rsid w:val="00112682"/>
    <w:rsid w:val="00113AC0"/>
    <w:rsid w:val="00114CA7"/>
    <w:rsid w:val="00123EB9"/>
    <w:rsid w:val="001249D9"/>
    <w:rsid w:val="00126B98"/>
    <w:rsid w:val="001421C5"/>
    <w:rsid w:val="0014673B"/>
    <w:rsid w:val="001471A6"/>
    <w:rsid w:val="00151612"/>
    <w:rsid w:val="00154437"/>
    <w:rsid w:val="001629A2"/>
    <w:rsid w:val="001651A8"/>
    <w:rsid w:val="001779F0"/>
    <w:rsid w:val="00180AE8"/>
    <w:rsid w:val="001815C7"/>
    <w:rsid w:val="00184452"/>
    <w:rsid w:val="00184A32"/>
    <w:rsid w:val="00196DB5"/>
    <w:rsid w:val="001A0A26"/>
    <w:rsid w:val="001A3CF1"/>
    <w:rsid w:val="001A4E44"/>
    <w:rsid w:val="001A643D"/>
    <w:rsid w:val="001B315C"/>
    <w:rsid w:val="001B3EAD"/>
    <w:rsid w:val="001B3EF0"/>
    <w:rsid w:val="001B6E1A"/>
    <w:rsid w:val="001C61DC"/>
    <w:rsid w:val="001F361E"/>
    <w:rsid w:val="00203F7B"/>
    <w:rsid w:val="00204067"/>
    <w:rsid w:val="00205A81"/>
    <w:rsid w:val="00222B49"/>
    <w:rsid w:val="0022461C"/>
    <w:rsid w:val="00230A44"/>
    <w:rsid w:val="00232966"/>
    <w:rsid w:val="00237CAE"/>
    <w:rsid w:val="00253547"/>
    <w:rsid w:val="002553F1"/>
    <w:rsid w:val="00262A85"/>
    <w:rsid w:val="00265294"/>
    <w:rsid w:val="0026549E"/>
    <w:rsid w:val="0026753F"/>
    <w:rsid w:val="00267982"/>
    <w:rsid w:val="00280912"/>
    <w:rsid w:val="0028491F"/>
    <w:rsid w:val="002A7589"/>
    <w:rsid w:val="002B0147"/>
    <w:rsid w:val="002B0CC7"/>
    <w:rsid w:val="002D0645"/>
    <w:rsid w:val="002D0BE5"/>
    <w:rsid w:val="002D3A51"/>
    <w:rsid w:val="002D4888"/>
    <w:rsid w:val="002D5B8A"/>
    <w:rsid w:val="002E0040"/>
    <w:rsid w:val="002E2E19"/>
    <w:rsid w:val="002E593D"/>
    <w:rsid w:val="002F10B4"/>
    <w:rsid w:val="002F1850"/>
    <w:rsid w:val="002F41C1"/>
    <w:rsid w:val="003010EF"/>
    <w:rsid w:val="003110B8"/>
    <w:rsid w:val="003127D6"/>
    <w:rsid w:val="00312826"/>
    <w:rsid w:val="00336B55"/>
    <w:rsid w:val="00341CDA"/>
    <w:rsid w:val="00347CC2"/>
    <w:rsid w:val="00347EA8"/>
    <w:rsid w:val="00350DDE"/>
    <w:rsid w:val="003533CB"/>
    <w:rsid w:val="00355563"/>
    <w:rsid w:val="003576AF"/>
    <w:rsid w:val="00366F98"/>
    <w:rsid w:val="003701CC"/>
    <w:rsid w:val="003719F8"/>
    <w:rsid w:val="003734B9"/>
    <w:rsid w:val="00373C59"/>
    <w:rsid w:val="00373D8F"/>
    <w:rsid w:val="00374645"/>
    <w:rsid w:val="00375DD5"/>
    <w:rsid w:val="00384F13"/>
    <w:rsid w:val="003A02E0"/>
    <w:rsid w:val="003A339C"/>
    <w:rsid w:val="003B4A96"/>
    <w:rsid w:val="003B6AEE"/>
    <w:rsid w:val="003C09D4"/>
    <w:rsid w:val="003C4220"/>
    <w:rsid w:val="003D5B71"/>
    <w:rsid w:val="003D7C4A"/>
    <w:rsid w:val="003E2327"/>
    <w:rsid w:val="003E39C0"/>
    <w:rsid w:val="003E42F1"/>
    <w:rsid w:val="003E6FEE"/>
    <w:rsid w:val="003F2C4D"/>
    <w:rsid w:val="00401DAE"/>
    <w:rsid w:val="00402B4C"/>
    <w:rsid w:val="00403A59"/>
    <w:rsid w:val="0042152B"/>
    <w:rsid w:val="00422734"/>
    <w:rsid w:val="00432EBE"/>
    <w:rsid w:val="0043576C"/>
    <w:rsid w:val="004369AE"/>
    <w:rsid w:val="00460DD9"/>
    <w:rsid w:val="0047667E"/>
    <w:rsid w:val="0048150C"/>
    <w:rsid w:val="004858F5"/>
    <w:rsid w:val="0049718E"/>
    <w:rsid w:val="0049781B"/>
    <w:rsid w:val="004A5566"/>
    <w:rsid w:val="004A5807"/>
    <w:rsid w:val="004A6245"/>
    <w:rsid w:val="004A7558"/>
    <w:rsid w:val="004B70CB"/>
    <w:rsid w:val="004C4F9A"/>
    <w:rsid w:val="004D28A9"/>
    <w:rsid w:val="004E4D48"/>
    <w:rsid w:val="00503F80"/>
    <w:rsid w:val="0051476B"/>
    <w:rsid w:val="00515E17"/>
    <w:rsid w:val="0052092F"/>
    <w:rsid w:val="00527EF3"/>
    <w:rsid w:val="005442DF"/>
    <w:rsid w:val="0055257B"/>
    <w:rsid w:val="0055285D"/>
    <w:rsid w:val="005547CF"/>
    <w:rsid w:val="0055557B"/>
    <w:rsid w:val="005560C1"/>
    <w:rsid w:val="0056312D"/>
    <w:rsid w:val="005841E8"/>
    <w:rsid w:val="005A0107"/>
    <w:rsid w:val="005A3745"/>
    <w:rsid w:val="005B0313"/>
    <w:rsid w:val="005B2C3F"/>
    <w:rsid w:val="005B69DB"/>
    <w:rsid w:val="005C2981"/>
    <w:rsid w:val="005C4207"/>
    <w:rsid w:val="005C4D3C"/>
    <w:rsid w:val="005C74CA"/>
    <w:rsid w:val="005C74DF"/>
    <w:rsid w:val="005D48A5"/>
    <w:rsid w:val="005D7C10"/>
    <w:rsid w:val="005E3A04"/>
    <w:rsid w:val="005E6F6B"/>
    <w:rsid w:val="005F2218"/>
    <w:rsid w:val="0060275C"/>
    <w:rsid w:val="00614E54"/>
    <w:rsid w:val="00615692"/>
    <w:rsid w:val="006178F9"/>
    <w:rsid w:val="00617A90"/>
    <w:rsid w:val="0062351C"/>
    <w:rsid w:val="00624704"/>
    <w:rsid w:val="00624CBC"/>
    <w:rsid w:val="006304F3"/>
    <w:rsid w:val="0064654D"/>
    <w:rsid w:val="00650A9B"/>
    <w:rsid w:val="00655D6C"/>
    <w:rsid w:val="006725EF"/>
    <w:rsid w:val="0067288F"/>
    <w:rsid w:val="006928A3"/>
    <w:rsid w:val="0069436A"/>
    <w:rsid w:val="00694430"/>
    <w:rsid w:val="00695D2D"/>
    <w:rsid w:val="00695F3E"/>
    <w:rsid w:val="006A24A4"/>
    <w:rsid w:val="006B0F4A"/>
    <w:rsid w:val="006B1C99"/>
    <w:rsid w:val="006B6289"/>
    <w:rsid w:val="006B65C8"/>
    <w:rsid w:val="006C5ADB"/>
    <w:rsid w:val="006D5F98"/>
    <w:rsid w:val="006E6DBF"/>
    <w:rsid w:val="006F6939"/>
    <w:rsid w:val="006F6A8D"/>
    <w:rsid w:val="007018B0"/>
    <w:rsid w:val="00704F67"/>
    <w:rsid w:val="0070744E"/>
    <w:rsid w:val="0071667D"/>
    <w:rsid w:val="00726834"/>
    <w:rsid w:val="007356BB"/>
    <w:rsid w:val="00740D94"/>
    <w:rsid w:val="007424EC"/>
    <w:rsid w:val="007441F0"/>
    <w:rsid w:val="007476CB"/>
    <w:rsid w:val="0075404C"/>
    <w:rsid w:val="007542E3"/>
    <w:rsid w:val="007655A0"/>
    <w:rsid w:val="00786C76"/>
    <w:rsid w:val="007A0431"/>
    <w:rsid w:val="007A2546"/>
    <w:rsid w:val="007A4D99"/>
    <w:rsid w:val="007A4ECD"/>
    <w:rsid w:val="007B008F"/>
    <w:rsid w:val="007B57B9"/>
    <w:rsid w:val="007C0B56"/>
    <w:rsid w:val="007C4C1D"/>
    <w:rsid w:val="007C62CF"/>
    <w:rsid w:val="007C6893"/>
    <w:rsid w:val="007C7C28"/>
    <w:rsid w:val="007F7A36"/>
    <w:rsid w:val="00800BB2"/>
    <w:rsid w:val="008118C4"/>
    <w:rsid w:val="008123AA"/>
    <w:rsid w:val="008236F9"/>
    <w:rsid w:val="0082469F"/>
    <w:rsid w:val="00824A36"/>
    <w:rsid w:val="00826004"/>
    <w:rsid w:val="00827A26"/>
    <w:rsid w:val="0083787C"/>
    <w:rsid w:val="00837F94"/>
    <w:rsid w:val="0084285C"/>
    <w:rsid w:val="00842F80"/>
    <w:rsid w:val="008433EA"/>
    <w:rsid w:val="00846DE8"/>
    <w:rsid w:val="00867FDB"/>
    <w:rsid w:val="00873E22"/>
    <w:rsid w:val="00874682"/>
    <w:rsid w:val="0087792E"/>
    <w:rsid w:val="00897A89"/>
    <w:rsid w:val="008A059D"/>
    <w:rsid w:val="008A5C88"/>
    <w:rsid w:val="008A73A4"/>
    <w:rsid w:val="008B1B3A"/>
    <w:rsid w:val="008B5117"/>
    <w:rsid w:val="008C2799"/>
    <w:rsid w:val="008C53D1"/>
    <w:rsid w:val="008C651F"/>
    <w:rsid w:val="008D32F4"/>
    <w:rsid w:val="008D6925"/>
    <w:rsid w:val="008D7C46"/>
    <w:rsid w:val="008E1AFD"/>
    <w:rsid w:val="008E4898"/>
    <w:rsid w:val="008E5AC0"/>
    <w:rsid w:val="008F36BD"/>
    <w:rsid w:val="008F3CC6"/>
    <w:rsid w:val="00901851"/>
    <w:rsid w:val="00903F57"/>
    <w:rsid w:val="009219DE"/>
    <w:rsid w:val="0092679F"/>
    <w:rsid w:val="00937289"/>
    <w:rsid w:val="00970110"/>
    <w:rsid w:val="0098161D"/>
    <w:rsid w:val="00991D9B"/>
    <w:rsid w:val="00992554"/>
    <w:rsid w:val="00996710"/>
    <w:rsid w:val="009B60D7"/>
    <w:rsid w:val="009C2D4D"/>
    <w:rsid w:val="009C5207"/>
    <w:rsid w:val="009E180F"/>
    <w:rsid w:val="009E2044"/>
    <w:rsid w:val="009E3E1C"/>
    <w:rsid w:val="009E6352"/>
    <w:rsid w:val="009E7C31"/>
    <w:rsid w:val="009F09C1"/>
    <w:rsid w:val="00A0011B"/>
    <w:rsid w:val="00A00533"/>
    <w:rsid w:val="00A005AF"/>
    <w:rsid w:val="00A0201A"/>
    <w:rsid w:val="00A112CD"/>
    <w:rsid w:val="00A237ED"/>
    <w:rsid w:val="00A32920"/>
    <w:rsid w:val="00A34C02"/>
    <w:rsid w:val="00A50D49"/>
    <w:rsid w:val="00A51F56"/>
    <w:rsid w:val="00A52712"/>
    <w:rsid w:val="00A55F20"/>
    <w:rsid w:val="00A56291"/>
    <w:rsid w:val="00A72078"/>
    <w:rsid w:val="00A75977"/>
    <w:rsid w:val="00A80D27"/>
    <w:rsid w:val="00A95B84"/>
    <w:rsid w:val="00A95EC5"/>
    <w:rsid w:val="00A974AD"/>
    <w:rsid w:val="00AA20BF"/>
    <w:rsid w:val="00AB257A"/>
    <w:rsid w:val="00AB2E29"/>
    <w:rsid w:val="00AC70A5"/>
    <w:rsid w:val="00AF4658"/>
    <w:rsid w:val="00AF5ACE"/>
    <w:rsid w:val="00AF5E22"/>
    <w:rsid w:val="00B06C76"/>
    <w:rsid w:val="00B10F1D"/>
    <w:rsid w:val="00B1758B"/>
    <w:rsid w:val="00B23F5F"/>
    <w:rsid w:val="00B259EA"/>
    <w:rsid w:val="00B36ACE"/>
    <w:rsid w:val="00B5751A"/>
    <w:rsid w:val="00B623CE"/>
    <w:rsid w:val="00B70401"/>
    <w:rsid w:val="00B7290C"/>
    <w:rsid w:val="00B90151"/>
    <w:rsid w:val="00B90D9C"/>
    <w:rsid w:val="00BA0A52"/>
    <w:rsid w:val="00BA1338"/>
    <w:rsid w:val="00BA3E75"/>
    <w:rsid w:val="00BA77E7"/>
    <w:rsid w:val="00BB760C"/>
    <w:rsid w:val="00BC3246"/>
    <w:rsid w:val="00BD3C16"/>
    <w:rsid w:val="00BD6AEF"/>
    <w:rsid w:val="00BE01EA"/>
    <w:rsid w:val="00BF5403"/>
    <w:rsid w:val="00C0540D"/>
    <w:rsid w:val="00C06139"/>
    <w:rsid w:val="00C27674"/>
    <w:rsid w:val="00C307E6"/>
    <w:rsid w:val="00C36852"/>
    <w:rsid w:val="00C511CE"/>
    <w:rsid w:val="00C52807"/>
    <w:rsid w:val="00C62783"/>
    <w:rsid w:val="00C62F02"/>
    <w:rsid w:val="00C65831"/>
    <w:rsid w:val="00C81C74"/>
    <w:rsid w:val="00C82B0D"/>
    <w:rsid w:val="00C844E4"/>
    <w:rsid w:val="00C9664B"/>
    <w:rsid w:val="00CA0070"/>
    <w:rsid w:val="00CA0617"/>
    <w:rsid w:val="00CC06EA"/>
    <w:rsid w:val="00CC6161"/>
    <w:rsid w:val="00CD5A49"/>
    <w:rsid w:val="00CD60FA"/>
    <w:rsid w:val="00CE00FE"/>
    <w:rsid w:val="00CE561D"/>
    <w:rsid w:val="00CF1CDB"/>
    <w:rsid w:val="00CF7623"/>
    <w:rsid w:val="00D12321"/>
    <w:rsid w:val="00D14241"/>
    <w:rsid w:val="00D21B37"/>
    <w:rsid w:val="00D269F7"/>
    <w:rsid w:val="00D35CEF"/>
    <w:rsid w:val="00D37709"/>
    <w:rsid w:val="00D37A17"/>
    <w:rsid w:val="00D43537"/>
    <w:rsid w:val="00D44077"/>
    <w:rsid w:val="00D454E2"/>
    <w:rsid w:val="00D461FF"/>
    <w:rsid w:val="00D5798F"/>
    <w:rsid w:val="00D61328"/>
    <w:rsid w:val="00D669F4"/>
    <w:rsid w:val="00D70000"/>
    <w:rsid w:val="00D722BE"/>
    <w:rsid w:val="00D74226"/>
    <w:rsid w:val="00D7620A"/>
    <w:rsid w:val="00D92DF8"/>
    <w:rsid w:val="00D931EC"/>
    <w:rsid w:val="00D96049"/>
    <w:rsid w:val="00D9986E"/>
    <w:rsid w:val="00DA2209"/>
    <w:rsid w:val="00DA29E4"/>
    <w:rsid w:val="00DC0380"/>
    <w:rsid w:val="00DC1035"/>
    <w:rsid w:val="00DD0451"/>
    <w:rsid w:val="00DD43E6"/>
    <w:rsid w:val="00DD5B7D"/>
    <w:rsid w:val="00DD7A4C"/>
    <w:rsid w:val="00DE294B"/>
    <w:rsid w:val="00DF3224"/>
    <w:rsid w:val="00DF3457"/>
    <w:rsid w:val="00E16574"/>
    <w:rsid w:val="00E27AA3"/>
    <w:rsid w:val="00E31D37"/>
    <w:rsid w:val="00E3343F"/>
    <w:rsid w:val="00E46107"/>
    <w:rsid w:val="00E51587"/>
    <w:rsid w:val="00E52FF8"/>
    <w:rsid w:val="00E63779"/>
    <w:rsid w:val="00E7197C"/>
    <w:rsid w:val="00E72044"/>
    <w:rsid w:val="00E72E6E"/>
    <w:rsid w:val="00E73F4E"/>
    <w:rsid w:val="00E7417C"/>
    <w:rsid w:val="00E843EE"/>
    <w:rsid w:val="00E872F8"/>
    <w:rsid w:val="00EA29C4"/>
    <w:rsid w:val="00EA539E"/>
    <w:rsid w:val="00EA613F"/>
    <w:rsid w:val="00EB34C9"/>
    <w:rsid w:val="00EB6962"/>
    <w:rsid w:val="00EC08C3"/>
    <w:rsid w:val="00EC093A"/>
    <w:rsid w:val="00EC39AE"/>
    <w:rsid w:val="00ED0357"/>
    <w:rsid w:val="00EE32A4"/>
    <w:rsid w:val="00EE4E7F"/>
    <w:rsid w:val="00EE6936"/>
    <w:rsid w:val="00EF06F0"/>
    <w:rsid w:val="00EF36E5"/>
    <w:rsid w:val="00EF49EE"/>
    <w:rsid w:val="00F01542"/>
    <w:rsid w:val="00F0667A"/>
    <w:rsid w:val="00F11E87"/>
    <w:rsid w:val="00F167F1"/>
    <w:rsid w:val="00F17B93"/>
    <w:rsid w:val="00F2117B"/>
    <w:rsid w:val="00F2275D"/>
    <w:rsid w:val="00F266FE"/>
    <w:rsid w:val="00F32999"/>
    <w:rsid w:val="00F40077"/>
    <w:rsid w:val="00F5653B"/>
    <w:rsid w:val="00F65B57"/>
    <w:rsid w:val="00F737C1"/>
    <w:rsid w:val="00F73EB9"/>
    <w:rsid w:val="00F754C2"/>
    <w:rsid w:val="00F77667"/>
    <w:rsid w:val="00F92EE3"/>
    <w:rsid w:val="00F94E0A"/>
    <w:rsid w:val="00FA20CC"/>
    <w:rsid w:val="00FA2998"/>
    <w:rsid w:val="00FB2F42"/>
    <w:rsid w:val="00FC52CA"/>
    <w:rsid w:val="00FD14C8"/>
    <w:rsid w:val="00FD6815"/>
    <w:rsid w:val="00FE65D7"/>
    <w:rsid w:val="00FE7171"/>
    <w:rsid w:val="00FF50AE"/>
    <w:rsid w:val="03D5B172"/>
    <w:rsid w:val="095AFC0C"/>
    <w:rsid w:val="09EFB17E"/>
    <w:rsid w:val="0BA3B828"/>
    <w:rsid w:val="0E88C18F"/>
    <w:rsid w:val="147E6AAB"/>
    <w:rsid w:val="17315B26"/>
    <w:rsid w:val="17BDF29E"/>
    <w:rsid w:val="1A0FF804"/>
    <w:rsid w:val="1C131DA3"/>
    <w:rsid w:val="1DA47A76"/>
    <w:rsid w:val="1E053020"/>
    <w:rsid w:val="1F232AE5"/>
    <w:rsid w:val="2353A00B"/>
    <w:rsid w:val="24DB918C"/>
    <w:rsid w:val="253DCB43"/>
    <w:rsid w:val="26524459"/>
    <w:rsid w:val="272AFCCE"/>
    <w:rsid w:val="2761328E"/>
    <w:rsid w:val="285748F5"/>
    <w:rsid w:val="288BA95D"/>
    <w:rsid w:val="293D3F0E"/>
    <w:rsid w:val="2A75F313"/>
    <w:rsid w:val="2A900E3C"/>
    <w:rsid w:val="2AED6D80"/>
    <w:rsid w:val="2D5F2D0A"/>
    <w:rsid w:val="2F1EB213"/>
    <w:rsid w:val="300184E3"/>
    <w:rsid w:val="310296E5"/>
    <w:rsid w:val="3169D6E0"/>
    <w:rsid w:val="319CFC01"/>
    <w:rsid w:val="3617147A"/>
    <w:rsid w:val="366AC75D"/>
    <w:rsid w:val="3792093E"/>
    <w:rsid w:val="384A9FED"/>
    <w:rsid w:val="38CFF7CD"/>
    <w:rsid w:val="394B7D6B"/>
    <w:rsid w:val="3A93E4EC"/>
    <w:rsid w:val="3AACEED9"/>
    <w:rsid w:val="3AD0CF53"/>
    <w:rsid w:val="3BBA9E4D"/>
    <w:rsid w:val="3C31BB98"/>
    <w:rsid w:val="3EDD852D"/>
    <w:rsid w:val="446F6D7C"/>
    <w:rsid w:val="4772EABA"/>
    <w:rsid w:val="4C91EB9B"/>
    <w:rsid w:val="4E00D8AF"/>
    <w:rsid w:val="4F98BDE7"/>
    <w:rsid w:val="4FB9AB08"/>
    <w:rsid w:val="55FB7F54"/>
    <w:rsid w:val="5807C4CD"/>
    <w:rsid w:val="585A26CF"/>
    <w:rsid w:val="5EAEE49C"/>
    <w:rsid w:val="5F7B281A"/>
    <w:rsid w:val="6115DBE7"/>
    <w:rsid w:val="621EDB06"/>
    <w:rsid w:val="629814BF"/>
    <w:rsid w:val="6363B0E4"/>
    <w:rsid w:val="648D1B6C"/>
    <w:rsid w:val="658EEBD4"/>
    <w:rsid w:val="68266E48"/>
    <w:rsid w:val="6AB8CD0B"/>
    <w:rsid w:val="6B2B9EE9"/>
    <w:rsid w:val="6CAC75AE"/>
    <w:rsid w:val="6D2547B1"/>
    <w:rsid w:val="6DBDAFE1"/>
    <w:rsid w:val="6FB6988C"/>
    <w:rsid w:val="7018BFD3"/>
    <w:rsid w:val="730AC80F"/>
    <w:rsid w:val="745C6C20"/>
    <w:rsid w:val="7880F15B"/>
    <w:rsid w:val="78A83F03"/>
    <w:rsid w:val="7971C726"/>
    <w:rsid w:val="7D33EA20"/>
    <w:rsid w:val="7D65D9E0"/>
    <w:rsid w:val="7DADEA5E"/>
    <w:rsid w:val="7DB9A991"/>
    <w:rsid w:val="7E0B7810"/>
    <w:rsid w:val="7FA7E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589D"/>
  <w15:chartTrackingRefBased/>
  <w15:docId w15:val="{2E7725B6-D15D-4254-9B6F-D5EB9D2E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A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 Char1 Char,Char Char"/>
    <w:link w:val="BodyText"/>
    <w:rsid w:val="004369AE"/>
    <w:rPr>
      <w:rFonts w:eastAsia="Calibri"/>
      <w:sz w:val="24"/>
    </w:rPr>
  </w:style>
  <w:style w:type="paragraph" w:styleId="BodyText">
    <w:name w:val="Body Text"/>
    <w:aliases w:val=" Char1,Char"/>
    <w:basedOn w:val="Normal"/>
    <w:link w:val="BodyTextChar"/>
    <w:unhideWhenUsed/>
    <w:rsid w:val="004369AE"/>
    <w:pPr>
      <w:spacing w:after="120"/>
    </w:pPr>
    <w:rPr>
      <w:rFonts w:asciiTheme="minorHAnsi" w:hAnsiTheme="minorHAnsi" w:cstheme="minorBidi"/>
    </w:rPr>
  </w:style>
  <w:style w:type="character" w:customStyle="1" w:styleId="BodyTextChar1">
    <w:name w:val="Body Text Char1"/>
    <w:basedOn w:val="DefaultParagraphFont"/>
    <w:uiPriority w:val="99"/>
    <w:semiHidden/>
    <w:rsid w:val="004369AE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Bullet EY,Numbering,ERP-List Paragraph,List Paragraph11,List Paragraph2,List Paragraph Red,Buletai,List Paragraph21,List Paragraph1,lp1,Use Case List Paragraph,List Paragraph111"/>
    <w:basedOn w:val="Normal"/>
    <w:link w:val="ListParagraphChar"/>
    <w:uiPriority w:val="1"/>
    <w:qFormat/>
    <w:rsid w:val="004369AE"/>
    <w:pPr>
      <w:ind w:left="720"/>
      <w:contextualSpacing/>
    </w:pPr>
  </w:style>
  <w:style w:type="character" w:customStyle="1" w:styleId="ListParagraphChar">
    <w:name w:val="List Paragraph Char"/>
    <w:aliases w:val="Bullet EY Char,Numbering Char,ERP-List Paragraph Char,List Paragraph11 Char,List Paragraph2 Char,List Paragraph Red Char,Buletai Char,List Paragraph21 Char,List Paragraph1 Char,lp1 Char,Use Case List Paragraph Char"/>
    <w:link w:val="ListParagraph"/>
    <w:uiPriority w:val="1"/>
    <w:locked/>
    <w:rsid w:val="004369AE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0F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1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7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7B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0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341CD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341CDA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401D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401DAE"/>
  </w:style>
  <w:style w:type="character" w:customStyle="1" w:styleId="ui-provider">
    <w:name w:val="ui-provider"/>
    <w:basedOn w:val="DefaultParagraphFont"/>
    <w:rsid w:val="00401DAE"/>
  </w:style>
  <w:style w:type="paragraph" w:styleId="Header">
    <w:name w:val="header"/>
    <w:basedOn w:val="Normal"/>
    <w:link w:val="HeaderChar"/>
    <w:uiPriority w:val="99"/>
    <w:unhideWhenUsed/>
    <w:rsid w:val="00B70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0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70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0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2d7bc-d160-4551-b9ef-b032839a489c" xsi:nil="true"/>
    <lcf76f155ced4ddcb4097134ff3c332f xmlns="0923b218-0f9e-43cd-be6f-01374eb3c2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407E296A106948A0E3F0F54127E0C7" ma:contentTypeVersion="18" ma:contentTypeDescription="Kurkite naują dokumentą." ma:contentTypeScope="" ma:versionID="23b57c8e8119b5117880ef176ba9d4ab">
  <xsd:schema xmlns:xsd="http://www.w3.org/2001/XMLSchema" xmlns:xs="http://www.w3.org/2001/XMLSchema" xmlns:p="http://schemas.microsoft.com/office/2006/metadata/properties" xmlns:ns2="0923b218-0f9e-43cd-be6f-01374eb3c24a" xmlns:ns3="f342d7bc-d160-4551-b9ef-b032839a489c" targetNamespace="http://schemas.microsoft.com/office/2006/metadata/properties" ma:root="true" ma:fieldsID="9a41d3b576a1937f011a8102c9a9329b" ns2:_="" ns3:_="">
    <xsd:import namespace="0923b218-0f9e-43cd-be6f-01374eb3c24a"/>
    <xsd:import namespace="f342d7bc-d160-4551-b9ef-b032839a4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b218-0f9e-43cd-be6f-01374eb3c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08049582-af26-4f7a-a98f-3d2322183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d7bc-d160-4551-b9ef-b032839a4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stulpelis" ma:hidden="true" ma:list="{b4081e89-290a-4a5c-b1ac-2000acd064d3}" ma:internalName="TaxCatchAll" ma:showField="CatchAllData" ma:web="f342d7bc-d160-4551-b9ef-b032839a4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68AF-4AE7-427A-AE3D-16FA455D3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B5B4A-B354-4001-B031-6CB85EAB0DA1}">
  <ds:schemaRefs>
    <ds:schemaRef ds:uri="http://schemas.microsoft.com/office/2006/metadata/properties"/>
    <ds:schemaRef ds:uri="http://schemas.microsoft.com/office/infopath/2007/PartnerControls"/>
    <ds:schemaRef ds:uri="f342d7bc-d160-4551-b9ef-b032839a489c"/>
    <ds:schemaRef ds:uri="0923b218-0f9e-43cd-be6f-01374eb3c24a"/>
  </ds:schemaRefs>
</ds:datastoreItem>
</file>

<file path=customXml/itemProps3.xml><?xml version="1.0" encoding="utf-8"?>
<ds:datastoreItem xmlns:ds="http://schemas.openxmlformats.org/officeDocument/2006/customXml" ds:itemID="{76813B1B-0CCB-4042-B4D0-BAC479F60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3b218-0f9e-43cd-be6f-01374eb3c24a"/>
    <ds:schemaRef ds:uri="f342d7bc-d160-4551-b9ef-b032839a4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473DF-01C4-4D2B-8268-BDF5AC9479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2417</Words>
  <Characters>1378</Characters>
  <Application>Microsoft Office Word</Application>
  <DocSecurity>0</DocSecurity>
  <Lines>11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Razbadauskienė</dc:creator>
  <cp:lastModifiedBy>Simona Stankevičiūtė</cp:lastModifiedBy>
  <cp:revision>4</cp:revision>
  <cp:lastPrinted>2025-08-29T18:31:00Z</cp:lastPrinted>
  <dcterms:created xsi:type="dcterms:W3CDTF">2025-09-04T06:47:00Z</dcterms:created>
  <dcterms:modified xsi:type="dcterms:W3CDTF">2025-09-04T06:53:00Z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0x0101006D407E296A106948A0E3F0F54127E0C7</vt:lpwstr>
  </property>
  <property fmtid="{D5CDD505-2E9C-101B-9397-08002B2CF9AE}" pid="3" name="MediaServiceImageTags">
    <vt:lpwstr/>
  </property>
</Properties>
</file>