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3392B" w:rsidRPr="00F20915" w14:paraId="36FA3DD8" w14:textId="77777777" w:rsidTr="00E521FA">
        <w:tc>
          <w:tcPr>
            <w:tcW w:w="3209" w:type="dxa"/>
          </w:tcPr>
          <w:p w14:paraId="36FA3DD5" w14:textId="77777777" w:rsidR="00E3392B" w:rsidRPr="0083481E" w:rsidRDefault="00E3392B" w:rsidP="00E521FA">
            <w:pPr>
              <w:jc w:val="right"/>
              <w:rPr>
                <w:rFonts w:eastAsia="Times New Roman" w:hAnsi="Times New Roman" w:cs="Times New Roman"/>
                <w:sz w:val="24"/>
                <w:szCs w:val="24"/>
              </w:rPr>
            </w:pPr>
          </w:p>
        </w:tc>
        <w:tc>
          <w:tcPr>
            <w:tcW w:w="3209" w:type="dxa"/>
          </w:tcPr>
          <w:p w14:paraId="36FA3DD6" w14:textId="77777777" w:rsidR="00E3392B" w:rsidRPr="00F20915" w:rsidRDefault="00E3392B" w:rsidP="00E521FA">
            <w:pPr>
              <w:jc w:val="right"/>
              <w:rPr>
                <w:rFonts w:eastAsia="Times New Roman" w:hAnsi="Times New Roman" w:cs="Times New Roman"/>
                <w:sz w:val="24"/>
                <w:szCs w:val="24"/>
              </w:rPr>
            </w:pPr>
          </w:p>
        </w:tc>
        <w:tc>
          <w:tcPr>
            <w:tcW w:w="3210" w:type="dxa"/>
          </w:tcPr>
          <w:p w14:paraId="36FA3DD7" w14:textId="6687E49C" w:rsidR="00E3392B" w:rsidRPr="00F20915" w:rsidRDefault="00E3392B" w:rsidP="00E521FA">
            <w:pPr>
              <w:jc w:val="right"/>
              <w:rPr>
                <w:rFonts w:eastAsia="Times New Roman" w:hAnsi="Times New Roman" w:cs="Times New Roman"/>
                <w:sz w:val="24"/>
                <w:szCs w:val="24"/>
              </w:rPr>
            </w:pPr>
            <w:r w:rsidRPr="00F20915">
              <w:rPr>
                <w:rFonts w:eastAsia="Times New Roman" w:hAnsi="Times New Roman" w:cs="Times New Roman"/>
                <w:sz w:val="24"/>
                <w:szCs w:val="24"/>
              </w:rPr>
              <w:t xml:space="preserve">Annex 4 to the </w:t>
            </w:r>
            <w:r w:rsidR="00F20915">
              <w:rPr>
                <w:rFonts w:eastAsia="Times New Roman" w:hAnsi="Times New Roman" w:cs="Times New Roman"/>
                <w:sz w:val="24"/>
                <w:szCs w:val="24"/>
              </w:rPr>
              <w:t>Terms and</w:t>
            </w:r>
            <w:r w:rsidR="00F20915" w:rsidRPr="00F20915">
              <w:rPr>
                <w:rFonts w:eastAsia="Times New Roman" w:hAnsi="Times New Roman" w:cs="Times New Roman"/>
                <w:sz w:val="24"/>
                <w:szCs w:val="24"/>
              </w:rPr>
              <w:t xml:space="preserve"> </w:t>
            </w:r>
            <w:r w:rsidRPr="00F20915">
              <w:rPr>
                <w:rFonts w:eastAsia="Times New Roman" w:hAnsi="Times New Roman" w:cs="Times New Roman"/>
                <w:sz w:val="24"/>
                <w:szCs w:val="24"/>
              </w:rPr>
              <w:t>Conditions</w:t>
            </w:r>
            <w:r w:rsidR="00F20915">
              <w:rPr>
                <w:rFonts w:eastAsia="Times New Roman" w:hAnsi="Times New Roman" w:cs="Times New Roman"/>
                <w:sz w:val="24"/>
                <w:szCs w:val="24"/>
              </w:rPr>
              <w:t xml:space="preserve"> of the Procurement</w:t>
            </w:r>
            <w:r w:rsidRPr="00F20915">
              <w:rPr>
                <w:rFonts w:eastAsia="Times New Roman" w:hAnsi="Times New Roman" w:cs="Times New Roman"/>
                <w:sz w:val="24"/>
                <w:szCs w:val="24"/>
              </w:rPr>
              <w:t xml:space="preserve"> </w:t>
            </w:r>
          </w:p>
        </w:tc>
      </w:tr>
    </w:tbl>
    <w:p w14:paraId="36FA3DD9" w14:textId="065A19FB" w:rsidR="00E3392B" w:rsidRPr="00F20915" w:rsidRDefault="00E3392B" w:rsidP="00E3392B">
      <w:pPr>
        <w:spacing w:before="480" w:after="240"/>
        <w:jc w:val="center"/>
        <w:rPr>
          <w:rFonts w:ascii="Times New Roman" w:eastAsia="Times New Roman" w:hAnsi="Times New Roman" w:cs="Times New Roman"/>
          <w:b/>
          <w:bCs/>
          <w:sz w:val="24"/>
          <w:szCs w:val="24"/>
          <w:lang w:eastAsia="en-US"/>
        </w:rPr>
      </w:pPr>
      <w:r w:rsidRPr="00F20915">
        <w:rPr>
          <w:rFonts w:ascii="Times New Roman" w:eastAsia="Times New Roman" w:hAnsi="Times New Roman" w:cs="Times New Roman"/>
          <w:b/>
          <w:bCs/>
          <w:sz w:val="24"/>
          <w:szCs w:val="24"/>
        </w:rPr>
        <w:t>QUALIFICATION REQUIREMENTS</w:t>
      </w:r>
      <w:r w:rsidR="00F20915">
        <w:rPr>
          <w:rFonts w:ascii="Times New Roman" w:eastAsia="Times New Roman" w:hAnsi="Times New Roman" w:cs="Times New Roman"/>
          <w:b/>
          <w:bCs/>
          <w:sz w:val="24"/>
          <w:szCs w:val="24"/>
        </w:rPr>
        <w:t xml:space="preserve"> FOR SUPPLIERS</w:t>
      </w:r>
    </w:p>
    <w:p w14:paraId="36FA3DDA" w14:textId="49A35579" w:rsidR="00E3392B" w:rsidRPr="00F20915" w:rsidRDefault="00F20915" w:rsidP="00E3392B">
      <w:pPr>
        <w:tabs>
          <w:tab w:val="left" w:pos="426"/>
        </w:tabs>
        <w:spacing w:before="120"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w:t>
      </w:r>
      <w:r w:rsidR="00E3392B" w:rsidRPr="00F20915">
        <w:rPr>
          <w:rFonts w:ascii="Times New Roman" w:eastAsia="Times New Roman" w:hAnsi="Times New Roman" w:cs="Times New Roman"/>
          <w:b/>
          <w:bCs/>
          <w:sz w:val="24"/>
          <w:szCs w:val="24"/>
        </w:rPr>
        <w:t>ualification requirements</w:t>
      </w:r>
      <w:r>
        <w:rPr>
          <w:rFonts w:ascii="Times New Roman" w:eastAsia="Times New Roman" w:hAnsi="Times New Roman" w:cs="Times New Roman"/>
          <w:b/>
          <w:bCs/>
          <w:sz w:val="24"/>
          <w:szCs w:val="24"/>
        </w:rPr>
        <w:t xml:space="preserve"> for Suppliers</w:t>
      </w:r>
      <w:r w:rsidR="00E3392B" w:rsidRPr="00F20915">
        <w:rPr>
          <w:rFonts w:ascii="Times New Roman" w:eastAsia="Times New Roman" w:hAnsi="Times New Roman" w:cs="Times New Roman"/>
          <w:b/>
          <w:bCs/>
          <w:sz w:val="24"/>
          <w:szCs w:val="24"/>
        </w:rPr>
        <w:t xml:space="preserve"> </w:t>
      </w:r>
    </w:p>
    <w:tbl>
      <w:tblPr>
        <w:tblStyle w:val="Lentelstinklelis"/>
        <w:tblW w:w="5000" w:type="pct"/>
        <w:tblInd w:w="0" w:type="dxa"/>
        <w:tblLook w:val="04A0" w:firstRow="1" w:lastRow="0" w:firstColumn="1" w:lastColumn="0" w:noHBand="0" w:noVBand="1"/>
      </w:tblPr>
      <w:tblGrid>
        <w:gridCol w:w="1333"/>
        <w:gridCol w:w="4244"/>
        <w:gridCol w:w="4051"/>
      </w:tblGrid>
      <w:tr w:rsidR="00E3392B" w:rsidRPr="00F20915" w14:paraId="36FA3DDE" w14:textId="77777777" w:rsidTr="3839EA6B">
        <w:tc>
          <w:tcPr>
            <w:tcW w:w="692" w:type="pct"/>
          </w:tcPr>
          <w:p w14:paraId="36FA3DDB" w14:textId="77777777" w:rsidR="00E3392B" w:rsidRPr="00F20915" w:rsidRDefault="00E3392B" w:rsidP="00E521FA">
            <w:pPr>
              <w:tabs>
                <w:tab w:val="left" w:pos="426"/>
              </w:tabs>
              <w:spacing w:before="120" w:after="120"/>
              <w:jc w:val="center"/>
              <w:rPr>
                <w:rFonts w:eastAsia="Times New Roman" w:hAnsi="Times New Roman" w:cs="Times New Roman"/>
                <w:b/>
                <w:bCs/>
                <w:sz w:val="24"/>
                <w:szCs w:val="24"/>
              </w:rPr>
            </w:pPr>
            <w:r w:rsidRPr="00F20915">
              <w:rPr>
                <w:rFonts w:eastAsia="Times New Roman" w:hAnsi="Times New Roman" w:cs="Times New Roman"/>
                <w:b/>
                <w:bCs/>
                <w:sz w:val="24"/>
                <w:szCs w:val="24"/>
              </w:rPr>
              <w:t>No.</w:t>
            </w:r>
          </w:p>
        </w:tc>
        <w:tc>
          <w:tcPr>
            <w:tcW w:w="2204" w:type="pct"/>
            <w:vAlign w:val="center"/>
          </w:tcPr>
          <w:p w14:paraId="36FA3DDC" w14:textId="77777777" w:rsidR="00E3392B" w:rsidRPr="00F20915" w:rsidRDefault="00E3392B" w:rsidP="00E521FA">
            <w:pPr>
              <w:tabs>
                <w:tab w:val="left" w:pos="426"/>
              </w:tabs>
              <w:spacing w:before="120" w:after="120"/>
              <w:jc w:val="center"/>
              <w:rPr>
                <w:rFonts w:eastAsia="Times New Roman" w:hAnsi="Times New Roman" w:cs="Times New Roman"/>
                <w:b/>
                <w:bCs/>
                <w:sz w:val="24"/>
                <w:szCs w:val="24"/>
              </w:rPr>
            </w:pPr>
            <w:r w:rsidRPr="00F20915">
              <w:rPr>
                <w:rFonts w:eastAsia="Times New Roman" w:hAnsi="Times New Roman" w:cs="Times New Roman"/>
                <w:b/>
                <w:bCs/>
                <w:sz w:val="24"/>
                <w:szCs w:val="24"/>
              </w:rPr>
              <w:t>Requirement</w:t>
            </w:r>
          </w:p>
        </w:tc>
        <w:tc>
          <w:tcPr>
            <w:tcW w:w="2104" w:type="pct"/>
            <w:vAlign w:val="center"/>
          </w:tcPr>
          <w:p w14:paraId="36FA3DDD" w14:textId="77777777" w:rsidR="00E3392B" w:rsidRPr="00F20915" w:rsidRDefault="00E3392B" w:rsidP="00E521FA">
            <w:pPr>
              <w:tabs>
                <w:tab w:val="left" w:pos="426"/>
              </w:tabs>
              <w:spacing w:before="120" w:after="120"/>
              <w:jc w:val="center"/>
              <w:rPr>
                <w:rFonts w:eastAsia="Times New Roman" w:hAnsi="Times New Roman" w:cs="Times New Roman"/>
                <w:b/>
                <w:bCs/>
                <w:sz w:val="24"/>
                <w:szCs w:val="24"/>
              </w:rPr>
            </w:pPr>
            <w:r w:rsidRPr="00F20915">
              <w:rPr>
                <w:rFonts w:eastAsia="Times New Roman" w:hAnsi="Times New Roman" w:cs="Times New Roman"/>
                <w:b/>
                <w:bCs/>
                <w:sz w:val="24"/>
                <w:szCs w:val="24"/>
              </w:rPr>
              <w:t>Documents, data and information proving compliance with the qualification requirement</w:t>
            </w:r>
          </w:p>
        </w:tc>
      </w:tr>
      <w:tr w:rsidR="00E3392B" w:rsidRPr="00F20915" w14:paraId="36FA3DE0" w14:textId="77777777" w:rsidTr="3839EA6B">
        <w:tc>
          <w:tcPr>
            <w:tcW w:w="5000" w:type="pct"/>
            <w:gridSpan w:val="3"/>
          </w:tcPr>
          <w:p w14:paraId="36FA3DDF" w14:textId="468B94F8" w:rsidR="00E3392B" w:rsidRPr="00F20915" w:rsidRDefault="00E3392B" w:rsidP="00E521FA">
            <w:pPr>
              <w:tabs>
                <w:tab w:val="left" w:pos="426"/>
              </w:tabs>
              <w:spacing w:before="120" w:after="120"/>
              <w:jc w:val="center"/>
              <w:rPr>
                <w:rFonts w:eastAsia="Times New Roman" w:hAnsi="Times New Roman" w:cs="Times New Roman"/>
                <w:b/>
                <w:bCs/>
                <w:sz w:val="24"/>
                <w:szCs w:val="24"/>
              </w:rPr>
            </w:pPr>
            <w:r w:rsidRPr="00F20915">
              <w:rPr>
                <w:rFonts w:eastAsia="Times New Roman" w:hAnsi="Times New Roman" w:cs="Times New Roman"/>
                <w:b/>
                <w:bCs/>
                <w:sz w:val="24"/>
                <w:szCs w:val="24"/>
              </w:rPr>
              <w:t xml:space="preserve">Requirements for the right to </w:t>
            </w:r>
            <w:r w:rsidR="00F20915">
              <w:rPr>
                <w:rFonts w:eastAsia="Times New Roman" w:hAnsi="Times New Roman" w:cs="Times New Roman"/>
                <w:b/>
                <w:bCs/>
                <w:sz w:val="24"/>
                <w:szCs w:val="24"/>
              </w:rPr>
              <w:t>engage in the respective</w:t>
            </w:r>
            <w:r w:rsidRPr="00F20915">
              <w:rPr>
                <w:rFonts w:eastAsia="Times New Roman" w:hAnsi="Times New Roman" w:cs="Times New Roman"/>
                <w:b/>
                <w:bCs/>
                <w:sz w:val="24"/>
                <w:szCs w:val="24"/>
              </w:rPr>
              <w:t xml:space="preserve"> activit</w:t>
            </w:r>
            <w:r w:rsidR="00F20915">
              <w:rPr>
                <w:rFonts w:eastAsia="Times New Roman" w:hAnsi="Times New Roman" w:cs="Times New Roman"/>
                <w:b/>
                <w:bCs/>
                <w:sz w:val="24"/>
                <w:szCs w:val="24"/>
              </w:rPr>
              <w:t>ies</w:t>
            </w:r>
          </w:p>
        </w:tc>
      </w:tr>
      <w:tr w:rsidR="00E3392B" w:rsidRPr="00F20915" w14:paraId="36FA3DEC" w14:textId="77777777" w:rsidTr="3839EA6B">
        <w:tc>
          <w:tcPr>
            <w:tcW w:w="692" w:type="pct"/>
          </w:tcPr>
          <w:p w14:paraId="36FA3DE1" w14:textId="77777777" w:rsidR="00E3392B" w:rsidRPr="00F20915" w:rsidRDefault="00E3392B" w:rsidP="00E521FA">
            <w:pPr>
              <w:tabs>
                <w:tab w:val="left" w:pos="426"/>
              </w:tabs>
              <w:spacing w:before="120" w:after="120"/>
              <w:jc w:val="center"/>
              <w:rPr>
                <w:rFonts w:eastAsia="Times New Roman" w:hAnsi="Times New Roman" w:cs="Times New Roman"/>
                <w:sz w:val="24"/>
                <w:szCs w:val="24"/>
              </w:rPr>
            </w:pPr>
            <w:r w:rsidRPr="00F20915">
              <w:rPr>
                <w:rFonts w:eastAsia="Times New Roman" w:hAnsi="Times New Roman" w:cs="Times New Roman"/>
                <w:sz w:val="24"/>
                <w:szCs w:val="24"/>
              </w:rPr>
              <w:t>1.</w:t>
            </w:r>
          </w:p>
        </w:tc>
        <w:tc>
          <w:tcPr>
            <w:tcW w:w="2204" w:type="pct"/>
          </w:tcPr>
          <w:p w14:paraId="36FA3DE2" w14:textId="5BF6473F" w:rsidR="00E3392B" w:rsidRPr="00F20915" w:rsidRDefault="00E3392B" w:rsidP="00E521FA">
            <w:pPr>
              <w:autoSpaceDE w:val="0"/>
              <w:autoSpaceDN w:val="0"/>
              <w:spacing w:after="240"/>
              <w:jc w:val="both"/>
              <w:rPr>
                <w:rFonts w:eastAsia="Times New Roman" w:hAnsi="Times New Roman" w:cs="Times New Roman"/>
                <w:sz w:val="24"/>
                <w:szCs w:val="24"/>
              </w:rPr>
            </w:pPr>
            <w:r w:rsidRPr="00F20915">
              <w:rPr>
                <w:rFonts w:eastAsia="Times New Roman" w:hAnsi="Times New Roman" w:cs="Times New Roman"/>
                <w:sz w:val="24"/>
                <w:szCs w:val="24"/>
              </w:rPr>
              <w:t xml:space="preserve">The </w:t>
            </w:r>
            <w:r w:rsidR="00F20915">
              <w:rPr>
                <w:rFonts w:eastAsia="Times New Roman" w:hAnsi="Times New Roman" w:cs="Times New Roman"/>
                <w:sz w:val="24"/>
                <w:szCs w:val="24"/>
              </w:rPr>
              <w:t>S</w:t>
            </w:r>
            <w:r w:rsidRPr="00F20915">
              <w:rPr>
                <w:rFonts w:eastAsia="Times New Roman" w:hAnsi="Times New Roman" w:cs="Times New Roman"/>
                <w:sz w:val="24"/>
                <w:szCs w:val="24"/>
              </w:rPr>
              <w:t xml:space="preserve">upplier shall be entitled to carry on the </w:t>
            </w:r>
            <w:r w:rsidR="00F20915">
              <w:rPr>
                <w:rFonts w:eastAsia="Times New Roman" w:hAnsi="Times New Roman" w:cs="Times New Roman"/>
                <w:sz w:val="24"/>
                <w:szCs w:val="24"/>
              </w:rPr>
              <w:t>activities</w:t>
            </w:r>
            <w:r w:rsidR="00F20915" w:rsidRPr="00F20915">
              <w:rPr>
                <w:rFonts w:eastAsia="Times New Roman" w:hAnsi="Times New Roman" w:cs="Times New Roman"/>
                <w:sz w:val="24"/>
                <w:szCs w:val="24"/>
              </w:rPr>
              <w:t xml:space="preserve"> </w:t>
            </w:r>
            <w:r w:rsidRPr="00F20915">
              <w:rPr>
                <w:rFonts w:eastAsia="Times New Roman" w:hAnsi="Times New Roman" w:cs="Times New Roman"/>
                <w:sz w:val="24"/>
                <w:szCs w:val="24"/>
              </w:rPr>
              <w:t xml:space="preserve">of non-life accident and sickness insurance (health insurance) in all the EU and EEA countries of the </w:t>
            </w:r>
            <w:r w:rsidR="00F20915">
              <w:rPr>
                <w:rFonts w:eastAsia="Times New Roman" w:hAnsi="Times New Roman" w:cs="Times New Roman"/>
                <w:sz w:val="24"/>
                <w:szCs w:val="24"/>
              </w:rPr>
              <w:t>object</w:t>
            </w:r>
            <w:r w:rsidR="00F20915" w:rsidRPr="00F20915">
              <w:rPr>
                <w:rFonts w:eastAsia="Times New Roman" w:hAnsi="Times New Roman" w:cs="Times New Roman"/>
                <w:sz w:val="24"/>
                <w:szCs w:val="24"/>
              </w:rPr>
              <w:t xml:space="preserve"> </w:t>
            </w:r>
            <w:r w:rsidRPr="00F20915">
              <w:rPr>
                <w:rFonts w:eastAsia="Times New Roman" w:hAnsi="Times New Roman" w:cs="Times New Roman"/>
                <w:sz w:val="24"/>
                <w:szCs w:val="24"/>
              </w:rPr>
              <w:t xml:space="preserve">of the </w:t>
            </w:r>
            <w:r w:rsidR="00F20915">
              <w:rPr>
                <w:rFonts w:eastAsia="Times New Roman" w:hAnsi="Times New Roman" w:cs="Times New Roman"/>
                <w:sz w:val="24"/>
                <w:szCs w:val="24"/>
              </w:rPr>
              <w:t>procurement</w:t>
            </w:r>
            <w:r w:rsidR="00F20915" w:rsidRPr="00F20915">
              <w:rPr>
                <w:rFonts w:eastAsia="Times New Roman" w:hAnsi="Times New Roman" w:cs="Times New Roman"/>
                <w:sz w:val="24"/>
                <w:szCs w:val="24"/>
              </w:rPr>
              <w:t xml:space="preserve"> </w:t>
            </w:r>
            <w:r w:rsidRPr="00F20915">
              <w:rPr>
                <w:rFonts w:eastAsia="Times New Roman" w:hAnsi="Times New Roman" w:cs="Times New Roman"/>
                <w:sz w:val="24"/>
                <w:szCs w:val="24"/>
              </w:rPr>
              <w:t>for which the tender is submitted.</w:t>
            </w:r>
          </w:p>
          <w:p w14:paraId="36FA3DE3" w14:textId="12183367" w:rsidR="00E3392B" w:rsidRPr="00F20915" w:rsidRDefault="00E3392B" w:rsidP="00E521FA">
            <w:pPr>
              <w:tabs>
                <w:tab w:val="left" w:pos="426"/>
              </w:tabs>
              <w:spacing w:before="120" w:after="120"/>
              <w:jc w:val="both"/>
              <w:rPr>
                <w:rFonts w:eastAsia="Times New Roman" w:hAnsi="Times New Roman" w:cs="Times New Roman"/>
                <w:b/>
                <w:bCs/>
                <w:sz w:val="24"/>
                <w:szCs w:val="24"/>
              </w:rPr>
            </w:pPr>
            <w:r w:rsidRPr="00F20915">
              <w:rPr>
                <w:rFonts w:eastAsia="Times New Roman" w:hAnsi="Times New Roman" w:cs="Times New Roman"/>
                <w:sz w:val="24"/>
                <w:szCs w:val="24"/>
              </w:rPr>
              <w:t xml:space="preserve">The legal basis for the required activity is Article 3(1) </w:t>
            </w:r>
            <w:r w:rsidR="009D315C" w:rsidRPr="00F20915">
              <w:rPr>
                <w:rFonts w:eastAsia="Times New Roman" w:hAnsi="Times New Roman" w:cs="Times New Roman"/>
                <w:sz w:val="24"/>
                <w:szCs w:val="24"/>
              </w:rPr>
              <w:t xml:space="preserve">and Article 12(1) </w:t>
            </w:r>
            <w:r w:rsidRPr="00F20915">
              <w:rPr>
                <w:rFonts w:eastAsia="Times New Roman" w:hAnsi="Times New Roman" w:cs="Times New Roman"/>
                <w:sz w:val="24"/>
                <w:szCs w:val="24"/>
              </w:rPr>
              <w:t xml:space="preserve">of the </w:t>
            </w:r>
            <w:r w:rsidR="00F20915">
              <w:rPr>
                <w:rFonts w:eastAsia="Times New Roman" w:hAnsi="Times New Roman" w:cs="Times New Roman"/>
                <w:sz w:val="24"/>
                <w:szCs w:val="24"/>
              </w:rPr>
              <w:t xml:space="preserve">Republic of Lithuania </w:t>
            </w:r>
            <w:r w:rsidRPr="00F20915">
              <w:rPr>
                <w:rFonts w:eastAsia="Times New Roman" w:hAnsi="Times New Roman" w:cs="Times New Roman"/>
                <w:sz w:val="24"/>
                <w:szCs w:val="24"/>
              </w:rPr>
              <w:t>Law on Insurance</w:t>
            </w:r>
            <w:r w:rsidR="009D315C" w:rsidRPr="00F20915">
              <w:rPr>
                <w:rFonts w:eastAsia="Times New Roman" w:hAnsi="Times New Roman" w:cs="Times New Roman"/>
                <w:sz w:val="24"/>
                <w:szCs w:val="24"/>
              </w:rPr>
              <w:t>.</w:t>
            </w:r>
          </w:p>
        </w:tc>
        <w:tc>
          <w:tcPr>
            <w:tcW w:w="2104" w:type="pct"/>
          </w:tcPr>
          <w:p w14:paraId="36FA3DE4" w14:textId="77777777" w:rsidR="00E3392B" w:rsidRPr="00F20915" w:rsidRDefault="00E3392B" w:rsidP="00E521FA">
            <w:pPr>
              <w:tabs>
                <w:tab w:val="left" w:pos="426"/>
              </w:tabs>
              <w:spacing w:before="120" w:after="120"/>
              <w:jc w:val="both"/>
              <w:rPr>
                <w:rFonts w:eastAsia="Times New Roman" w:hAnsi="Times New Roman" w:cs="Times New Roman"/>
                <w:color w:val="000000"/>
                <w:sz w:val="24"/>
                <w:szCs w:val="24"/>
              </w:rPr>
            </w:pPr>
            <w:r w:rsidRPr="00F20915">
              <w:rPr>
                <w:rFonts w:eastAsia="Times New Roman" w:hAnsi="Times New Roman" w:cs="Times New Roman"/>
                <w:color w:val="000000" w:themeColor="text1"/>
                <w:sz w:val="24"/>
                <w:szCs w:val="24"/>
              </w:rPr>
              <w:t>Licence issued by the insurance supervisory authority for the provision of health insurance services.</w:t>
            </w:r>
          </w:p>
          <w:p w14:paraId="36FA3DE5" w14:textId="45789F07" w:rsidR="00E3392B" w:rsidRPr="00F20915" w:rsidRDefault="00E3392B" w:rsidP="00E521FA">
            <w:pPr>
              <w:autoSpaceDE w:val="0"/>
              <w:autoSpaceDN w:val="0"/>
              <w:adjustRightInd w:val="0"/>
              <w:jc w:val="both"/>
              <w:rPr>
                <w:rFonts w:eastAsia="Times New Roman" w:hAnsi="Times New Roman" w:cs="Times New Roman"/>
                <w:sz w:val="24"/>
                <w:szCs w:val="24"/>
              </w:rPr>
            </w:pPr>
            <w:r w:rsidRPr="00F20915">
              <w:rPr>
                <w:rFonts w:eastAsia="Times New Roman" w:hAnsi="Times New Roman" w:cs="Times New Roman"/>
                <w:sz w:val="24"/>
                <w:szCs w:val="24"/>
              </w:rPr>
              <w:t xml:space="preserve">If the </w:t>
            </w:r>
            <w:r w:rsidR="00F20915">
              <w:rPr>
                <w:rFonts w:eastAsia="Times New Roman" w:hAnsi="Times New Roman" w:cs="Times New Roman"/>
                <w:sz w:val="24"/>
                <w:szCs w:val="24"/>
              </w:rPr>
              <w:t>S</w:t>
            </w:r>
            <w:r w:rsidRPr="00F20915">
              <w:rPr>
                <w:rFonts w:eastAsia="Times New Roman" w:hAnsi="Times New Roman" w:cs="Times New Roman"/>
                <w:sz w:val="24"/>
                <w:szCs w:val="24"/>
              </w:rPr>
              <w:t xml:space="preserve">upplier is listed in the database administered by the Bank of Lithuania: </w:t>
            </w:r>
            <w:hyperlink r:id="rId7">
              <w:r w:rsidRPr="00F20915">
                <w:rPr>
                  <w:rStyle w:val="Hipersaitas"/>
                  <w:rFonts w:eastAsia="Times New Roman" w:hAnsi="Times New Roman" w:cs="Times New Roman"/>
                  <w:sz w:val="24"/>
                  <w:szCs w:val="24"/>
                  <w:u w:val="single"/>
                </w:rPr>
                <w:t>https:</w:t>
              </w:r>
            </w:hyperlink>
            <w:r w:rsidRPr="00F20915">
              <w:rPr>
                <w:rFonts w:eastAsia="Times New Roman" w:hAnsi="Times New Roman" w:cs="Times New Roman"/>
                <w:color w:val="000000" w:themeColor="text1"/>
                <w:sz w:val="24"/>
                <w:szCs w:val="24"/>
                <w:u w:val="single"/>
              </w:rPr>
              <w:t>//</w:t>
            </w:r>
            <w:proofErr w:type="spellStart"/>
            <w:r w:rsidRPr="00F20915">
              <w:rPr>
                <w:rFonts w:eastAsia="Times New Roman" w:hAnsi="Times New Roman" w:cs="Times New Roman"/>
                <w:color w:val="000000" w:themeColor="text1"/>
                <w:sz w:val="24"/>
                <w:szCs w:val="24"/>
                <w:u w:val="single"/>
              </w:rPr>
              <w:t>www.lb.lt</w:t>
            </w:r>
            <w:proofErr w:type="spellEnd"/>
            <w:r w:rsidRPr="00F20915">
              <w:rPr>
                <w:rFonts w:eastAsia="Times New Roman" w:hAnsi="Times New Roman" w:cs="Times New Roman"/>
                <w:color w:val="000000" w:themeColor="text1"/>
                <w:sz w:val="24"/>
                <w:szCs w:val="24"/>
                <w:u w:val="single"/>
              </w:rPr>
              <w:t>/</w:t>
            </w:r>
            <w:proofErr w:type="spellStart"/>
            <w:r w:rsidRPr="00F20915">
              <w:rPr>
                <w:rFonts w:eastAsia="Times New Roman" w:hAnsi="Times New Roman" w:cs="Times New Roman"/>
                <w:color w:val="000000" w:themeColor="text1"/>
                <w:sz w:val="24"/>
                <w:szCs w:val="24"/>
                <w:u w:val="single"/>
              </w:rPr>
              <w:t>lt</w:t>
            </w:r>
            <w:proofErr w:type="spellEnd"/>
            <w:r w:rsidRPr="00F20915">
              <w:rPr>
                <w:rFonts w:eastAsia="Times New Roman" w:hAnsi="Times New Roman" w:cs="Times New Roman"/>
                <w:color w:val="000000" w:themeColor="text1"/>
                <w:sz w:val="24"/>
                <w:szCs w:val="24"/>
                <w:u w:val="single"/>
              </w:rPr>
              <w:t>/</w:t>
            </w:r>
            <w:proofErr w:type="spellStart"/>
            <w:r w:rsidRPr="00F20915">
              <w:rPr>
                <w:rFonts w:eastAsia="Times New Roman" w:hAnsi="Times New Roman" w:cs="Times New Roman"/>
                <w:color w:val="000000" w:themeColor="text1"/>
                <w:sz w:val="24"/>
                <w:szCs w:val="24"/>
                <w:u w:val="single"/>
              </w:rPr>
              <w:t>finansu-rinku-dalyviai?ff</w:t>
            </w:r>
            <w:proofErr w:type="spellEnd"/>
            <w:r w:rsidRPr="00F20915">
              <w:rPr>
                <w:rFonts w:eastAsia="Times New Roman" w:hAnsi="Times New Roman" w:cs="Times New Roman"/>
                <w:color w:val="000000" w:themeColor="text1"/>
                <w:sz w:val="24"/>
                <w:szCs w:val="24"/>
                <w:u w:val="single"/>
              </w:rPr>
              <w:t>=</w:t>
            </w:r>
            <w:proofErr w:type="spellStart"/>
            <w:r w:rsidRPr="00F20915">
              <w:rPr>
                <w:rFonts w:eastAsia="Times New Roman" w:hAnsi="Times New Roman" w:cs="Times New Roman"/>
                <w:color w:val="000000" w:themeColor="text1"/>
                <w:sz w:val="24"/>
                <w:szCs w:val="24"/>
                <w:u w:val="single"/>
              </w:rPr>
              <w:t>1&amp;market</w:t>
            </w:r>
            <w:proofErr w:type="spellEnd"/>
            <w:r w:rsidRPr="00F20915">
              <w:rPr>
                <w:rFonts w:eastAsia="Times New Roman" w:hAnsi="Times New Roman" w:cs="Times New Roman"/>
                <w:color w:val="000000" w:themeColor="text1"/>
                <w:sz w:val="24"/>
                <w:szCs w:val="24"/>
                <w:u w:val="single"/>
              </w:rPr>
              <w:t xml:space="preserve">=2, </w:t>
            </w:r>
          </w:p>
          <w:p w14:paraId="36FA3DE6" w14:textId="07DDD937" w:rsidR="00E3392B" w:rsidRPr="00F20915" w:rsidRDefault="00E3392B" w:rsidP="00E521FA">
            <w:pPr>
              <w:autoSpaceDE w:val="0"/>
              <w:autoSpaceDN w:val="0"/>
              <w:adjustRightInd w:val="0"/>
              <w:jc w:val="both"/>
              <w:rPr>
                <w:rFonts w:eastAsia="Times New Roman" w:hAnsi="Times New Roman" w:cs="Times New Roman"/>
                <w:sz w:val="24"/>
                <w:szCs w:val="24"/>
              </w:rPr>
            </w:pPr>
            <w:r w:rsidRPr="00F20915">
              <w:rPr>
                <w:rFonts w:eastAsia="Times New Roman" w:hAnsi="Times New Roman" w:cs="Times New Roman"/>
                <w:sz w:val="24"/>
                <w:szCs w:val="24"/>
              </w:rPr>
              <w:t xml:space="preserve">the </w:t>
            </w:r>
            <w:r w:rsidR="00F20915">
              <w:rPr>
                <w:rFonts w:eastAsia="Times New Roman" w:hAnsi="Times New Roman" w:cs="Times New Roman"/>
                <w:sz w:val="24"/>
                <w:szCs w:val="24"/>
              </w:rPr>
              <w:t>C</w:t>
            </w:r>
            <w:r w:rsidRPr="00F20915">
              <w:rPr>
                <w:rFonts w:eastAsia="Times New Roman" w:hAnsi="Times New Roman" w:cs="Times New Roman"/>
                <w:sz w:val="24"/>
                <w:szCs w:val="24"/>
              </w:rPr>
              <w:t xml:space="preserve">ontracting </w:t>
            </w:r>
            <w:r w:rsidR="00F20915">
              <w:rPr>
                <w:rFonts w:eastAsia="Times New Roman" w:hAnsi="Times New Roman" w:cs="Times New Roman"/>
                <w:sz w:val="24"/>
                <w:szCs w:val="24"/>
              </w:rPr>
              <w:t>A</w:t>
            </w:r>
            <w:r w:rsidRPr="00F20915">
              <w:rPr>
                <w:rFonts w:eastAsia="Times New Roman" w:hAnsi="Times New Roman" w:cs="Times New Roman"/>
                <w:sz w:val="24"/>
                <w:szCs w:val="24"/>
              </w:rPr>
              <w:t xml:space="preserve">uthority </w:t>
            </w:r>
            <w:r w:rsidR="00F20915">
              <w:rPr>
                <w:rFonts w:eastAsia="Times New Roman" w:hAnsi="Times New Roman" w:cs="Times New Roman"/>
                <w:sz w:val="24"/>
                <w:szCs w:val="24"/>
              </w:rPr>
              <w:t>shall</w:t>
            </w:r>
            <w:r w:rsidRPr="00F20915">
              <w:rPr>
                <w:rFonts w:eastAsia="Times New Roman" w:hAnsi="Times New Roman" w:cs="Times New Roman"/>
                <w:sz w:val="24"/>
                <w:szCs w:val="24"/>
              </w:rPr>
              <w:t xml:space="preserve"> verify the right to </w:t>
            </w:r>
            <w:r w:rsidR="00F20915">
              <w:rPr>
                <w:rFonts w:eastAsia="Times New Roman" w:hAnsi="Times New Roman" w:cs="Times New Roman"/>
                <w:sz w:val="24"/>
                <w:szCs w:val="24"/>
              </w:rPr>
              <w:t>c</w:t>
            </w:r>
            <w:r w:rsidRPr="00F20915">
              <w:rPr>
                <w:rFonts w:eastAsia="Times New Roman" w:hAnsi="Times New Roman" w:cs="Times New Roman"/>
                <w:sz w:val="24"/>
                <w:szCs w:val="24"/>
              </w:rPr>
              <w:t>arry out the required activities</w:t>
            </w:r>
            <w:r w:rsidR="00F20915">
              <w:rPr>
                <w:rFonts w:eastAsia="Times New Roman" w:hAnsi="Times New Roman" w:cs="Times New Roman"/>
                <w:sz w:val="24"/>
                <w:szCs w:val="24"/>
              </w:rPr>
              <w:t xml:space="preserve"> by itself.</w:t>
            </w:r>
          </w:p>
          <w:p w14:paraId="36FA3DE7" w14:textId="77777777" w:rsidR="00E3392B" w:rsidRPr="00F20915" w:rsidRDefault="00E3392B" w:rsidP="00E521FA">
            <w:pPr>
              <w:autoSpaceDE w:val="0"/>
              <w:autoSpaceDN w:val="0"/>
              <w:adjustRightInd w:val="0"/>
              <w:jc w:val="both"/>
              <w:rPr>
                <w:rFonts w:eastAsia="Times New Roman" w:hAnsi="Times New Roman" w:cs="Times New Roman"/>
                <w:sz w:val="24"/>
                <w:szCs w:val="24"/>
              </w:rPr>
            </w:pPr>
          </w:p>
          <w:p w14:paraId="36FA3DE9" w14:textId="3DF4B85C" w:rsidR="00E3392B" w:rsidRPr="0083481E" w:rsidRDefault="00E3392B" w:rsidP="00E52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en-GB"/>
              </w:rPr>
            </w:pPr>
            <w:r w:rsidRPr="0083481E">
              <w:rPr>
                <w:rFonts w:ascii="Times New Roman" w:eastAsia="Times New Roman" w:hAnsi="Times New Roman" w:cs="Times New Roman"/>
                <w:color w:val="auto"/>
                <w:sz w:val="24"/>
                <w:szCs w:val="24"/>
                <w:lang w:val="en-GB"/>
              </w:rPr>
              <w:t xml:space="preserve">Foreign suppliers, if they are not listed in the </w:t>
            </w:r>
            <w:r w:rsidRPr="0083481E">
              <w:rPr>
                <w:rFonts w:ascii="Times New Roman" w:eastAsia="Times New Roman" w:hAnsi="Times New Roman" w:cs="Times New Roman"/>
                <w:sz w:val="24"/>
                <w:szCs w:val="24"/>
                <w:lang w:val="en-GB"/>
              </w:rPr>
              <w:t xml:space="preserve">database administered by the Bank of Lithuania, </w:t>
            </w:r>
            <w:r w:rsidRPr="0083481E">
              <w:rPr>
                <w:rFonts w:ascii="Times New Roman" w:eastAsia="Times New Roman" w:hAnsi="Times New Roman" w:cs="Times New Roman"/>
                <w:color w:val="auto"/>
                <w:sz w:val="24"/>
                <w:szCs w:val="24"/>
                <w:lang w:val="en-GB"/>
              </w:rPr>
              <w:t>shall provide a copy of the insurance licence (permit) or equivalent document issued by the insurance supervisory authority or the relevant authority of the foreign country in which the supplier is registered, granting the right to provide the insurance services referred to in this qualification requirement.</w:t>
            </w:r>
          </w:p>
          <w:p w14:paraId="36FA3DEA" w14:textId="77777777" w:rsidR="00E3392B" w:rsidRPr="0083481E" w:rsidRDefault="00E3392B" w:rsidP="00E52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en-GB"/>
              </w:rPr>
            </w:pPr>
          </w:p>
          <w:p w14:paraId="36FA3DEB" w14:textId="2501708F" w:rsidR="00E3392B" w:rsidRPr="00F20915" w:rsidRDefault="00E3392B" w:rsidP="00E521FA">
            <w:pPr>
              <w:tabs>
                <w:tab w:val="left" w:pos="426"/>
              </w:tabs>
              <w:spacing w:before="120" w:after="120"/>
              <w:jc w:val="both"/>
              <w:rPr>
                <w:rFonts w:eastAsia="Times New Roman" w:hAnsi="Times New Roman" w:cs="Times New Roman"/>
                <w:b/>
                <w:bCs/>
                <w:sz w:val="24"/>
                <w:szCs w:val="24"/>
              </w:rPr>
            </w:pPr>
            <w:r w:rsidRPr="00F20915">
              <w:rPr>
                <w:rFonts w:eastAsia="Times New Roman" w:hAnsi="Times New Roman" w:cs="Times New Roman"/>
                <w:sz w:val="24"/>
                <w:szCs w:val="24"/>
              </w:rPr>
              <w:t xml:space="preserve">Documents issued by the competent authorities of the </w:t>
            </w:r>
            <w:r w:rsidR="00F20915">
              <w:rPr>
                <w:rFonts w:eastAsia="Times New Roman" w:hAnsi="Times New Roman" w:cs="Times New Roman"/>
                <w:sz w:val="24"/>
                <w:szCs w:val="24"/>
              </w:rPr>
              <w:t>S</w:t>
            </w:r>
            <w:r w:rsidRPr="00F20915">
              <w:rPr>
                <w:rFonts w:eastAsia="Times New Roman" w:hAnsi="Times New Roman" w:cs="Times New Roman"/>
                <w:sz w:val="24"/>
                <w:szCs w:val="24"/>
              </w:rPr>
              <w:t>upplier</w:t>
            </w:r>
            <w:r w:rsidR="00F20915">
              <w:rPr>
                <w:rFonts w:eastAsia="Times New Roman" w:hAnsi="Times New Roman" w:cs="Times New Roman"/>
                <w:sz w:val="24"/>
                <w:szCs w:val="24"/>
              </w:rPr>
              <w:t>’</w:t>
            </w:r>
            <w:r w:rsidRPr="00F20915">
              <w:rPr>
                <w:rFonts w:eastAsia="Times New Roman" w:hAnsi="Times New Roman" w:cs="Times New Roman"/>
                <w:sz w:val="24"/>
                <w:szCs w:val="24"/>
              </w:rPr>
              <w:t xml:space="preserve">s country of origin concerning the right to engage in activities related to the subject of the contract shall be accepted from suppliers registered in a Member State of the European Union, in a Member State of the European Economic Area, in the Swiss Confederation, or in a third </w:t>
            </w:r>
            <w:r w:rsidRPr="00F20915">
              <w:rPr>
                <w:rFonts w:eastAsia="Times New Roman" w:hAnsi="Times New Roman" w:cs="Times New Roman"/>
                <w:sz w:val="24"/>
                <w:szCs w:val="24"/>
              </w:rPr>
              <w:lastRenderedPageBreak/>
              <w:t>country, but such foreign supplier shall have the obligation to apply to the relevant authority of the Republic of Lithuania for the issue of a recognition of the right to engage in the activity related to the subject of the contract within a reasonable time. If, due to technical difficulties, the contracting authority is unable to verify the data on the supplier which are freely available, it will ask the supplier to provide documents proving the supplier</w:t>
            </w:r>
            <w:r w:rsidR="00F20915">
              <w:rPr>
                <w:rFonts w:eastAsia="Times New Roman" w:hAnsi="Times New Roman" w:cs="Times New Roman"/>
                <w:sz w:val="24"/>
                <w:szCs w:val="24"/>
              </w:rPr>
              <w:t>’</w:t>
            </w:r>
            <w:r w:rsidRPr="00F20915">
              <w:rPr>
                <w:rFonts w:eastAsia="Times New Roman" w:hAnsi="Times New Roman" w:cs="Times New Roman"/>
                <w:sz w:val="24"/>
                <w:szCs w:val="24"/>
              </w:rPr>
              <w:t>s right to carry out the required activities: the insurance undertaking must provide an insurance operating licence issued by the Bank of Lithuania or the branch of a third country insurance undertaking must provide a branch insurance authorisation issued by the Bank of Lithuania for insurance activities of the branch, corresponding to the insurance services referred to in this qualification requirement.</w:t>
            </w:r>
          </w:p>
        </w:tc>
      </w:tr>
    </w:tbl>
    <w:p w14:paraId="36FA3DED" w14:textId="77777777" w:rsidR="00E3392B" w:rsidRPr="00F20915" w:rsidRDefault="00E3392B" w:rsidP="00E3392B">
      <w:pPr>
        <w:rPr>
          <w:rFonts w:ascii="Times New Roman" w:eastAsia="Times New Roman" w:hAnsi="Times New Roman" w:cs="Times New Roman"/>
          <w:sz w:val="24"/>
          <w:szCs w:val="24"/>
        </w:rPr>
      </w:pPr>
    </w:p>
    <w:p w14:paraId="36FA3DEE" w14:textId="77777777" w:rsidR="00E3392B" w:rsidRPr="00F20915" w:rsidRDefault="00E3392B" w:rsidP="00E3392B">
      <w:pPr>
        <w:spacing w:before="480"/>
        <w:jc w:val="center"/>
        <w:rPr>
          <w:rFonts w:ascii="Times New Roman" w:eastAsia="Times New Roman" w:hAnsi="Times New Roman" w:cs="Times New Roman"/>
        </w:rPr>
      </w:pPr>
      <w:r w:rsidRPr="00F20915">
        <w:rPr>
          <w:rFonts w:ascii="Times New Roman" w:eastAsia="Times New Roman" w:hAnsi="Times New Roman" w:cs="Times New Roman"/>
        </w:rPr>
        <w:t>_______________________</w:t>
      </w:r>
    </w:p>
    <w:p w14:paraId="36FA3DEF" w14:textId="77777777" w:rsidR="004B3132" w:rsidRDefault="004B3132"/>
    <w:sectPr w:rsidR="004B31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04"/>
    <w:rsid w:val="000E1E2B"/>
    <w:rsid w:val="00173FB1"/>
    <w:rsid w:val="00187EE5"/>
    <w:rsid w:val="002B3C4D"/>
    <w:rsid w:val="00382EB6"/>
    <w:rsid w:val="00413C04"/>
    <w:rsid w:val="004B3132"/>
    <w:rsid w:val="007E6112"/>
    <w:rsid w:val="0083481E"/>
    <w:rsid w:val="009D315C"/>
    <w:rsid w:val="00AA1DE2"/>
    <w:rsid w:val="00C5196C"/>
    <w:rsid w:val="00C927CF"/>
    <w:rsid w:val="00D57D36"/>
    <w:rsid w:val="00E3392B"/>
    <w:rsid w:val="00F20915"/>
    <w:rsid w:val="00F43655"/>
    <w:rsid w:val="00F64855"/>
    <w:rsid w:val="3839E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3DD5"/>
  <w15:chartTrackingRefBased/>
  <w15:docId w15:val="{9D5B05ED-6B6A-4225-BC3C-E9A211E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2B"/>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413C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13C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3C0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3C0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413C0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413C0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413C0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413C0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413C0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C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3C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3C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3C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3C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3C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C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C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C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C0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3C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C0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3C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C0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413C04"/>
    <w:rPr>
      <w:i/>
      <w:iCs/>
      <w:color w:val="404040" w:themeColor="text1" w:themeTint="BF"/>
    </w:rPr>
  </w:style>
  <w:style w:type="paragraph" w:styleId="Sraopastraipa">
    <w:name w:val="List Paragraph"/>
    <w:basedOn w:val="prastasis"/>
    <w:uiPriority w:val="34"/>
    <w:qFormat/>
    <w:rsid w:val="00413C04"/>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413C04"/>
    <w:rPr>
      <w:i/>
      <w:iCs/>
      <w:color w:val="0F4761" w:themeColor="accent1" w:themeShade="BF"/>
    </w:rPr>
  </w:style>
  <w:style w:type="paragraph" w:styleId="Iskirtacitata">
    <w:name w:val="Intense Quote"/>
    <w:basedOn w:val="prastasis"/>
    <w:next w:val="prastasis"/>
    <w:link w:val="IskirtacitataDiagrama"/>
    <w:uiPriority w:val="30"/>
    <w:qFormat/>
    <w:rsid w:val="00413C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413C04"/>
    <w:rPr>
      <w:i/>
      <w:iCs/>
      <w:color w:val="0F4761" w:themeColor="accent1" w:themeShade="BF"/>
    </w:rPr>
  </w:style>
  <w:style w:type="character" w:styleId="Rykinuoroda">
    <w:name w:val="Intense Reference"/>
    <w:basedOn w:val="Numatytasispastraiposriftas"/>
    <w:uiPriority w:val="32"/>
    <w:qFormat/>
    <w:rsid w:val="00413C04"/>
    <w:rPr>
      <w:b/>
      <w:bCs/>
      <w:smallCaps/>
      <w:color w:val="0F4761" w:themeColor="accent1" w:themeShade="BF"/>
      <w:spacing w:val="5"/>
    </w:rPr>
  </w:style>
  <w:style w:type="character" w:styleId="Hipersaitas">
    <w:name w:val="Hyperlink"/>
    <w:basedOn w:val="Numatytasispastraiposriftas"/>
    <w:unhideWhenUsed/>
    <w:rsid w:val="00E3392B"/>
    <w:rPr>
      <w:strike w:val="0"/>
      <w:dstrike w:val="0"/>
      <w:color w:val="auto"/>
      <w:u w:val="none"/>
      <w:effect w:val="none"/>
    </w:rPr>
  </w:style>
  <w:style w:type="table" w:styleId="Lentelstinklelis">
    <w:name w:val="Table Grid"/>
    <w:basedOn w:val="prastojilentel"/>
    <w:uiPriority w:val="39"/>
    <w:rsid w:val="00E3392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E3392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Pataisymai">
    <w:name w:val="Revision"/>
    <w:hidden/>
    <w:uiPriority w:val="99"/>
    <w:semiHidden/>
    <w:rsid w:val="009D315C"/>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b.lt/lt/finansu-rinku-dalyviai?ff=1&amp;market=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CBA2FD5C-9F57-49B8-9E1D-16B8049574B9}"/>
</file>

<file path=customXml/itemProps2.xml><?xml version="1.0" encoding="utf-8"?>
<ds:datastoreItem xmlns:ds="http://schemas.openxmlformats.org/officeDocument/2006/customXml" ds:itemID="{B8A46180-515D-44B9-80CC-F64AC9410FE3}">
  <ds:schemaRefs>
    <ds:schemaRef ds:uri="http://schemas.microsoft.com/sharepoint/v3/contenttype/forms"/>
  </ds:schemaRefs>
</ds:datastoreItem>
</file>

<file path=customXml/itemProps3.xml><?xml version="1.0" encoding="utf-8"?>
<ds:datastoreItem xmlns:ds="http://schemas.openxmlformats.org/officeDocument/2006/customXml" ds:itemID="{43A5CDF2-C6F6-47B2-BB96-5652A47A61D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2233</Characters>
  <Application>Microsoft Office Word</Application>
  <DocSecurity>0</DocSecurity>
  <Lines>79</Lines>
  <Paragraphs>16</Paragraphs>
  <ScaleCrop>false</ScaleCrop>
  <Company>LR URM</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docId:6DFE5BA7300751E0B2B6ADC6C7FC7342</cp:keywords>
  <dc:description/>
  <cp:lastModifiedBy>T S</cp:lastModifiedBy>
  <cp:revision>3</cp:revision>
  <dcterms:created xsi:type="dcterms:W3CDTF">2025-08-21T11:48:00Z</dcterms:created>
  <dcterms:modified xsi:type="dcterms:W3CDTF">2025-08-21T11:49:00Z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