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68" w:type="dxa"/>
        <w:tblInd w:w="7320" w:type="dxa"/>
        <w:tblLook w:val="01E0" w:firstRow="1" w:lastRow="1" w:firstColumn="1" w:lastColumn="1" w:noHBand="0" w:noVBand="0"/>
      </w:tblPr>
      <w:tblGrid>
        <w:gridCol w:w="6468"/>
      </w:tblGrid>
      <w:tr w:rsidR="00EB7BAB" w:rsidRPr="00EB7BAB" w:rsidTr="003D4DCD">
        <w:tc>
          <w:tcPr>
            <w:tcW w:w="6468" w:type="dxa"/>
          </w:tcPr>
          <w:p w:rsidR="00EB7BAB" w:rsidRPr="00EB7BAB" w:rsidRDefault="00012CA9" w:rsidP="00EB7BAB">
            <w:pPr>
              <w:rPr>
                <w:sz w:val="22"/>
              </w:rPr>
            </w:pPr>
            <w:r>
              <w:rPr>
                <w:sz w:val="22"/>
              </w:rPr>
              <w:t>Pirkim</w:t>
            </w:r>
            <w:r w:rsidR="00EB7BAB" w:rsidRPr="00EB7BAB">
              <w:rPr>
                <w:sz w:val="22"/>
              </w:rPr>
              <w:t>o sąlygų</w:t>
            </w:r>
          </w:p>
        </w:tc>
      </w:tr>
      <w:tr w:rsidR="00EB7BAB" w:rsidRPr="00EB7BAB" w:rsidTr="003D4DCD">
        <w:tc>
          <w:tcPr>
            <w:tcW w:w="6468" w:type="dxa"/>
          </w:tcPr>
          <w:p w:rsidR="00EB7BAB" w:rsidRPr="00EB7BAB" w:rsidRDefault="00012CA9" w:rsidP="00EB7BAB">
            <w:pPr>
              <w:rPr>
                <w:sz w:val="22"/>
              </w:rPr>
            </w:pPr>
            <w:r>
              <w:rPr>
                <w:sz w:val="22"/>
              </w:rPr>
              <w:t>3</w:t>
            </w:r>
            <w:r w:rsidR="00EB7BAB" w:rsidRPr="00EB7BAB">
              <w:rPr>
                <w:sz w:val="22"/>
              </w:rPr>
              <w:t xml:space="preserve"> priedas</w:t>
            </w:r>
          </w:p>
        </w:tc>
      </w:tr>
    </w:tbl>
    <w:p w:rsidR="005C316B" w:rsidRDefault="005C316B" w:rsidP="00E520D1">
      <w:pPr>
        <w:jc w:val="center"/>
        <w:rPr>
          <w:b/>
        </w:rPr>
      </w:pPr>
    </w:p>
    <w:p w:rsidR="005C316B" w:rsidRDefault="005C316B"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762794">
        <w:rPr>
          <w:b/>
        </w:rPr>
        <w:t>E</w:t>
      </w:r>
      <w:r w:rsidRPr="00EA73AC">
        <w:rPr>
          <w:b/>
        </w:rPr>
        <w:t xml:space="preserve">S </w:t>
      </w:r>
      <w:r w:rsidR="00012CA9">
        <w:rPr>
          <w:b/>
        </w:rPr>
        <w:t>PROJEKTAS</w:t>
      </w:r>
    </w:p>
    <w:p w:rsidR="00E520D1" w:rsidRDefault="00E520D1" w:rsidP="00E520D1">
      <w:pPr>
        <w:rPr>
          <w:sz w:val="22"/>
          <w:szCs w:val="22"/>
        </w:rPr>
      </w:pP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F64C29" w:rsidRDefault="00F64C29" w:rsidP="00F64C29">
      <w:pPr>
        <w:jc w:val="both"/>
      </w:pPr>
      <w:r>
        <w:rPr>
          <w:b/>
        </w:rPr>
        <w:t xml:space="preserve">Gynybos resursų agentūra prie Krašto apsaugos ministerijos </w:t>
      </w:r>
      <w:r>
        <w:t xml:space="preserve">(toliau – GRA), atstovaujama GRA direktoriaus ____________, veikiančio pagal Gynybos resursų agentūros nuostatus (toliau – </w:t>
      </w:r>
      <w:r>
        <w:rPr>
          <w:b/>
        </w:rPr>
        <w:t>Pirkėjas</w:t>
      </w:r>
      <w:r>
        <w:t>), ir ________________, atstovaujama (pareigos, vardas, pavardė), veikiančio (-</w:t>
      </w:r>
      <w:proofErr w:type="spellStart"/>
      <w:r>
        <w:t>ios</w:t>
      </w:r>
      <w:proofErr w:type="spellEnd"/>
      <w:r>
        <w:t xml:space="preserve">) pagal (dokumentas, kurio pagrindu veikia asmuo)  (toliau – </w:t>
      </w:r>
      <w:r>
        <w:rPr>
          <w:b/>
        </w:rPr>
        <w:t>Pardavėjas</w:t>
      </w:r>
      <w:r>
        <w:t xml:space="preserve">), </w:t>
      </w:r>
      <w:r>
        <w:rPr>
          <w:i/>
        </w:rPr>
        <w:t xml:space="preserve">(jei tai tiekėjų grupė/ūkio subjektų grupė –atitinkami duomenys apie kiekvieną partnerį) </w:t>
      </w:r>
      <w:r>
        <w:t xml:space="preserve">toliau kartu šioje prekių viešojo pirkimo-pardavimo sutartyje vadinami „Šalimis“, o kiekvienas atskirai – „Šalimi“, vadovaudamosi </w:t>
      </w:r>
      <w:r>
        <w:rPr>
          <w:i/>
        </w:rPr>
        <w:t xml:space="preserve">Lietuvos Respublikos viešųjų pirkimų įstatymu </w:t>
      </w:r>
      <w:r>
        <w:t xml:space="preserve">(toliau – Viešųjų pirkimų įstatymas) ir atsižvelgdamos į tai, kad </w:t>
      </w:r>
      <w:r>
        <w:rPr>
          <w:b/>
        </w:rPr>
        <w:t xml:space="preserve">Pirkėjui </w:t>
      </w:r>
      <w: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2074A4">
        <w:t>202</w:t>
      </w:r>
      <w:r w:rsidR="006678CC">
        <w:t>5</w:t>
      </w:r>
      <w:r w:rsidRPr="002074A4">
        <w:t xml:space="preserve"> m. _______d. Centrinėje viešųjų pirkimų informacinėje sistemoje (toliau – CVP IS) paskelbtomis viešojo pirkimo „</w:t>
      </w:r>
      <w:r>
        <w:t>Reaktyvinių variklių kuras</w:t>
      </w:r>
      <w:r w:rsidRPr="002074A4">
        <w:t>“ (pirkimo Nr. _______) sąlygomis</w:t>
      </w:r>
      <w:r>
        <w:t xml:space="preserve"> sudarė šią prekių viešojo pirkimo-pardavimo sutartį, toliau vadinamą „Sutartimi“, ir susitarė dėl toliau išvardintų sąlygų.</w:t>
      </w:r>
    </w:p>
    <w:p w:rsidR="0026083A" w:rsidRDefault="0026083A" w:rsidP="0026083A"/>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2"/>
      </w:tblGrid>
      <w:tr w:rsidR="0051758C" w:rsidTr="00186E29">
        <w:trPr>
          <w:trHeight w:val="702"/>
        </w:trPr>
        <w:tc>
          <w:tcPr>
            <w:tcW w:w="5000" w:type="pct"/>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Default="0051758C" w:rsidP="002C4463">
            <w:pPr>
              <w:jc w:val="both"/>
            </w:pPr>
            <w:r w:rsidRPr="00EB4422">
              <w:t xml:space="preserve">1.1. </w:t>
            </w:r>
            <w:r w:rsidRPr="00D36599">
              <w:rPr>
                <w:b/>
              </w:rPr>
              <w:t>Pardavėjas</w:t>
            </w:r>
            <w:r w:rsidRPr="00EB4422">
              <w:t xml:space="preserve"> įsipareigoja parduoti ir pristatyti</w:t>
            </w:r>
            <w:r w:rsidR="003863D4">
              <w:t xml:space="preserve"> </w:t>
            </w:r>
            <w:r w:rsidR="003863D4" w:rsidRPr="00141A63">
              <w:rPr>
                <w:b/>
              </w:rPr>
              <w:t>reaktyvin</w:t>
            </w:r>
            <w:r w:rsidR="008A270A">
              <w:rPr>
                <w:b/>
              </w:rPr>
              <w:t>ių</w:t>
            </w:r>
            <w:r w:rsidR="008E5F2C">
              <w:rPr>
                <w:b/>
              </w:rPr>
              <w:t xml:space="preserve"> variklių</w:t>
            </w:r>
            <w:r w:rsidR="003863D4" w:rsidRPr="00141A63">
              <w:rPr>
                <w:b/>
              </w:rPr>
              <w:t xml:space="preserve"> kur</w:t>
            </w:r>
            <w:r w:rsidR="009A1A93">
              <w:rPr>
                <w:b/>
              </w:rPr>
              <w:t>ą</w:t>
            </w:r>
            <w:r w:rsidR="00916A6B" w:rsidRPr="00A807B1">
              <w:rPr>
                <w:bCs/>
                <w:lang w:eastAsia="en-US"/>
              </w:rPr>
              <w:t xml:space="preserve"> </w:t>
            </w:r>
            <w:r w:rsidRPr="00EB4422">
              <w:t xml:space="preserve">(toliau – </w:t>
            </w:r>
            <w:r w:rsidR="006528B6">
              <w:t>p</w:t>
            </w:r>
            <w:r w:rsidRPr="00EB4422">
              <w:t>rekė), atitinkan</w:t>
            </w:r>
            <w:r w:rsidR="009A1A93">
              <w:t>tį</w:t>
            </w:r>
            <w:r w:rsidRPr="00EB4422">
              <w:t xml:space="preserve"> Sutarties </w:t>
            </w:r>
            <w:r w:rsidR="002C4463">
              <w:t>1</w:t>
            </w:r>
            <w:r w:rsidRPr="00EB4422">
              <w:t xml:space="preserve"> priede „</w:t>
            </w:r>
            <w:r w:rsidR="002C4463">
              <w:t>Reaktyvinių variklių kuro techninė specifikacija</w:t>
            </w:r>
            <w:r w:rsidRPr="00EB4422">
              <w:t xml:space="preserve">“ (toliau - </w:t>
            </w:r>
            <w:r w:rsidR="002C4463">
              <w:t>1</w:t>
            </w:r>
            <w:r w:rsidRPr="00EB4422">
              <w:t xml:space="preserve"> priedas) pateiktas technines specifikacijas. </w:t>
            </w:r>
          </w:p>
          <w:p w:rsidR="005F7645" w:rsidRDefault="005F7645">
            <w:pPr>
              <w:jc w:val="both"/>
            </w:pPr>
            <w:r>
              <w:t xml:space="preserve">1.2. </w:t>
            </w:r>
            <w:r w:rsidR="009A1A93" w:rsidRPr="009A1A93">
              <w:t>Įsigyjam</w:t>
            </w:r>
            <w:r w:rsidR="00814480">
              <w:t>ų</w:t>
            </w:r>
            <w:r w:rsidR="009A1A93" w:rsidRPr="009A1A93">
              <w:t xml:space="preserve"> prek</w:t>
            </w:r>
            <w:r w:rsidR="00814480">
              <w:t>ių</w:t>
            </w:r>
            <w:r w:rsidR="009A1A93" w:rsidRPr="009A1A93">
              <w:t xml:space="preserve"> </w:t>
            </w:r>
            <w:r w:rsidR="009A1A93" w:rsidRPr="009A1A93">
              <w:rPr>
                <w:b/>
              </w:rPr>
              <w:t>kiekis</w:t>
            </w:r>
            <w:r w:rsidR="009A1A93" w:rsidRPr="009A1A93">
              <w:t xml:space="preserve"> –</w:t>
            </w:r>
            <w:r w:rsidR="00C328D2">
              <w:t xml:space="preserve"> </w:t>
            </w:r>
            <w:r w:rsidR="00C328D2" w:rsidRPr="00C328D2">
              <w:rPr>
                <w:b/>
              </w:rPr>
              <w:t>23</w:t>
            </w:r>
            <w:r w:rsidR="009A1A93" w:rsidRPr="009A1A93">
              <w:rPr>
                <w:b/>
              </w:rPr>
              <w:t> </w:t>
            </w:r>
            <w:r w:rsidR="00C36DD5">
              <w:rPr>
                <w:b/>
              </w:rPr>
              <w:t>0</w:t>
            </w:r>
            <w:r w:rsidR="009A1A93" w:rsidRPr="009A1A93">
              <w:rPr>
                <w:b/>
              </w:rPr>
              <w:t>00</w:t>
            </w:r>
            <w:r w:rsidR="009A1A93">
              <w:t xml:space="preserve"> (</w:t>
            </w:r>
            <w:r w:rsidR="00C328D2">
              <w:t>dvidešimt trys tūkstančiai)</w:t>
            </w:r>
            <w:r w:rsidR="009A1A93">
              <w:t xml:space="preserve"> </w:t>
            </w:r>
            <w:r w:rsidR="009A1A93" w:rsidRPr="009A1A93">
              <w:rPr>
                <w:b/>
              </w:rPr>
              <w:t>tonų</w:t>
            </w:r>
            <w:r w:rsidR="009A1A93">
              <w:t>.</w:t>
            </w:r>
            <w:r w:rsidR="009A1A93" w:rsidRPr="009A1A93">
              <w:t xml:space="preserve"> </w:t>
            </w:r>
          </w:p>
          <w:p w:rsidR="002C4463" w:rsidRDefault="0051758C">
            <w:pPr>
              <w:jc w:val="both"/>
            </w:pPr>
            <w:r w:rsidRPr="00EB4422">
              <w:t>1.</w:t>
            </w:r>
            <w:r w:rsidR="005F7645">
              <w:t>3</w:t>
            </w:r>
            <w:r w:rsidRPr="00EB4422">
              <w:t>.</w:t>
            </w:r>
            <w:r>
              <w:t xml:space="preserve"> </w:t>
            </w:r>
            <w:r w:rsidR="005F7645" w:rsidRPr="005F7645">
              <w:rPr>
                <w:b/>
              </w:rPr>
              <w:t>Gavėjas</w:t>
            </w:r>
            <w:r w:rsidR="005F7645">
              <w:rPr>
                <w:b/>
              </w:rPr>
              <w:t xml:space="preserve"> – </w:t>
            </w:r>
            <w:r w:rsidR="005F7645" w:rsidRPr="002C4463">
              <w:t>Lietuvos kariuomenės Karinių oro pajėgų Aviacijos bazė</w:t>
            </w:r>
            <w:r w:rsidR="005F7645">
              <w:t xml:space="preserve"> </w:t>
            </w:r>
            <w:r>
              <w:t xml:space="preserve">įsipareigoja priimti Sutarties </w:t>
            </w:r>
            <w:r w:rsidR="002C4463">
              <w:t>1</w:t>
            </w:r>
            <w:r>
              <w:t xml:space="preserve"> priede </w:t>
            </w:r>
            <w:r w:rsidR="008A270A">
              <w:t>nurodytas</w:t>
            </w:r>
            <w:r>
              <w:t xml:space="preserve"> technines specifikacijas atitinkanči</w:t>
            </w:r>
            <w:r w:rsidR="002603B4">
              <w:t>ą</w:t>
            </w:r>
            <w:r>
              <w:t xml:space="preserve"> prek</w:t>
            </w:r>
            <w:r w:rsidR="002603B4">
              <w:t>ę</w:t>
            </w:r>
            <w:r w:rsidR="00BF33CA">
              <w:t xml:space="preserve">. </w:t>
            </w:r>
          </w:p>
          <w:p w:rsidR="0051758C" w:rsidRDefault="002C4463">
            <w:pPr>
              <w:jc w:val="both"/>
            </w:pPr>
            <w:r>
              <w:t xml:space="preserve">1.4. </w:t>
            </w:r>
            <w:r w:rsidR="00BF33CA" w:rsidRPr="002C4463">
              <w:rPr>
                <w:b/>
              </w:rPr>
              <w:t>Mokėtojas</w:t>
            </w:r>
            <w:r w:rsidR="00BF33CA">
              <w:t xml:space="preserve"> </w:t>
            </w:r>
            <w:r>
              <w:t xml:space="preserve">– Lietuvos kariuomenė </w:t>
            </w:r>
            <w:r w:rsidR="00BF33CA">
              <w:t>už prek</w:t>
            </w:r>
            <w:r w:rsidR="00814480">
              <w:t>es</w:t>
            </w:r>
            <w:r w:rsidR="00BF33CA">
              <w:t xml:space="preserve"> sumoka Sutarties nustatyta tvarka. </w:t>
            </w:r>
          </w:p>
          <w:p w:rsidR="0051758C" w:rsidRDefault="0051758C"/>
        </w:tc>
      </w:tr>
      <w:tr w:rsidR="0051758C" w:rsidTr="00186E29">
        <w:trPr>
          <w:trHeight w:val="702"/>
        </w:trPr>
        <w:tc>
          <w:tcPr>
            <w:tcW w:w="5000" w:type="pct"/>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2. Sutarties prekių įkainiai</w:t>
            </w:r>
          </w:p>
          <w:p w:rsidR="006D7621" w:rsidRPr="00B80E27" w:rsidRDefault="006D7621" w:rsidP="006D7621">
            <w:r w:rsidRPr="00814480">
              <w:t>2.1.</w:t>
            </w:r>
            <w:r w:rsidR="00FE47E5">
              <w:rPr>
                <w:b/>
              </w:rPr>
              <w:t xml:space="preserve"> </w:t>
            </w:r>
            <w:r w:rsidRPr="00AE0327">
              <w:t xml:space="preserve">Sutarčiai taikomas </w:t>
            </w:r>
            <w:r>
              <w:t xml:space="preserve">kintamo </w:t>
            </w:r>
            <w:r w:rsidRPr="00AE0327">
              <w:t>įkaini</w:t>
            </w:r>
            <w:r>
              <w:t xml:space="preserve">o </w:t>
            </w:r>
            <w:r w:rsidRPr="00B80E27">
              <w:t>kainos apskaičiavimo būdas.</w:t>
            </w:r>
          </w:p>
          <w:p w:rsidR="00EC4731" w:rsidRPr="007B2577" w:rsidRDefault="00EC4731" w:rsidP="00EC4731">
            <w:pPr>
              <w:pStyle w:val="ListNumber11"/>
              <w:numPr>
                <w:ilvl w:val="0"/>
                <w:numId w:val="0"/>
              </w:numPr>
              <w:tabs>
                <w:tab w:val="left" w:pos="720"/>
              </w:tabs>
              <w:rPr>
                <w:szCs w:val="24"/>
                <w:lang w:val="lt-LT"/>
              </w:rPr>
            </w:pPr>
            <w:r w:rsidRPr="00814480">
              <w:rPr>
                <w:bCs/>
                <w:lang w:val="lt-LT"/>
              </w:rPr>
              <w:t>2.</w:t>
            </w:r>
            <w:r w:rsidR="001D072E" w:rsidRPr="00814480">
              <w:rPr>
                <w:bCs/>
                <w:lang w:val="lt-LT"/>
              </w:rPr>
              <w:t>2</w:t>
            </w:r>
            <w:r w:rsidRPr="00814480">
              <w:rPr>
                <w:bCs/>
                <w:lang w:val="lt-LT"/>
              </w:rPr>
              <w:t>.</w:t>
            </w:r>
            <w:r w:rsidRPr="00B8446F">
              <w:rPr>
                <w:b/>
                <w:bCs/>
                <w:lang w:val="lt-LT"/>
              </w:rPr>
              <w:t xml:space="preserve"> </w:t>
            </w:r>
            <w:r w:rsidRPr="007B2577">
              <w:rPr>
                <w:b/>
                <w:szCs w:val="24"/>
                <w:lang w:val="lt-LT"/>
              </w:rPr>
              <w:t>Pardavėjo</w:t>
            </w:r>
            <w:r w:rsidRPr="007B2577">
              <w:rPr>
                <w:szCs w:val="24"/>
                <w:lang w:val="lt-LT"/>
              </w:rPr>
              <w:t xml:space="preserve"> priedas (nuolaida) </w:t>
            </w:r>
            <w:proofErr w:type="spellStart"/>
            <w:r w:rsidRPr="007B2577">
              <w:rPr>
                <w:lang w:val="lt-LT"/>
              </w:rPr>
              <w:t>Δ</w:t>
            </w:r>
            <w:r w:rsidRPr="007B2577">
              <w:rPr>
                <w:vertAlign w:val="subscript"/>
                <w:lang w:val="lt-LT"/>
              </w:rPr>
              <w:t>parda</w:t>
            </w:r>
            <w:proofErr w:type="spellEnd"/>
            <w:r w:rsidRPr="007B2577">
              <w:rPr>
                <w:vertAlign w:val="subscript"/>
                <w:lang w:val="lt-LT"/>
              </w:rPr>
              <w:t xml:space="preserve"> </w:t>
            </w:r>
            <w:r w:rsidRPr="007B2577">
              <w:rPr>
                <w:szCs w:val="24"/>
                <w:lang w:val="lt-LT"/>
              </w:rPr>
              <w:t xml:space="preserve">prekei yra ________ </w:t>
            </w:r>
            <w:proofErr w:type="spellStart"/>
            <w:r w:rsidR="001D072E">
              <w:rPr>
                <w:szCs w:val="24"/>
                <w:lang w:val="lt-LT"/>
              </w:rPr>
              <w:t>Eur</w:t>
            </w:r>
            <w:proofErr w:type="spellEnd"/>
            <w:r w:rsidRPr="007B2577">
              <w:rPr>
                <w:szCs w:val="24"/>
                <w:lang w:val="lt-LT"/>
              </w:rPr>
              <w:t xml:space="preserve"> ( _________ </w:t>
            </w:r>
            <w:r w:rsidR="001D072E">
              <w:rPr>
                <w:szCs w:val="24"/>
                <w:lang w:val="lt-LT"/>
              </w:rPr>
              <w:t>eurų</w:t>
            </w:r>
            <w:r w:rsidRPr="007B2577">
              <w:rPr>
                <w:szCs w:val="24"/>
                <w:lang w:val="lt-LT"/>
              </w:rPr>
              <w:t>_____ ct) tonai</w:t>
            </w:r>
            <w:r>
              <w:rPr>
                <w:szCs w:val="24"/>
                <w:lang w:val="lt-LT"/>
              </w:rPr>
              <w:t xml:space="preserve"> be </w:t>
            </w:r>
            <w:r w:rsidR="000E08FC" w:rsidRPr="000E08FC">
              <w:rPr>
                <w:szCs w:val="24"/>
                <w:lang w:val="lt-LT"/>
              </w:rPr>
              <w:t>pridėtinės vertės mokesčio (toliau – PVM)</w:t>
            </w:r>
            <w:r w:rsidRPr="007B2577">
              <w:rPr>
                <w:szCs w:val="24"/>
                <w:lang w:val="lt-LT"/>
              </w:rPr>
              <w:t>.</w:t>
            </w:r>
          </w:p>
          <w:p w:rsidR="00EC4731" w:rsidRPr="007815D8" w:rsidRDefault="00916A6B" w:rsidP="00EC4731">
            <w:pPr>
              <w:tabs>
                <w:tab w:val="left" w:pos="1701"/>
              </w:tabs>
              <w:jc w:val="both"/>
              <w:rPr>
                <w:lang w:eastAsia="en-US"/>
              </w:rPr>
            </w:pPr>
            <w:r w:rsidRPr="00CA275E">
              <w:rPr>
                <w:lang w:eastAsia="en-US"/>
              </w:rPr>
              <w:t>2.3.</w:t>
            </w:r>
            <w:r>
              <w:rPr>
                <w:lang w:eastAsia="en-US"/>
              </w:rPr>
              <w:t xml:space="preserve"> </w:t>
            </w:r>
            <w:r w:rsidR="00EC4731" w:rsidRPr="007815D8">
              <w:rPr>
                <w:lang w:eastAsia="en-US"/>
              </w:rPr>
              <w:t>Prekės</w:t>
            </w:r>
            <w:r w:rsidR="00EC4731">
              <w:rPr>
                <w:lang w:eastAsia="en-US"/>
              </w:rPr>
              <w:t xml:space="preserve"> </w:t>
            </w:r>
            <w:r w:rsidR="00EC4731" w:rsidRPr="007815D8">
              <w:rPr>
                <w:lang w:eastAsia="en-US"/>
              </w:rPr>
              <w:t>vienos tonos pardavimo kaina (</w:t>
            </w:r>
            <w:proofErr w:type="spellStart"/>
            <w:r w:rsidR="001D072E">
              <w:rPr>
                <w:lang w:eastAsia="en-US"/>
              </w:rPr>
              <w:t>Eur</w:t>
            </w:r>
            <w:proofErr w:type="spellEnd"/>
            <w:r w:rsidR="00EC4731" w:rsidRPr="007815D8">
              <w:rPr>
                <w:lang w:eastAsia="en-US"/>
              </w:rPr>
              <w:t xml:space="preserve">/t) </w:t>
            </w:r>
            <w:r w:rsidR="00EC4731">
              <w:rPr>
                <w:lang w:eastAsia="en-US"/>
              </w:rPr>
              <w:t xml:space="preserve">einamąjį mėnesį </w:t>
            </w:r>
            <w:r w:rsidR="00EC4731" w:rsidRPr="007815D8">
              <w:rPr>
                <w:lang w:eastAsia="en-US"/>
              </w:rPr>
              <w:t xml:space="preserve">nustatoma </w:t>
            </w:r>
            <w:r w:rsidR="00EC4731">
              <w:rPr>
                <w:lang w:eastAsia="en-US"/>
              </w:rPr>
              <w:t>kiekvieno mėnesio pirmą</w:t>
            </w:r>
            <w:r w:rsidR="00EC4731" w:rsidRPr="007815D8">
              <w:rPr>
                <w:lang w:eastAsia="en-US"/>
              </w:rPr>
              <w:t xml:space="preserve"> dieną ir apskaiči</w:t>
            </w:r>
            <w:r w:rsidR="00EC4731">
              <w:rPr>
                <w:lang w:eastAsia="en-US"/>
              </w:rPr>
              <w:t>uojama pagal formulę</w:t>
            </w:r>
            <w:r w:rsidR="00EC4731" w:rsidRPr="007815D8">
              <w:rPr>
                <w:lang w:eastAsia="en-US"/>
              </w:rPr>
              <w:t>:</w:t>
            </w:r>
          </w:p>
          <w:p w:rsidR="00EC4731" w:rsidRPr="002C0328" w:rsidRDefault="00EC4731" w:rsidP="00EC4731">
            <w:pPr>
              <w:rPr>
                <w:sz w:val="16"/>
                <w:szCs w:val="16"/>
                <w:lang w:eastAsia="en-US"/>
              </w:rPr>
            </w:pPr>
          </w:p>
          <w:p w:rsidR="00EC4731" w:rsidRPr="00A807B1" w:rsidRDefault="00EC4731" w:rsidP="00EC4731">
            <w:pPr>
              <w:rPr>
                <w:b/>
                <w:lang w:eastAsia="en-US"/>
              </w:rPr>
            </w:pPr>
            <w:r w:rsidRPr="00835ABD">
              <w:rPr>
                <w:b/>
                <w:sz w:val="28"/>
                <w:szCs w:val="28"/>
                <w:lang w:eastAsia="en-US"/>
              </w:rPr>
              <w:t>A</w:t>
            </w:r>
            <w:r w:rsidRPr="00835ABD">
              <w:rPr>
                <w:b/>
                <w:sz w:val="28"/>
                <w:szCs w:val="28"/>
                <w:vertAlign w:val="subscript"/>
                <w:lang w:eastAsia="en-US"/>
              </w:rPr>
              <w:t>i</w:t>
            </w:r>
            <w:r w:rsidRPr="00A807B1">
              <w:rPr>
                <w:b/>
                <w:lang w:eastAsia="en-US"/>
              </w:rPr>
              <w:t xml:space="preserve"> = K</w:t>
            </w:r>
            <w:r w:rsidRPr="00A807B1">
              <w:rPr>
                <w:b/>
                <w:vertAlign w:val="subscript"/>
                <w:lang w:eastAsia="en-US"/>
              </w:rPr>
              <w:t>i-1</w:t>
            </w:r>
            <w:r w:rsidRPr="00A807B1">
              <w:rPr>
                <w:b/>
                <w:lang w:eastAsia="en-US"/>
              </w:rPr>
              <w:t xml:space="preserve"> x </w:t>
            </w:r>
            <w:proofErr w:type="spellStart"/>
            <w:r w:rsidR="00916A6B">
              <w:rPr>
                <w:b/>
                <w:lang w:eastAsia="en-US"/>
              </w:rPr>
              <w:t>EUR</w:t>
            </w:r>
            <w:r w:rsidRPr="00A807B1">
              <w:rPr>
                <w:b/>
                <w:vertAlign w:val="subscript"/>
                <w:lang w:eastAsia="en-US"/>
              </w:rPr>
              <w:t>i-lvid</w:t>
            </w:r>
            <w:proofErr w:type="spellEnd"/>
            <w:r w:rsidRPr="00A807B1">
              <w:rPr>
                <w:b/>
                <w:vertAlign w:val="subscript"/>
                <w:lang w:eastAsia="en-US"/>
              </w:rPr>
              <w:t xml:space="preserve"> </w:t>
            </w:r>
            <w:r w:rsidRPr="00A807B1">
              <w:rPr>
                <w:b/>
                <w:lang w:eastAsia="en-US"/>
              </w:rPr>
              <w:t>+ M +∆</w:t>
            </w:r>
            <w:r w:rsidRPr="00A807B1">
              <w:rPr>
                <w:b/>
                <w:vertAlign w:val="subscript"/>
                <w:lang w:eastAsia="en-US"/>
              </w:rPr>
              <w:t>parda</w:t>
            </w:r>
          </w:p>
          <w:p w:rsidR="00EC4731" w:rsidRPr="002C0328" w:rsidRDefault="00EC4731" w:rsidP="00EC4731">
            <w:pPr>
              <w:jc w:val="both"/>
              <w:rPr>
                <w:sz w:val="16"/>
                <w:szCs w:val="16"/>
                <w:lang w:eastAsia="en-US"/>
              </w:rPr>
            </w:pPr>
          </w:p>
          <w:p w:rsidR="00EC4731" w:rsidRPr="00A807B1" w:rsidRDefault="00EC4731" w:rsidP="00EC4731">
            <w:pPr>
              <w:jc w:val="both"/>
              <w:rPr>
                <w:lang w:eastAsia="en-US"/>
              </w:rPr>
            </w:pPr>
            <w:r w:rsidRPr="00835ABD">
              <w:rPr>
                <w:b/>
                <w:sz w:val="28"/>
                <w:szCs w:val="28"/>
                <w:lang w:eastAsia="en-US"/>
              </w:rPr>
              <w:t>A</w:t>
            </w:r>
            <w:r w:rsidRPr="00835ABD">
              <w:rPr>
                <w:b/>
                <w:sz w:val="28"/>
                <w:szCs w:val="28"/>
                <w:vertAlign w:val="subscript"/>
                <w:lang w:eastAsia="en-US"/>
              </w:rPr>
              <w:t>i</w:t>
            </w:r>
            <w:r w:rsidRPr="00A807B1">
              <w:rPr>
                <w:lang w:eastAsia="en-US"/>
              </w:rPr>
              <w:t xml:space="preserve"> – einamojo mėnesio prekės kaina, (</w:t>
            </w:r>
            <w:proofErr w:type="spellStart"/>
            <w:r w:rsidR="00916A6B">
              <w:rPr>
                <w:lang w:eastAsia="en-US"/>
              </w:rPr>
              <w:t>Eur</w:t>
            </w:r>
            <w:proofErr w:type="spellEnd"/>
            <w:r w:rsidRPr="00A807B1">
              <w:rPr>
                <w:lang w:eastAsia="en-US"/>
              </w:rPr>
              <w:t>/t) be</w:t>
            </w:r>
            <w:r>
              <w:rPr>
                <w:lang w:eastAsia="en-US"/>
              </w:rPr>
              <w:t xml:space="preserve"> </w:t>
            </w:r>
            <w:r w:rsidRPr="00A807B1">
              <w:rPr>
                <w:lang w:eastAsia="en-US"/>
              </w:rPr>
              <w:t>PVM.</w:t>
            </w:r>
          </w:p>
          <w:p w:rsidR="00EC4731" w:rsidRPr="002C0328" w:rsidRDefault="00EC4731" w:rsidP="00EC4731">
            <w:pPr>
              <w:jc w:val="both"/>
              <w:rPr>
                <w:sz w:val="16"/>
                <w:szCs w:val="16"/>
                <w:lang w:eastAsia="en-US"/>
              </w:rPr>
            </w:pPr>
          </w:p>
          <w:p w:rsidR="00EC4731" w:rsidRPr="00A807B1" w:rsidRDefault="00EC4731" w:rsidP="00EC4731">
            <w:pPr>
              <w:jc w:val="both"/>
              <w:rPr>
                <w:lang w:eastAsia="en-US"/>
              </w:rPr>
            </w:pPr>
            <w:r w:rsidRPr="00A807B1">
              <w:rPr>
                <w:b/>
                <w:lang w:eastAsia="en-US"/>
              </w:rPr>
              <w:t xml:space="preserve">K </w:t>
            </w:r>
            <w:r w:rsidRPr="00A807B1">
              <w:rPr>
                <w:b/>
                <w:vertAlign w:val="subscript"/>
                <w:lang w:eastAsia="en-US"/>
              </w:rPr>
              <w:t>i-1</w:t>
            </w:r>
            <w:r w:rsidRPr="00A807B1">
              <w:rPr>
                <w:lang w:eastAsia="en-US"/>
              </w:rPr>
              <w:t xml:space="preserve"> – prieš einamąjį mėnesį buvusio mėnesio kiekvienos darbo dienos aukščiausių kuro </w:t>
            </w:r>
            <w:r w:rsidRPr="00A807B1">
              <w:rPr>
                <w:bCs/>
                <w:lang w:eastAsia="en-US"/>
              </w:rPr>
              <w:t>JET</w:t>
            </w:r>
            <w:r w:rsidRPr="00A807B1">
              <w:rPr>
                <w:lang w:eastAsia="en-US"/>
              </w:rPr>
              <w:t xml:space="preserve"> </w:t>
            </w:r>
            <w:r w:rsidR="00916A6B">
              <w:rPr>
                <w:lang w:eastAsia="en-US"/>
              </w:rPr>
              <w:t xml:space="preserve">A1 </w:t>
            </w:r>
            <w:r w:rsidRPr="00A807B1">
              <w:rPr>
                <w:lang w:eastAsia="en-US"/>
              </w:rPr>
              <w:t>kainos reikšmių, skelbtų ir nurodytų leidinio ,,</w:t>
            </w:r>
            <w:proofErr w:type="spellStart"/>
            <w:r w:rsidRPr="00A807B1">
              <w:rPr>
                <w:lang w:eastAsia="en-US"/>
              </w:rPr>
              <w:t>Platts</w:t>
            </w:r>
            <w:proofErr w:type="spellEnd"/>
            <w:r w:rsidRPr="00A807B1">
              <w:rPr>
                <w:lang w:eastAsia="en-US"/>
              </w:rPr>
              <w:t xml:space="preserve"> </w:t>
            </w:r>
            <w:proofErr w:type="spellStart"/>
            <w:r w:rsidRPr="00A807B1">
              <w:rPr>
                <w:lang w:eastAsia="en-US"/>
              </w:rPr>
              <w:t>European</w:t>
            </w:r>
            <w:proofErr w:type="spellEnd"/>
            <w:r w:rsidRPr="00A807B1">
              <w:rPr>
                <w:lang w:eastAsia="en-US"/>
              </w:rPr>
              <w:t xml:space="preserve"> </w:t>
            </w:r>
            <w:proofErr w:type="spellStart"/>
            <w:r w:rsidRPr="00A807B1">
              <w:rPr>
                <w:lang w:eastAsia="en-US"/>
              </w:rPr>
              <w:t>Marketscan</w:t>
            </w:r>
            <w:proofErr w:type="spellEnd"/>
            <w:r w:rsidRPr="00A807B1">
              <w:rPr>
                <w:lang w:eastAsia="en-US"/>
              </w:rPr>
              <w:t>” skirsnyje “</w:t>
            </w:r>
            <w:proofErr w:type="spellStart"/>
            <w:r w:rsidRPr="00A807B1">
              <w:rPr>
                <w:lang w:eastAsia="en-US"/>
              </w:rPr>
              <w:t>Cargos</w:t>
            </w:r>
            <w:proofErr w:type="spellEnd"/>
            <w:r w:rsidRPr="00A807B1">
              <w:rPr>
                <w:lang w:eastAsia="en-US"/>
              </w:rPr>
              <w:t xml:space="preserve"> CIF NEW/</w:t>
            </w:r>
            <w:proofErr w:type="spellStart"/>
            <w:r w:rsidRPr="00A807B1">
              <w:rPr>
                <w:lang w:eastAsia="en-US"/>
              </w:rPr>
              <w:t>Basis</w:t>
            </w:r>
            <w:proofErr w:type="spellEnd"/>
            <w:r w:rsidRPr="00A807B1">
              <w:rPr>
                <w:lang w:eastAsia="en-US"/>
              </w:rPr>
              <w:t xml:space="preserve"> ARA”, aritmetinis vidurkis JAV doleriais</w:t>
            </w:r>
            <w:r>
              <w:rPr>
                <w:lang w:eastAsia="en-US"/>
              </w:rPr>
              <w:t>.</w:t>
            </w:r>
          </w:p>
          <w:p w:rsidR="00EC4731" w:rsidRPr="002C0328" w:rsidRDefault="00EC4731" w:rsidP="00EC4731">
            <w:pPr>
              <w:jc w:val="both"/>
              <w:rPr>
                <w:sz w:val="16"/>
                <w:szCs w:val="16"/>
                <w:lang w:eastAsia="en-US"/>
              </w:rPr>
            </w:pPr>
          </w:p>
          <w:p w:rsidR="00EC4731" w:rsidRPr="00A807B1" w:rsidRDefault="00224F35" w:rsidP="00EC4731">
            <w:pPr>
              <w:jc w:val="both"/>
              <w:rPr>
                <w:lang w:eastAsia="en-US"/>
              </w:rPr>
            </w:pPr>
            <w:r w:rsidRPr="00224F35">
              <w:rPr>
                <w:b/>
                <w:lang w:eastAsia="en-US"/>
              </w:rPr>
              <w:t>EUR</w:t>
            </w:r>
            <w:r w:rsidR="00EC4731" w:rsidRPr="00A807B1">
              <w:rPr>
                <w:b/>
                <w:vertAlign w:val="subscript"/>
                <w:lang w:eastAsia="en-US"/>
              </w:rPr>
              <w:t xml:space="preserve">i-1vid </w:t>
            </w:r>
            <w:r w:rsidR="00EC4731" w:rsidRPr="00A807B1">
              <w:rPr>
                <w:lang w:eastAsia="en-US"/>
              </w:rPr>
              <w:t xml:space="preserve">- JAV dolerių į </w:t>
            </w:r>
            <w:r>
              <w:rPr>
                <w:lang w:eastAsia="en-US"/>
              </w:rPr>
              <w:t xml:space="preserve">eurus </w:t>
            </w:r>
            <w:r w:rsidR="00EC4731" w:rsidRPr="00A807B1">
              <w:rPr>
                <w:lang w:eastAsia="en-US"/>
              </w:rPr>
              <w:t xml:space="preserve">perskaičiavimas pagal praėjusio mėnesio visų darbo dienų oficialių Lietuvos Banko nustatytų JAV dolerio ir </w:t>
            </w:r>
            <w:r>
              <w:rPr>
                <w:lang w:eastAsia="en-US"/>
              </w:rPr>
              <w:t xml:space="preserve">euro </w:t>
            </w:r>
            <w:r w:rsidR="00EC4731" w:rsidRPr="00A807B1">
              <w:rPr>
                <w:lang w:eastAsia="en-US"/>
              </w:rPr>
              <w:t>santykių aritmetinį vidurkį, išreikštą 10-tūkstantųjų tikslumu (4 skaičiai po kablelio)</w:t>
            </w:r>
            <w:r w:rsidR="00EC4731">
              <w:rPr>
                <w:lang w:eastAsia="en-US"/>
              </w:rPr>
              <w:t>.</w:t>
            </w:r>
          </w:p>
          <w:p w:rsidR="00EC4731" w:rsidRPr="00650416" w:rsidRDefault="00EC4731" w:rsidP="00EC4731">
            <w:pPr>
              <w:jc w:val="both"/>
              <w:rPr>
                <w:sz w:val="16"/>
                <w:szCs w:val="16"/>
                <w:lang w:eastAsia="en-US"/>
              </w:rPr>
            </w:pPr>
          </w:p>
          <w:p w:rsidR="00EC4731" w:rsidRPr="00A807B1" w:rsidRDefault="00EC4731" w:rsidP="00EC4731">
            <w:pPr>
              <w:jc w:val="both"/>
              <w:rPr>
                <w:lang w:eastAsia="en-US"/>
              </w:rPr>
            </w:pPr>
            <w:r w:rsidRPr="00A807B1">
              <w:rPr>
                <w:b/>
                <w:lang w:eastAsia="en-US"/>
              </w:rPr>
              <w:t>M</w:t>
            </w:r>
            <w:r w:rsidRPr="00A807B1">
              <w:rPr>
                <w:lang w:eastAsia="en-US"/>
              </w:rPr>
              <w:t xml:space="preserve"> – akcizo mokesčio dydis </w:t>
            </w:r>
            <w:proofErr w:type="spellStart"/>
            <w:r w:rsidR="00224F35">
              <w:rPr>
                <w:lang w:eastAsia="en-US"/>
              </w:rPr>
              <w:t>Eur</w:t>
            </w:r>
            <w:proofErr w:type="spellEnd"/>
            <w:r w:rsidRPr="00A807B1">
              <w:rPr>
                <w:lang w:eastAsia="en-US"/>
              </w:rPr>
              <w:t>/t (jei teisės aktų nustatyta tvarka yra taikomas šiai prekei)</w:t>
            </w:r>
          </w:p>
          <w:p w:rsidR="00EC4731" w:rsidRPr="00650416" w:rsidRDefault="00EC4731" w:rsidP="00EC4731">
            <w:pPr>
              <w:tabs>
                <w:tab w:val="left" w:pos="282"/>
              </w:tabs>
              <w:jc w:val="both"/>
              <w:rPr>
                <w:sz w:val="16"/>
                <w:szCs w:val="16"/>
              </w:rPr>
            </w:pPr>
          </w:p>
          <w:p w:rsidR="00EC4731" w:rsidRDefault="00EC4731" w:rsidP="00EC4731">
            <w:pPr>
              <w:jc w:val="both"/>
              <w:rPr>
                <w:lang w:eastAsia="en-US"/>
              </w:rPr>
            </w:pPr>
            <w:proofErr w:type="spellStart"/>
            <w:r w:rsidRPr="00A807B1">
              <w:rPr>
                <w:b/>
                <w:lang w:eastAsia="en-US"/>
              </w:rPr>
              <w:lastRenderedPageBreak/>
              <w:t>Δ</w:t>
            </w:r>
            <w:r w:rsidRPr="00A807B1">
              <w:rPr>
                <w:b/>
                <w:vertAlign w:val="subscript"/>
                <w:lang w:eastAsia="en-US"/>
              </w:rPr>
              <w:t>parda</w:t>
            </w:r>
            <w:proofErr w:type="spellEnd"/>
            <w:r w:rsidRPr="00A807B1">
              <w:rPr>
                <w:lang w:eastAsia="en-US"/>
              </w:rPr>
              <w:t xml:space="preserve"> – </w:t>
            </w:r>
            <w:r w:rsidRPr="00A807B1">
              <w:rPr>
                <w:b/>
                <w:lang w:eastAsia="en-US"/>
              </w:rPr>
              <w:t>Pardavėjo</w:t>
            </w:r>
            <w:r w:rsidRPr="00A807B1">
              <w:rPr>
                <w:lang w:eastAsia="en-US"/>
              </w:rPr>
              <w:t xml:space="preserve"> fiksuotas priedas (nuolaida) (</w:t>
            </w:r>
            <w:proofErr w:type="spellStart"/>
            <w:r w:rsidR="00224F35">
              <w:rPr>
                <w:lang w:eastAsia="en-US"/>
              </w:rPr>
              <w:t>Eur</w:t>
            </w:r>
            <w:proofErr w:type="spellEnd"/>
            <w:r w:rsidRPr="00A807B1">
              <w:rPr>
                <w:lang w:eastAsia="en-US"/>
              </w:rPr>
              <w:t xml:space="preserve">/t) be PVM prie (nuo) įkainio bazės. Į šį priedą (nuolaidą) yra įskaičiuotos visos </w:t>
            </w:r>
            <w:r w:rsidRPr="00A807B1">
              <w:rPr>
                <w:b/>
                <w:lang w:eastAsia="en-US"/>
              </w:rPr>
              <w:t>Pardavėjo</w:t>
            </w:r>
            <w:r w:rsidRPr="00A807B1">
              <w:rPr>
                <w:lang w:eastAsia="en-US"/>
              </w:rPr>
              <w:t xml:space="preserve"> išlaidos, atsirandančios vykdant Sutartį. Nuolaida formulėje imama su neigiamu ženklu.</w:t>
            </w:r>
          </w:p>
          <w:p w:rsidR="00EC4731" w:rsidRPr="003D345D" w:rsidRDefault="00EC4731" w:rsidP="00EC4731">
            <w:pPr>
              <w:jc w:val="both"/>
              <w:rPr>
                <w:sz w:val="16"/>
                <w:szCs w:val="16"/>
                <w:lang w:eastAsia="en-US"/>
              </w:rPr>
            </w:pPr>
          </w:p>
          <w:p w:rsidR="00EC4731" w:rsidRDefault="00EC4731" w:rsidP="00EC4731">
            <w:pPr>
              <w:jc w:val="both"/>
              <w:rPr>
                <w:lang w:eastAsia="en-US"/>
              </w:rPr>
            </w:pPr>
            <w:r w:rsidRPr="00A807B1">
              <w:rPr>
                <w:lang w:eastAsia="en-US"/>
              </w:rPr>
              <w:t xml:space="preserve">Prie prekės kainos, apskaičiuotos pagal nurodytą formulę, Lietuvos Respublikos teisės aktuose numatytais atvejais pridedamas </w:t>
            </w:r>
            <w:r>
              <w:rPr>
                <w:lang w:eastAsia="en-US"/>
              </w:rPr>
              <w:t>PVM.</w:t>
            </w:r>
          </w:p>
          <w:p w:rsidR="00EC4731" w:rsidRPr="003D345D" w:rsidRDefault="00EC4731" w:rsidP="00EC4731">
            <w:pPr>
              <w:jc w:val="both"/>
              <w:rPr>
                <w:sz w:val="16"/>
                <w:szCs w:val="16"/>
                <w:lang w:eastAsia="en-US"/>
              </w:rPr>
            </w:pPr>
          </w:p>
          <w:p w:rsidR="0051758C" w:rsidRDefault="00EC4731" w:rsidP="00D959DD">
            <w:pPr>
              <w:jc w:val="both"/>
            </w:pPr>
            <w:r w:rsidRPr="00814480">
              <w:t>2.</w:t>
            </w:r>
            <w:r w:rsidR="00FE47E5" w:rsidRPr="00814480">
              <w:t>4</w:t>
            </w:r>
            <w:r w:rsidRPr="00814480">
              <w:t>.</w:t>
            </w:r>
            <w:r>
              <w:rPr>
                <w:b/>
              </w:rPr>
              <w:t xml:space="preserve"> </w:t>
            </w:r>
            <w:r w:rsidRPr="00A807B1">
              <w:rPr>
                <w:b/>
              </w:rPr>
              <w:t>Pardavėjo</w:t>
            </w:r>
            <w:r w:rsidRPr="00A807B1">
              <w:t xml:space="preserve"> fiksuotas priedas (nuolaida) (</w:t>
            </w:r>
            <w:proofErr w:type="spellStart"/>
            <w:r w:rsidR="00FE47E5">
              <w:t>Eur</w:t>
            </w:r>
            <w:proofErr w:type="spellEnd"/>
            <w:r w:rsidRPr="00A807B1">
              <w:t>/t) be PVM per visą Sutarties galiojimo laikotarpį išlieka stabilus ir nekintamas.</w:t>
            </w:r>
          </w:p>
          <w:p w:rsidR="00B169F2" w:rsidRDefault="00814480" w:rsidP="00B169F2">
            <w:pPr>
              <w:jc w:val="both"/>
            </w:pPr>
            <w:r w:rsidRPr="005F25EF">
              <w:t>2.5. Sutarčiai galioja Sutarties bendrosios dalies 12.9 punkto nuostata.</w:t>
            </w:r>
            <w:r w:rsidR="00B169F2" w:rsidRPr="005F25EF">
              <w:t xml:space="preserve"> </w:t>
            </w:r>
            <w:r w:rsidR="00B169F2" w:rsidRPr="005F25EF">
              <w:rPr>
                <w:b/>
              </w:rPr>
              <w:t>Pirkėjui</w:t>
            </w:r>
            <w:r w:rsidR="00B169F2" w:rsidRPr="005F25EF">
              <w:t xml:space="preserve"> įsigyjant Sutartyje ir jos prieduose nenurodytas, tačiau su pirkimo objektu susijusias prekes, atitinkamai jų įkainiai apskaičiuojami vadovaujantis</w:t>
            </w:r>
            <w:r w:rsidR="00B169F2" w:rsidRPr="005F25EF">
              <w:rPr>
                <w:lang w:eastAsia="en-US"/>
              </w:rPr>
              <w:t xml:space="preserve"> aukščiausiomis atitinkamo kuro kainos reikšmėmis, skelbtomis ir nurodytomis leidinio ,,</w:t>
            </w:r>
            <w:proofErr w:type="spellStart"/>
            <w:r w:rsidR="00B169F2" w:rsidRPr="005F25EF">
              <w:rPr>
                <w:lang w:eastAsia="en-US"/>
              </w:rPr>
              <w:t>Platts</w:t>
            </w:r>
            <w:proofErr w:type="spellEnd"/>
            <w:r w:rsidR="00B169F2" w:rsidRPr="005F25EF">
              <w:rPr>
                <w:lang w:eastAsia="en-US"/>
              </w:rPr>
              <w:t xml:space="preserve"> </w:t>
            </w:r>
            <w:proofErr w:type="spellStart"/>
            <w:r w:rsidR="00B169F2" w:rsidRPr="005F25EF">
              <w:rPr>
                <w:lang w:eastAsia="en-US"/>
              </w:rPr>
              <w:t>European</w:t>
            </w:r>
            <w:proofErr w:type="spellEnd"/>
            <w:r w:rsidR="00B169F2" w:rsidRPr="005F25EF">
              <w:rPr>
                <w:lang w:eastAsia="en-US"/>
              </w:rPr>
              <w:t xml:space="preserve"> </w:t>
            </w:r>
            <w:proofErr w:type="spellStart"/>
            <w:r w:rsidR="00B169F2" w:rsidRPr="005F25EF">
              <w:rPr>
                <w:lang w:eastAsia="en-US"/>
              </w:rPr>
              <w:t>Marketscan</w:t>
            </w:r>
            <w:proofErr w:type="spellEnd"/>
            <w:r w:rsidR="00B169F2" w:rsidRPr="005F25EF">
              <w:rPr>
                <w:lang w:eastAsia="en-US"/>
              </w:rPr>
              <w:t xml:space="preserve">” </w:t>
            </w:r>
            <w:r w:rsidR="00B169F2" w:rsidRPr="005F25EF">
              <w:t xml:space="preserve"> </w:t>
            </w:r>
            <w:r w:rsidR="00B169F2" w:rsidRPr="005F25EF">
              <w:rPr>
                <w:lang w:eastAsia="en-US"/>
              </w:rPr>
              <w:t>skirsnyje “</w:t>
            </w:r>
            <w:proofErr w:type="spellStart"/>
            <w:r w:rsidR="00B169F2" w:rsidRPr="005F25EF">
              <w:rPr>
                <w:lang w:eastAsia="en-US"/>
              </w:rPr>
              <w:t>Cargos</w:t>
            </w:r>
            <w:proofErr w:type="spellEnd"/>
            <w:r w:rsidR="00B169F2" w:rsidRPr="005F25EF">
              <w:rPr>
                <w:lang w:eastAsia="en-US"/>
              </w:rPr>
              <w:t xml:space="preserve"> CIF NEW/</w:t>
            </w:r>
            <w:proofErr w:type="spellStart"/>
            <w:r w:rsidR="00B169F2" w:rsidRPr="005F25EF">
              <w:rPr>
                <w:lang w:eastAsia="en-US"/>
              </w:rPr>
              <w:t>Basis</w:t>
            </w:r>
            <w:proofErr w:type="spellEnd"/>
            <w:r w:rsidR="00B169F2" w:rsidRPr="005F25EF">
              <w:rPr>
                <w:lang w:eastAsia="en-US"/>
              </w:rPr>
              <w:t xml:space="preserve"> ARA”</w:t>
            </w:r>
            <w:r w:rsidR="00B169F2" w:rsidRPr="005F25EF">
              <w:t xml:space="preserve">. </w:t>
            </w:r>
            <w:r w:rsidR="00581C79">
              <w:t>U</w:t>
            </w:r>
            <w:r w:rsidR="00581C79" w:rsidRPr="00057F62">
              <w:t>ž</w:t>
            </w:r>
            <w:r w:rsidR="00581C79">
              <w:t xml:space="preserve"> Sutartyje ir jos prieduose</w:t>
            </w:r>
            <w:r w:rsidR="00581C79" w:rsidRPr="00057F62">
              <w:t xml:space="preserve"> nenurodytas, tačiau su pirkimo objektu susijusias prekes bus apmokėta ne didesnėmis nei užsakymo pateikimo dieną </w:t>
            </w:r>
            <w:r w:rsidR="00581C79" w:rsidRPr="00581C79">
              <w:rPr>
                <w:b/>
              </w:rPr>
              <w:t>Pardavėjo</w:t>
            </w:r>
            <w:r w:rsidR="00581C79" w:rsidRPr="00057F62">
              <w:t xml:space="preserve"> viešai skelbiamomis prekybos vietoje ar interneto svetainėje (įskaitant elektronines parduotuves) galiojančiomis šių prekių kainomis pridedant tiekėjo pasiūlyme pasiūlytą priedą ar atimant nuolaidą</w:t>
            </w:r>
          </w:p>
          <w:p w:rsidR="00B169F2" w:rsidRDefault="00B169F2" w:rsidP="00091998">
            <w:pPr>
              <w:jc w:val="both"/>
            </w:pPr>
            <w:r>
              <w:t xml:space="preserve">2.6. </w:t>
            </w:r>
            <w:r>
              <w:rPr>
                <w:color w:val="000000"/>
              </w:rPr>
              <w:t xml:space="preserve">Pradinės Sutarties vertė yra </w:t>
            </w:r>
            <w:r>
              <w:t>______</w:t>
            </w:r>
            <w:r w:rsidRPr="000525E4">
              <w:rPr>
                <w:color w:val="000000"/>
              </w:rPr>
              <w:t xml:space="preserve"> (</w:t>
            </w:r>
            <w:r w:rsidRPr="00BA1B47">
              <w:rPr>
                <w:i/>
                <w:color w:val="000000"/>
              </w:rPr>
              <w:t>nurodyti sumą žodžiais</w:t>
            </w:r>
            <w:r w:rsidRPr="000525E4">
              <w:rPr>
                <w:color w:val="000000"/>
              </w:rPr>
              <w:t xml:space="preserve">) </w:t>
            </w:r>
            <w:proofErr w:type="spellStart"/>
            <w:r>
              <w:rPr>
                <w:color w:val="000000"/>
              </w:rPr>
              <w:t>Eur</w:t>
            </w:r>
            <w:proofErr w:type="spellEnd"/>
            <w:r>
              <w:rPr>
                <w:color w:val="000000"/>
              </w:rPr>
              <w:t xml:space="preserve"> </w:t>
            </w:r>
            <w:r w:rsidRPr="000525E4">
              <w:rPr>
                <w:color w:val="000000"/>
              </w:rPr>
              <w:t>be PVM</w:t>
            </w:r>
            <w:r w:rsidR="00091998">
              <w:rPr>
                <w:color w:val="000000"/>
              </w:rPr>
              <w:t xml:space="preserve"> </w:t>
            </w:r>
            <w:r w:rsidRPr="000525E4">
              <w:rPr>
                <w:color w:val="000000"/>
              </w:rPr>
              <w:t xml:space="preserve"> sudaro </w:t>
            </w:r>
            <w:r>
              <w:rPr>
                <w:color w:val="000000"/>
              </w:rPr>
              <w:t>_______</w:t>
            </w:r>
            <w:r w:rsidRPr="000525E4">
              <w:rPr>
                <w:color w:val="000000"/>
              </w:rPr>
              <w:t xml:space="preserve"> </w:t>
            </w:r>
            <w:proofErr w:type="spellStart"/>
            <w:r w:rsidRPr="000525E4">
              <w:rPr>
                <w:color w:val="000000"/>
              </w:rPr>
              <w:t>Eur</w:t>
            </w:r>
            <w:proofErr w:type="spellEnd"/>
            <w:r w:rsidRPr="000525E4">
              <w:rPr>
                <w:color w:val="000000"/>
              </w:rPr>
              <w:t>, (</w:t>
            </w:r>
            <w:r w:rsidRPr="00BA1B47">
              <w:rPr>
                <w:i/>
                <w:color w:val="000000"/>
              </w:rPr>
              <w:t>nurodyti sumą žodžiais</w:t>
            </w:r>
            <w:r w:rsidRPr="000525E4">
              <w:rPr>
                <w:color w:val="000000"/>
              </w:rPr>
              <w:t xml:space="preserve">). </w:t>
            </w:r>
            <w:r>
              <w:rPr>
                <w:color w:val="000000"/>
              </w:rPr>
              <w:t xml:space="preserve">Pradinės </w:t>
            </w:r>
            <w:r w:rsidRPr="000525E4">
              <w:rPr>
                <w:color w:val="000000"/>
              </w:rPr>
              <w:t>Sutarties kaina yra</w:t>
            </w:r>
            <w:r>
              <w:rPr>
                <w:color w:val="000000"/>
              </w:rPr>
              <w:t>_______</w:t>
            </w:r>
            <w:r w:rsidRPr="000525E4">
              <w:rPr>
                <w:color w:val="000000"/>
              </w:rPr>
              <w:t xml:space="preserve"> (</w:t>
            </w:r>
            <w:r w:rsidRPr="00BA1B47">
              <w:rPr>
                <w:i/>
                <w:color w:val="000000"/>
              </w:rPr>
              <w:t>nurodyti sumą žodžiais</w:t>
            </w:r>
            <w:r w:rsidRPr="000525E4">
              <w:rPr>
                <w:color w:val="000000"/>
              </w:rPr>
              <w:t xml:space="preserve">) </w:t>
            </w:r>
            <w:proofErr w:type="spellStart"/>
            <w:r w:rsidRPr="000525E4">
              <w:rPr>
                <w:color w:val="000000"/>
              </w:rPr>
              <w:t>Eur</w:t>
            </w:r>
            <w:proofErr w:type="spellEnd"/>
            <w:r w:rsidRPr="000525E4">
              <w:rPr>
                <w:color w:val="000000"/>
              </w:rPr>
              <w:t xml:space="preserve"> su PVM. </w:t>
            </w:r>
            <w:r w:rsidRPr="00373C42">
              <w:rPr>
                <w:color w:val="000000"/>
              </w:rPr>
              <w:t xml:space="preserve">Šioje Sutartyje </w:t>
            </w:r>
            <w:r>
              <w:rPr>
                <w:color w:val="000000"/>
              </w:rPr>
              <w:t>pradinės</w:t>
            </w:r>
            <w:r w:rsidRPr="000A4C1F">
              <w:rPr>
                <w:color w:val="000000"/>
              </w:rPr>
              <w:t xml:space="preserve"> Sutarties vertė yra lygi </w:t>
            </w:r>
            <w:r w:rsidRPr="000A4C1F">
              <w:rPr>
                <w:b/>
                <w:color w:val="000000"/>
              </w:rPr>
              <w:t>Pardavėjo</w:t>
            </w:r>
            <w:r w:rsidRPr="000A4C1F">
              <w:rPr>
                <w:color w:val="000000"/>
              </w:rPr>
              <w:t xml:space="preserve"> pasiūlymo kainai be PVM, apskaičiuotai sudauginus maksimalų Prekių kiekį iš </w:t>
            </w:r>
            <w:r>
              <w:rPr>
                <w:color w:val="000000"/>
              </w:rPr>
              <w:t>kainos galiojančios susipažinimo su pasiūlymais dien</w:t>
            </w:r>
            <w:r w:rsidR="00EA2098">
              <w:rPr>
                <w:color w:val="000000"/>
              </w:rPr>
              <w:t>ą</w:t>
            </w:r>
            <w:r>
              <w:rPr>
                <w:color w:val="000000"/>
              </w:rPr>
              <w:t xml:space="preserve"> apskaičiuotos pagal Sutarties specialiosios dalies 2.3 punktą </w:t>
            </w:r>
            <w:r w:rsidRPr="000A4C1F">
              <w:rPr>
                <w:color w:val="000000"/>
              </w:rPr>
              <w:t xml:space="preserve">be PVM, įvertinant </w:t>
            </w:r>
            <w:r w:rsidRPr="000A4C1F">
              <w:rPr>
                <w:b/>
                <w:color w:val="000000"/>
              </w:rPr>
              <w:t>Pardavėjo</w:t>
            </w:r>
            <w:r w:rsidRPr="000A4C1F">
              <w:rPr>
                <w:color w:val="000000"/>
              </w:rPr>
              <w:t xml:space="preserve"> siūlomą </w:t>
            </w:r>
            <w:r>
              <w:rPr>
                <w:color w:val="000000"/>
              </w:rPr>
              <w:t>priedą</w:t>
            </w:r>
            <w:r w:rsidRPr="000A4C1F">
              <w:rPr>
                <w:color w:val="000000"/>
              </w:rPr>
              <w:t xml:space="preserve"> (</w:t>
            </w:r>
            <w:r>
              <w:rPr>
                <w:color w:val="000000"/>
              </w:rPr>
              <w:t>nuolaidą</w:t>
            </w:r>
            <w:r w:rsidRPr="000A4C1F">
              <w:rPr>
                <w:color w:val="000000"/>
              </w:rPr>
              <w:t>).</w:t>
            </w:r>
          </w:p>
        </w:tc>
      </w:tr>
      <w:tr w:rsidR="0051758C" w:rsidTr="00186E29">
        <w:trPr>
          <w:trHeight w:val="702"/>
        </w:trPr>
        <w:tc>
          <w:tcPr>
            <w:tcW w:w="5000" w:type="pct"/>
            <w:tcBorders>
              <w:top w:val="single" w:sz="4" w:space="0" w:color="auto"/>
              <w:left w:val="single" w:sz="4" w:space="0" w:color="auto"/>
              <w:bottom w:val="single" w:sz="4" w:space="0" w:color="auto"/>
              <w:right w:val="single" w:sz="4" w:space="0" w:color="auto"/>
            </w:tcBorders>
          </w:tcPr>
          <w:p w:rsidR="0051758C" w:rsidRPr="00EB4422" w:rsidRDefault="0051758C">
            <w:pPr>
              <w:rPr>
                <w:b/>
              </w:rPr>
            </w:pPr>
            <w:r w:rsidRPr="00EB4422">
              <w:rPr>
                <w:b/>
              </w:rPr>
              <w:lastRenderedPageBreak/>
              <w:t>3. Prek</w:t>
            </w:r>
            <w:r w:rsidR="00333319">
              <w:rPr>
                <w:b/>
              </w:rPr>
              <w:t>ės</w:t>
            </w:r>
            <w:r w:rsidRPr="00EB4422">
              <w:rPr>
                <w:b/>
              </w:rPr>
              <w:t xml:space="preserve"> pristatymo vieta, terminas ir sąlygos</w:t>
            </w:r>
          </w:p>
          <w:p w:rsidR="00530E31" w:rsidRDefault="009C1D26" w:rsidP="00530E31">
            <w:pPr>
              <w:jc w:val="both"/>
              <w:rPr>
                <w:shd w:val="clear" w:color="auto" w:fill="FFFFFF"/>
                <w:lang w:eastAsia="ar-SA"/>
              </w:rPr>
            </w:pPr>
            <w:r w:rsidRPr="00F423AB">
              <w:t>3.1.</w:t>
            </w:r>
            <w:r w:rsidRPr="00F00DD3">
              <w:rPr>
                <w:b/>
              </w:rPr>
              <w:t xml:space="preserve"> </w:t>
            </w:r>
            <w:r w:rsidR="00530E31" w:rsidRPr="003C2EDC">
              <w:rPr>
                <w:b/>
                <w:shd w:val="clear" w:color="auto" w:fill="FFFFFF"/>
                <w:lang w:eastAsia="ar-SA"/>
              </w:rPr>
              <w:t>Pardavėjas</w:t>
            </w:r>
            <w:r w:rsidR="00530E31" w:rsidRPr="007D7B41">
              <w:rPr>
                <w:shd w:val="clear" w:color="auto" w:fill="FFFFFF"/>
                <w:lang w:eastAsia="ar-SA"/>
              </w:rPr>
              <w:t xml:space="preserve"> įsipareigoja pristatyti </w:t>
            </w:r>
            <w:r w:rsidR="00530E31">
              <w:rPr>
                <w:shd w:val="clear" w:color="auto" w:fill="FFFFFF"/>
                <w:lang w:eastAsia="ar-SA"/>
              </w:rPr>
              <w:t>prek</w:t>
            </w:r>
            <w:r w:rsidR="00333319">
              <w:rPr>
                <w:shd w:val="clear" w:color="auto" w:fill="FFFFFF"/>
                <w:lang w:eastAsia="ar-SA"/>
              </w:rPr>
              <w:t>ę</w:t>
            </w:r>
            <w:r w:rsidR="00530E31">
              <w:rPr>
                <w:shd w:val="clear" w:color="auto" w:fill="FFFFFF"/>
                <w:lang w:eastAsia="ar-SA"/>
              </w:rPr>
              <w:t xml:space="preserve"> </w:t>
            </w:r>
            <w:r w:rsidR="00530E31" w:rsidRPr="00D15959">
              <w:rPr>
                <w:b/>
                <w:shd w:val="clear" w:color="auto" w:fill="FFFFFF"/>
                <w:lang w:eastAsia="ar-SA"/>
              </w:rPr>
              <w:t>Gavėjui</w:t>
            </w:r>
            <w:r w:rsidR="00530E31">
              <w:rPr>
                <w:shd w:val="clear" w:color="auto" w:fill="FFFFFF"/>
                <w:lang w:eastAsia="ar-SA"/>
              </w:rPr>
              <w:t xml:space="preserve"> adresu</w:t>
            </w:r>
            <w:r w:rsidR="00530E31" w:rsidRPr="007D7B41">
              <w:rPr>
                <w:shd w:val="clear" w:color="auto" w:fill="FFFFFF"/>
                <w:lang w:eastAsia="ar-SA"/>
              </w:rPr>
              <w:t xml:space="preserve"> </w:t>
            </w:r>
            <w:r w:rsidR="00530E31" w:rsidRPr="00530E31">
              <w:rPr>
                <w:shd w:val="clear" w:color="auto" w:fill="FFFFFF"/>
                <w:lang w:eastAsia="ar-SA"/>
              </w:rPr>
              <w:t>Aerouosto g. 11</w:t>
            </w:r>
            <w:r w:rsidR="00530E31">
              <w:rPr>
                <w:shd w:val="clear" w:color="auto" w:fill="FFFFFF"/>
                <w:lang w:eastAsia="ar-SA"/>
              </w:rPr>
              <w:t xml:space="preserve">, </w:t>
            </w:r>
            <w:r w:rsidR="003110EC" w:rsidRPr="003110EC">
              <w:rPr>
                <w:shd w:val="clear" w:color="auto" w:fill="FFFFFF"/>
                <w:lang w:eastAsia="ar-SA"/>
              </w:rPr>
              <w:t>Šiauliai</w:t>
            </w:r>
            <w:r w:rsidR="003110EC">
              <w:rPr>
                <w:shd w:val="clear" w:color="auto" w:fill="FFFFFF"/>
                <w:lang w:eastAsia="ar-SA"/>
              </w:rPr>
              <w:t xml:space="preserve"> </w:t>
            </w:r>
            <w:r w:rsidR="00C42746">
              <w:rPr>
                <w:shd w:val="clear" w:color="auto" w:fill="FFFFFF"/>
                <w:lang w:eastAsia="ar-SA"/>
              </w:rPr>
              <w:t>(e</w:t>
            </w:r>
            <w:r w:rsidR="00C42746" w:rsidRPr="00C42746">
              <w:rPr>
                <w:shd w:val="clear" w:color="auto" w:fill="FFFFFF"/>
                <w:lang w:eastAsia="ar-SA"/>
              </w:rPr>
              <w:t>sant būtinybei, atsiradus naujai pristatymo vietai, bet kuri Lietuvos Respublikos teritorijoje esanti vietovė</w:t>
            </w:r>
            <w:r w:rsidR="00C42746">
              <w:rPr>
                <w:shd w:val="clear" w:color="auto" w:fill="FFFFFF"/>
                <w:lang w:eastAsia="ar-SA"/>
              </w:rPr>
              <w:t>)</w:t>
            </w:r>
            <w:r w:rsidR="00C42746" w:rsidRPr="00C42746">
              <w:rPr>
                <w:shd w:val="clear" w:color="auto" w:fill="FFFFFF"/>
                <w:lang w:eastAsia="ar-SA"/>
              </w:rPr>
              <w:t xml:space="preserve"> </w:t>
            </w:r>
            <w:r w:rsidR="00530E31">
              <w:rPr>
                <w:shd w:val="clear" w:color="auto" w:fill="FFFFFF"/>
                <w:lang w:eastAsia="ar-SA"/>
              </w:rPr>
              <w:t>pagal</w:t>
            </w:r>
            <w:r w:rsidR="00530E31">
              <w:t xml:space="preserve"> </w:t>
            </w:r>
            <w:r w:rsidR="00530E31" w:rsidRPr="003C2EDC">
              <w:rPr>
                <w:b/>
                <w:shd w:val="clear" w:color="auto" w:fill="FFFFFF"/>
                <w:lang w:eastAsia="ar-SA"/>
              </w:rPr>
              <w:t>Pirkėjo</w:t>
            </w:r>
            <w:r w:rsidR="00530E31" w:rsidRPr="007D7B41">
              <w:rPr>
                <w:shd w:val="clear" w:color="auto" w:fill="FFFFFF"/>
                <w:lang w:eastAsia="ar-SA"/>
              </w:rPr>
              <w:t xml:space="preserve"> </w:t>
            </w:r>
            <w:r w:rsidR="00530E31">
              <w:rPr>
                <w:shd w:val="clear" w:color="auto" w:fill="FFFFFF"/>
                <w:lang w:eastAsia="ar-SA"/>
              </w:rPr>
              <w:t xml:space="preserve">teikiamus </w:t>
            </w:r>
            <w:r w:rsidR="00530E31" w:rsidRPr="007D7B41">
              <w:rPr>
                <w:shd w:val="clear" w:color="auto" w:fill="FFFFFF"/>
                <w:lang w:eastAsia="ar-SA"/>
              </w:rPr>
              <w:t>užsakym</w:t>
            </w:r>
            <w:r w:rsidR="00530E31">
              <w:rPr>
                <w:shd w:val="clear" w:color="auto" w:fill="FFFFFF"/>
                <w:lang w:eastAsia="ar-SA"/>
              </w:rPr>
              <w:t>u</w:t>
            </w:r>
            <w:r w:rsidR="00530E31" w:rsidRPr="007D7B41">
              <w:rPr>
                <w:shd w:val="clear" w:color="auto" w:fill="FFFFFF"/>
                <w:lang w:eastAsia="ar-SA"/>
              </w:rPr>
              <w:t>s</w:t>
            </w:r>
            <w:r w:rsidR="00F423AB">
              <w:rPr>
                <w:shd w:val="clear" w:color="auto" w:fill="FFFFFF"/>
                <w:lang w:eastAsia="ar-SA"/>
              </w:rPr>
              <w:t xml:space="preserve"> užpildant </w:t>
            </w:r>
            <w:r w:rsidR="00530E31" w:rsidRPr="007D7B41">
              <w:rPr>
                <w:shd w:val="clear" w:color="auto" w:fill="FFFFFF"/>
                <w:lang w:eastAsia="ar-SA"/>
              </w:rPr>
              <w:t xml:space="preserve">Sutarties </w:t>
            </w:r>
            <w:r w:rsidR="00530E31">
              <w:rPr>
                <w:shd w:val="clear" w:color="auto" w:fill="FFFFFF"/>
                <w:lang w:eastAsia="ar-SA"/>
              </w:rPr>
              <w:t>2</w:t>
            </w:r>
            <w:r w:rsidR="00530E31" w:rsidRPr="007D7B41">
              <w:rPr>
                <w:shd w:val="clear" w:color="auto" w:fill="FFFFFF"/>
                <w:lang w:eastAsia="ar-SA"/>
              </w:rPr>
              <w:t xml:space="preserve"> pried</w:t>
            </w:r>
            <w:r w:rsidR="00F423AB">
              <w:rPr>
                <w:shd w:val="clear" w:color="auto" w:fill="FFFFFF"/>
                <w:lang w:eastAsia="ar-SA"/>
              </w:rPr>
              <w:t>ą</w:t>
            </w:r>
            <w:r w:rsidR="00530E31" w:rsidRPr="007D7B41">
              <w:rPr>
                <w:shd w:val="clear" w:color="auto" w:fill="FFFFFF"/>
                <w:lang w:eastAsia="ar-SA"/>
              </w:rPr>
              <w:t xml:space="preserve"> „Prek</w:t>
            </w:r>
            <w:r w:rsidR="00B72804">
              <w:rPr>
                <w:shd w:val="clear" w:color="auto" w:fill="FFFFFF"/>
                <w:lang w:eastAsia="ar-SA"/>
              </w:rPr>
              <w:t>ių</w:t>
            </w:r>
            <w:r w:rsidR="00530E31" w:rsidRPr="007D7B41">
              <w:rPr>
                <w:shd w:val="clear" w:color="auto" w:fill="FFFFFF"/>
                <w:lang w:eastAsia="ar-SA"/>
              </w:rPr>
              <w:t xml:space="preserve"> tiekimo užsakymas Nr.</w:t>
            </w:r>
            <w:r w:rsidR="00530E31">
              <w:rPr>
                <w:shd w:val="clear" w:color="auto" w:fill="FFFFFF"/>
                <w:lang w:eastAsia="ar-SA"/>
              </w:rPr>
              <w:t xml:space="preserve"> </w:t>
            </w:r>
            <w:r w:rsidR="00530E31" w:rsidRPr="004604CE">
              <w:rPr>
                <w:i/>
                <w:shd w:val="clear" w:color="auto" w:fill="FFFFFF"/>
                <w:lang w:eastAsia="ar-SA"/>
              </w:rPr>
              <w:t>(Forma)</w:t>
            </w:r>
            <w:r w:rsidR="00530E31" w:rsidRPr="007D7B41">
              <w:rPr>
                <w:shd w:val="clear" w:color="auto" w:fill="FFFFFF"/>
                <w:lang w:eastAsia="ar-SA"/>
              </w:rPr>
              <w:t xml:space="preserve">“ (toliau – </w:t>
            </w:r>
            <w:r w:rsidR="00530E31">
              <w:rPr>
                <w:shd w:val="clear" w:color="auto" w:fill="FFFFFF"/>
                <w:lang w:eastAsia="ar-SA"/>
              </w:rPr>
              <w:t>2</w:t>
            </w:r>
            <w:r w:rsidR="00530E31" w:rsidRPr="007D7B41">
              <w:rPr>
                <w:shd w:val="clear" w:color="auto" w:fill="FFFFFF"/>
                <w:lang w:eastAsia="ar-SA"/>
              </w:rPr>
              <w:t xml:space="preserve"> priedas</w:t>
            </w:r>
            <w:r w:rsidR="00F423AB">
              <w:rPr>
                <w:shd w:val="clear" w:color="auto" w:fill="FFFFFF"/>
                <w:lang w:eastAsia="ar-SA"/>
              </w:rPr>
              <w:t xml:space="preserve"> arba užsakymas</w:t>
            </w:r>
            <w:r w:rsidR="00530E31" w:rsidRPr="007D7B41">
              <w:rPr>
                <w:shd w:val="clear" w:color="auto" w:fill="FFFFFF"/>
                <w:lang w:eastAsia="ar-SA"/>
              </w:rPr>
              <w:t>)</w:t>
            </w:r>
          </w:p>
          <w:p w:rsidR="000C496C" w:rsidRDefault="000C496C" w:rsidP="00530E31">
            <w:pPr>
              <w:jc w:val="both"/>
              <w:rPr>
                <w:shd w:val="clear" w:color="auto" w:fill="FFFFFF"/>
                <w:lang w:eastAsia="ar-SA"/>
              </w:rPr>
            </w:pPr>
            <w:r w:rsidRPr="00F423AB">
              <w:rPr>
                <w:shd w:val="clear" w:color="auto" w:fill="FFFFFF"/>
                <w:lang w:eastAsia="ar-SA"/>
              </w:rPr>
              <w:t>3.2.</w:t>
            </w:r>
            <w:r>
              <w:rPr>
                <w:shd w:val="clear" w:color="auto" w:fill="FFFFFF"/>
                <w:lang w:eastAsia="ar-SA"/>
              </w:rPr>
              <w:t xml:space="preserve"> Prek</w:t>
            </w:r>
            <w:r w:rsidR="00333319">
              <w:rPr>
                <w:shd w:val="clear" w:color="auto" w:fill="FFFFFF"/>
                <w:lang w:eastAsia="ar-SA"/>
              </w:rPr>
              <w:t>ės</w:t>
            </w:r>
            <w:r>
              <w:rPr>
                <w:shd w:val="clear" w:color="auto" w:fill="FFFFFF"/>
                <w:lang w:eastAsia="ar-SA"/>
              </w:rPr>
              <w:t xml:space="preserve"> pristatymo terminas – </w:t>
            </w:r>
            <w:r w:rsidRPr="003C2EDC">
              <w:rPr>
                <w:b/>
                <w:shd w:val="clear" w:color="auto" w:fill="FFFFFF"/>
                <w:lang w:eastAsia="ar-SA"/>
              </w:rPr>
              <w:t>Pirkėjo</w:t>
            </w:r>
            <w:r>
              <w:rPr>
                <w:shd w:val="clear" w:color="auto" w:fill="FFFFFF"/>
                <w:lang w:eastAsia="ar-SA"/>
              </w:rPr>
              <w:t xml:space="preserve"> užsakyme nurodyta prekės pristatymo diena.</w:t>
            </w:r>
          </w:p>
          <w:p w:rsidR="000C496C" w:rsidRDefault="000C496C" w:rsidP="00530E31">
            <w:pPr>
              <w:jc w:val="both"/>
              <w:rPr>
                <w:shd w:val="clear" w:color="auto" w:fill="FFFFFF"/>
                <w:lang w:eastAsia="ar-SA"/>
              </w:rPr>
            </w:pPr>
            <w:r w:rsidRPr="00F423AB">
              <w:rPr>
                <w:shd w:val="clear" w:color="auto" w:fill="FFFFFF"/>
                <w:lang w:eastAsia="ar-SA"/>
              </w:rPr>
              <w:t>3.3.</w:t>
            </w:r>
            <w:r>
              <w:rPr>
                <w:shd w:val="clear" w:color="auto" w:fill="FFFFFF"/>
                <w:lang w:eastAsia="ar-SA"/>
              </w:rPr>
              <w:t xml:space="preserve"> </w:t>
            </w:r>
            <w:r w:rsidRPr="003C2EDC">
              <w:rPr>
                <w:b/>
                <w:shd w:val="clear" w:color="auto" w:fill="FFFFFF"/>
                <w:lang w:eastAsia="ar-SA"/>
              </w:rPr>
              <w:t>Pirkėjas</w:t>
            </w:r>
            <w:r>
              <w:rPr>
                <w:shd w:val="clear" w:color="auto" w:fill="FFFFFF"/>
                <w:lang w:eastAsia="ar-SA"/>
              </w:rPr>
              <w:t xml:space="preserve"> </w:t>
            </w:r>
            <w:r w:rsidRPr="00152AB8">
              <w:rPr>
                <w:shd w:val="clear" w:color="auto" w:fill="FFFFFF"/>
                <w:lang w:eastAsia="ar-SA"/>
              </w:rPr>
              <w:t>užsakymą</w:t>
            </w:r>
            <w:r>
              <w:rPr>
                <w:shd w:val="clear" w:color="auto" w:fill="FFFFFF"/>
                <w:lang w:eastAsia="ar-SA"/>
              </w:rPr>
              <w:t xml:space="preserve"> </w:t>
            </w:r>
            <w:r w:rsidRPr="003C2EDC">
              <w:rPr>
                <w:b/>
                <w:shd w:val="clear" w:color="auto" w:fill="FFFFFF"/>
                <w:lang w:eastAsia="ar-SA"/>
              </w:rPr>
              <w:t xml:space="preserve">Pardavėjui </w:t>
            </w:r>
            <w:r w:rsidRPr="00152AB8">
              <w:rPr>
                <w:shd w:val="clear" w:color="auto" w:fill="FFFFFF"/>
                <w:lang w:eastAsia="ar-SA"/>
              </w:rPr>
              <w:t>pateikia el. paštu</w:t>
            </w:r>
            <w:r w:rsidR="008036B8">
              <w:rPr>
                <w:shd w:val="clear" w:color="auto" w:fill="FFFFFF"/>
                <w:lang w:eastAsia="ar-SA"/>
              </w:rPr>
              <w:t xml:space="preserve"> _____________</w:t>
            </w:r>
            <w:r w:rsidR="00F423AB">
              <w:rPr>
                <w:shd w:val="clear" w:color="auto" w:fill="FFFFFF"/>
                <w:lang w:eastAsia="ar-SA"/>
              </w:rPr>
              <w:t xml:space="preserve"> </w:t>
            </w:r>
            <w:r>
              <w:rPr>
                <w:shd w:val="clear" w:color="auto" w:fill="FFFFFF"/>
                <w:lang w:eastAsia="ar-SA"/>
              </w:rPr>
              <w:t xml:space="preserve">ne vėliau kaip prieš </w:t>
            </w:r>
            <w:r w:rsidR="00337CFF">
              <w:rPr>
                <w:shd w:val="clear" w:color="auto" w:fill="FFFFFF"/>
                <w:lang w:eastAsia="ar-SA"/>
              </w:rPr>
              <w:t>3</w:t>
            </w:r>
            <w:r w:rsidR="00C328D2">
              <w:rPr>
                <w:shd w:val="clear" w:color="auto" w:fill="FFFFFF"/>
                <w:lang w:eastAsia="ar-SA"/>
              </w:rPr>
              <w:t xml:space="preserve"> </w:t>
            </w:r>
            <w:r>
              <w:rPr>
                <w:shd w:val="clear" w:color="auto" w:fill="FFFFFF"/>
                <w:lang w:eastAsia="ar-SA"/>
              </w:rPr>
              <w:t>(</w:t>
            </w:r>
            <w:r w:rsidR="00337CFF">
              <w:rPr>
                <w:shd w:val="clear" w:color="auto" w:fill="FFFFFF"/>
                <w:lang w:eastAsia="ar-SA"/>
              </w:rPr>
              <w:t>tris</w:t>
            </w:r>
            <w:r>
              <w:rPr>
                <w:shd w:val="clear" w:color="auto" w:fill="FFFFFF"/>
                <w:lang w:eastAsia="ar-SA"/>
              </w:rPr>
              <w:t>) darbo dien</w:t>
            </w:r>
            <w:r w:rsidR="00337CFF">
              <w:rPr>
                <w:shd w:val="clear" w:color="auto" w:fill="FFFFFF"/>
                <w:lang w:eastAsia="ar-SA"/>
              </w:rPr>
              <w:t>as</w:t>
            </w:r>
            <w:r>
              <w:rPr>
                <w:shd w:val="clear" w:color="auto" w:fill="FFFFFF"/>
                <w:lang w:eastAsia="ar-SA"/>
              </w:rPr>
              <w:t xml:space="preserve"> iki užsakyme nurodyto prekės pristatymo termino. </w:t>
            </w:r>
            <w:r w:rsidR="00413C13" w:rsidRPr="00413C13">
              <w:rPr>
                <w:szCs w:val="20"/>
              </w:rPr>
              <w:t xml:space="preserve">Užsakymai pateikiami darbo dienomis </w:t>
            </w:r>
            <w:r w:rsidR="00413C13" w:rsidRPr="00413C13">
              <w:rPr>
                <w:lang w:eastAsia="en-US"/>
              </w:rPr>
              <w:t>iki 16.00 valandos Lietuvos Respublikos laiku.</w:t>
            </w:r>
          </w:p>
          <w:p w:rsidR="009C1D26" w:rsidRPr="00074187" w:rsidRDefault="003110EC" w:rsidP="009C1D26">
            <w:pPr>
              <w:jc w:val="both"/>
            </w:pPr>
            <w:r w:rsidRPr="00074187">
              <w:rPr>
                <w:color w:val="FF0000"/>
              </w:rPr>
              <w:t>3.</w:t>
            </w:r>
            <w:r w:rsidR="0072572E" w:rsidRPr="00074187">
              <w:rPr>
                <w:color w:val="FF0000"/>
              </w:rPr>
              <w:t>4</w:t>
            </w:r>
            <w:r w:rsidRPr="00074187">
              <w:rPr>
                <w:color w:val="FF0000"/>
              </w:rPr>
              <w:t>.</w:t>
            </w:r>
            <w:r w:rsidR="00074187" w:rsidRPr="00074187">
              <w:rPr>
                <w:color w:val="FF0000"/>
              </w:rPr>
              <w:t xml:space="preserve"> </w:t>
            </w:r>
            <w:r w:rsidR="00074187" w:rsidRPr="00074187">
              <w:rPr>
                <w:b/>
                <w:color w:val="FF0000"/>
              </w:rPr>
              <w:t>Pardavėjas</w:t>
            </w:r>
            <w:r w:rsidR="00074187" w:rsidRPr="00074187">
              <w:rPr>
                <w:color w:val="FF0000"/>
              </w:rPr>
              <w:t xml:space="preserve"> prekę užsakyme nurodytu adresu per užsakyme nurodytą terminą turi pristatyti </w:t>
            </w:r>
            <w:r w:rsidR="00074187" w:rsidRPr="00074187">
              <w:rPr>
                <w:b/>
                <w:color w:val="FF0000"/>
              </w:rPr>
              <w:t>Gavėjui</w:t>
            </w:r>
            <w:r w:rsidR="00074187" w:rsidRPr="00074187">
              <w:rPr>
                <w:color w:val="FF0000"/>
              </w:rPr>
              <w:t xml:space="preserve"> darbo dienomis ir poilsio dienomis 24 valandas per parą. Jei numatomas prekių pristatymas po darbo valandų t. y. nuo 17.00 – 8.00 val. ar poilsio dienomis </w:t>
            </w:r>
            <w:r w:rsidR="00074187" w:rsidRPr="00074187">
              <w:rPr>
                <w:b/>
                <w:color w:val="FF0000"/>
              </w:rPr>
              <w:t>Pardavėjas</w:t>
            </w:r>
            <w:r w:rsidR="00074187" w:rsidRPr="00074187">
              <w:rPr>
                <w:color w:val="FF0000"/>
              </w:rPr>
              <w:t xml:space="preserve"> ne vėliau kaip 24 val. (jei pristatymas numatomas poilsio dieną, tada paskutinę darbo dieną iki 12.00 val.) iki pristatymo apie tai informuoja </w:t>
            </w:r>
            <w:r w:rsidR="00074187" w:rsidRPr="00074187">
              <w:rPr>
                <w:b/>
                <w:color w:val="FF0000"/>
              </w:rPr>
              <w:t>Gavėją</w:t>
            </w:r>
            <w:r w:rsidR="00074187" w:rsidRPr="00074187">
              <w:t>.</w:t>
            </w:r>
          </w:p>
          <w:p w:rsidR="009C1D26" w:rsidRDefault="009C1D26" w:rsidP="009C1D26">
            <w:pPr>
              <w:jc w:val="both"/>
            </w:pPr>
            <w:r w:rsidRPr="00F423AB">
              <w:t>3.</w:t>
            </w:r>
            <w:r w:rsidR="00E64805" w:rsidRPr="00F423AB">
              <w:t>5</w:t>
            </w:r>
            <w:r w:rsidRPr="00F423AB">
              <w:t>.</w:t>
            </w:r>
            <w:r w:rsidRPr="00555ADB">
              <w:rPr>
                <w:b/>
              </w:rPr>
              <w:t xml:space="preserve"> </w:t>
            </w:r>
            <w:r w:rsidR="00F27BE3">
              <w:rPr>
                <w:b/>
              </w:rPr>
              <w:t>Gavė</w:t>
            </w:r>
            <w:r w:rsidRPr="00555ADB">
              <w:rPr>
                <w:b/>
              </w:rPr>
              <w:t>jas</w:t>
            </w:r>
            <w:r w:rsidRPr="00555ADB">
              <w:t xml:space="preserve"> nedelsiant, bet ne vėliau kaip per 1 (vieną) valandą nuo prekės pristatymo momento</w:t>
            </w:r>
            <w:r>
              <w:t xml:space="preserve"> </w:t>
            </w:r>
            <w:r w:rsidRPr="00555ADB">
              <w:t>privalo nurodyti talpykl</w:t>
            </w:r>
            <w:r w:rsidR="00F27BE3">
              <w:t>ą (-</w:t>
            </w:r>
            <w:proofErr w:type="spellStart"/>
            <w:r w:rsidRPr="00555ADB">
              <w:t>as</w:t>
            </w:r>
            <w:proofErr w:type="spellEnd"/>
            <w:r w:rsidR="00F27BE3">
              <w:t>)</w:t>
            </w:r>
            <w:r w:rsidRPr="00555ADB">
              <w:t>, į kuri</w:t>
            </w:r>
            <w:r w:rsidR="00D0543B">
              <w:t>ą (-</w:t>
            </w:r>
            <w:proofErr w:type="spellStart"/>
            <w:r w:rsidR="00D0543B">
              <w:t>i</w:t>
            </w:r>
            <w:r w:rsidRPr="00555ADB">
              <w:t>as</w:t>
            </w:r>
            <w:proofErr w:type="spellEnd"/>
            <w:r w:rsidR="00D0543B">
              <w:t>)</w:t>
            </w:r>
            <w:r w:rsidRPr="00555ADB">
              <w:t xml:space="preserve"> turi būti iškraunama </w:t>
            </w:r>
            <w:r w:rsidR="006528B6">
              <w:t>p</w:t>
            </w:r>
            <w:r w:rsidRPr="00555ADB">
              <w:t>rekė.</w:t>
            </w:r>
          </w:p>
          <w:p w:rsidR="009C1D26" w:rsidRPr="00EC16EB" w:rsidRDefault="009C1D26" w:rsidP="009C1D26">
            <w:pPr>
              <w:jc w:val="both"/>
            </w:pPr>
            <w:r w:rsidRPr="00F423AB">
              <w:rPr>
                <w:bCs/>
                <w:lang w:eastAsia="en-US"/>
              </w:rPr>
              <w:t>3.</w:t>
            </w:r>
            <w:r w:rsidR="00E64805" w:rsidRPr="00F423AB">
              <w:rPr>
                <w:bCs/>
                <w:lang w:eastAsia="en-US"/>
              </w:rPr>
              <w:t>6</w:t>
            </w:r>
            <w:r w:rsidRPr="00F423AB">
              <w:rPr>
                <w:bCs/>
                <w:lang w:eastAsia="en-US"/>
              </w:rPr>
              <w:t>.</w:t>
            </w:r>
            <w:r w:rsidRPr="00EC16EB">
              <w:rPr>
                <w:b/>
                <w:bCs/>
                <w:lang w:eastAsia="en-US"/>
              </w:rPr>
              <w:t xml:space="preserve"> </w:t>
            </w:r>
            <w:r w:rsidR="008B7664" w:rsidRPr="008B7664">
              <w:rPr>
                <w:bCs/>
                <w:lang w:eastAsia="en-US"/>
              </w:rPr>
              <w:t xml:space="preserve">Vadovaujantis Lietuvos Respublikos energetikos ministro 2010 m. liepos 16 d. įsakymu Nr. 1-207 „Dėl kuro natūralios netekties normų patvirtinimo“ </w:t>
            </w:r>
            <w:r w:rsidR="008B7664" w:rsidRPr="008B7664">
              <w:rPr>
                <w:b/>
                <w:bCs/>
                <w:lang w:eastAsia="en-US"/>
              </w:rPr>
              <w:t>Pardavėjo</w:t>
            </w:r>
            <w:r w:rsidR="008B7664">
              <w:rPr>
                <w:bCs/>
                <w:lang w:eastAsia="en-US"/>
              </w:rPr>
              <w:t xml:space="preserve"> </w:t>
            </w:r>
            <w:r w:rsidRPr="00EC16EB">
              <w:rPr>
                <w:lang w:eastAsia="en-US"/>
              </w:rPr>
              <w:t xml:space="preserve">pristatytos prekės kiekis laikomas atitinkančiu šios Sutarties sąlygas, jeigu  skirtumas tarp prekę lydinčiuose dokumentuose nurodyto prekės kiekio, ir prekės kiekio, nustatyto priimant prekę (toliau prekių kiekio skirtumas), nesiskiria daugiau kaip </w:t>
            </w:r>
            <w:r w:rsidRPr="00EC16EB">
              <w:rPr>
                <w:u w:val="single"/>
                <w:lang w:eastAsia="en-US"/>
              </w:rPr>
              <w:t>+</w:t>
            </w:r>
            <w:r w:rsidRPr="00EC16EB">
              <w:rPr>
                <w:lang w:eastAsia="en-US"/>
              </w:rPr>
              <w:t>0,5 procento</w:t>
            </w:r>
            <w:r w:rsidR="008B7664">
              <w:rPr>
                <w:lang w:eastAsia="en-US"/>
              </w:rPr>
              <w:t>:</w:t>
            </w:r>
            <w:r w:rsidRPr="00EC16EB">
              <w:rPr>
                <w:lang w:eastAsia="en-US"/>
              </w:rPr>
              <w:t xml:space="preserve"> </w:t>
            </w:r>
          </w:p>
          <w:p w:rsidR="00B704D3" w:rsidRPr="00DD16FD" w:rsidRDefault="009C1D26" w:rsidP="009C1D26">
            <w:pPr>
              <w:jc w:val="both"/>
            </w:pPr>
            <w:r w:rsidRPr="00F423AB">
              <w:t>3.</w:t>
            </w:r>
            <w:r w:rsidR="008B7664" w:rsidRPr="00F423AB">
              <w:t>6</w:t>
            </w:r>
            <w:r w:rsidRPr="00F423AB">
              <w:t>.1</w:t>
            </w:r>
            <w:r w:rsidRPr="00C12300">
              <w:rPr>
                <w:color w:val="000000"/>
              </w:rPr>
              <w:t xml:space="preserve">. </w:t>
            </w:r>
            <w:r w:rsidR="00B704D3" w:rsidRPr="00DD16FD">
              <w:t xml:space="preserve">Jei </w:t>
            </w:r>
            <w:r w:rsidR="00B704D3" w:rsidRPr="00DD16FD">
              <w:rPr>
                <w:b/>
              </w:rPr>
              <w:t>Pardavėjo</w:t>
            </w:r>
            <w:r w:rsidR="00B704D3" w:rsidRPr="00DD16FD">
              <w:t xml:space="preserve"> pristatyt</w:t>
            </w:r>
            <w:r w:rsidR="00AC3D19">
              <w:t>os</w:t>
            </w:r>
            <w:r w:rsidR="00B704D3" w:rsidRPr="00DD16FD">
              <w:t xml:space="preserve"> prek</w:t>
            </w:r>
            <w:r w:rsidR="00AC3D19">
              <w:t>ės</w:t>
            </w:r>
            <w:r w:rsidR="00B704D3" w:rsidRPr="00DD16FD">
              <w:t xml:space="preserve"> kiekio skirtumas yra didesnis nei </w:t>
            </w:r>
            <w:r w:rsidR="00E32E52">
              <w:t>-</w:t>
            </w:r>
            <w:r w:rsidR="00B704D3" w:rsidRPr="00DD16FD">
              <w:t xml:space="preserve"> 0,5 procento, </w:t>
            </w:r>
            <w:proofErr w:type="spellStart"/>
            <w:r w:rsidR="00B704D3" w:rsidRPr="00DD16FD">
              <w:t>t.y</w:t>
            </w:r>
            <w:proofErr w:type="spellEnd"/>
            <w:r w:rsidR="00B704D3" w:rsidRPr="00DD16FD">
              <w:t xml:space="preserve">. </w:t>
            </w:r>
            <w:r w:rsidR="00B704D3" w:rsidRPr="00DD16FD">
              <w:rPr>
                <w:b/>
              </w:rPr>
              <w:t>Gavėjui</w:t>
            </w:r>
            <w:r w:rsidR="00B704D3" w:rsidRPr="00DD16FD">
              <w:t xml:space="preserve"> nustačius prekės kiekio trūkumą, </w:t>
            </w:r>
            <w:r w:rsidR="00B704D3" w:rsidRPr="00DD16FD">
              <w:rPr>
                <w:b/>
              </w:rPr>
              <w:t>Mokėtojas</w:t>
            </w:r>
            <w:r w:rsidR="00B704D3" w:rsidRPr="00DD16FD">
              <w:t xml:space="preserve"> sumoka už prekę lydinčiuose dokumentuose nurodytą prek</w:t>
            </w:r>
            <w:r w:rsidR="00AC3D19">
              <w:t>ės</w:t>
            </w:r>
            <w:r w:rsidR="00B704D3" w:rsidRPr="00DD16FD">
              <w:t xml:space="preserve"> kiekį ir surašo aktą, kuriame nurodo prek</w:t>
            </w:r>
            <w:r w:rsidR="00AC3D19">
              <w:t>ės</w:t>
            </w:r>
            <w:r w:rsidR="00B704D3" w:rsidRPr="00DD16FD">
              <w:t xml:space="preserve"> kiekio skirtumą. Šiuo atveju </w:t>
            </w:r>
            <w:r w:rsidR="00B704D3" w:rsidRPr="00DD16FD">
              <w:rPr>
                <w:b/>
              </w:rPr>
              <w:t>Pardavėjas</w:t>
            </w:r>
            <w:r w:rsidR="00B704D3" w:rsidRPr="00DD16FD">
              <w:t xml:space="preserve"> įsipareigoja per 15 (penkiolika) dienų (skaičiuojant nuo akto pasirašymo dienos) sumokėti </w:t>
            </w:r>
            <w:r w:rsidR="00B704D3" w:rsidRPr="00DD16FD">
              <w:rPr>
                <w:b/>
              </w:rPr>
              <w:t>Mokėtojui</w:t>
            </w:r>
            <w:r w:rsidR="00B704D3" w:rsidRPr="00DD16FD">
              <w:t xml:space="preserve">  priskaičiuotą skirtumą tarp prekę lydinčiuose dokumentuose nurodyto prek</w:t>
            </w:r>
            <w:r w:rsidR="00AC3D19">
              <w:t>ės</w:t>
            </w:r>
            <w:r w:rsidR="00B704D3" w:rsidRPr="00DD16FD">
              <w:t xml:space="preserve"> kiekio ir faktiškai gauto prek</w:t>
            </w:r>
            <w:r w:rsidR="00AC3D19">
              <w:t>ės</w:t>
            </w:r>
            <w:r w:rsidR="00B704D3" w:rsidRPr="00DD16FD">
              <w:t xml:space="preserve"> kiekio skirtumą, kuris apskaičiuojamas nustatytą prek</w:t>
            </w:r>
            <w:r w:rsidR="00AC3D19">
              <w:t>ės</w:t>
            </w:r>
            <w:r w:rsidR="00B704D3" w:rsidRPr="00DD16FD">
              <w:t xml:space="preserve"> kiekio trūkumą tonomis (viršijantį daugiau kaip 0,5 procento) padauginus iš Sutarties specialiosios dalies 2.3 punkte nustatyta tvarka apskaičiuotos prekės vienos tonos kainos, bet ne mažiau kaip 30,00 (trisdešimt) eurų už kiekvieno pristatymo metu prek</w:t>
            </w:r>
            <w:r w:rsidR="00AC3D19">
              <w:t>ės</w:t>
            </w:r>
            <w:r w:rsidR="00B704D3" w:rsidRPr="00DD16FD">
              <w:t xml:space="preserve"> kiekio neatitikimą, viršijantį nustatytą paklaidą. Vėluodamas sumokėti šiame punkte nurodytą skirtumą </w:t>
            </w:r>
            <w:r w:rsidR="00B704D3" w:rsidRPr="00DD16FD">
              <w:rPr>
                <w:b/>
              </w:rPr>
              <w:t>Pardavėjas</w:t>
            </w:r>
            <w:r w:rsidR="00B704D3" w:rsidRPr="00DD16FD">
              <w:t xml:space="preserve"> moka </w:t>
            </w:r>
            <w:r w:rsidR="00B704D3" w:rsidRPr="00DD16FD">
              <w:rPr>
                <w:b/>
              </w:rPr>
              <w:t>Mokėtojui</w:t>
            </w:r>
            <w:r w:rsidR="00EA2098">
              <w:rPr>
                <w:b/>
              </w:rPr>
              <w:t xml:space="preserve"> </w:t>
            </w:r>
            <w:r w:rsidR="00EA2098" w:rsidRPr="00EA2098">
              <w:t>Šalių</w:t>
            </w:r>
            <w:r w:rsidR="00B704D3" w:rsidRPr="00DD16FD">
              <w:t xml:space="preserve"> iš </w:t>
            </w:r>
            <w:r w:rsidR="00B704D3" w:rsidRPr="00DD16FD">
              <w:lastRenderedPageBreak/>
              <w:t>anksto sutartus minimalius</w:t>
            </w:r>
            <w:r w:rsidR="00EA2098">
              <w:t xml:space="preserve"> nuostolius, kurų dydis yra</w:t>
            </w:r>
            <w:r w:rsidR="00B704D3" w:rsidRPr="00DD16FD">
              <w:t xml:space="preserve"> 0,1 </w:t>
            </w:r>
            <w:r w:rsidR="0070369C">
              <w:t>procento</w:t>
            </w:r>
            <w:r w:rsidR="00B704D3" w:rsidRPr="00DD16FD">
              <w:t xml:space="preserve"> </w:t>
            </w:r>
            <w:r w:rsidR="00DE3190">
              <w:t xml:space="preserve">nuo </w:t>
            </w:r>
            <w:r w:rsidR="00DE3190" w:rsidRPr="00DE3190">
              <w:rPr>
                <w:b/>
              </w:rPr>
              <w:t>Mokėtojo</w:t>
            </w:r>
            <w:r w:rsidR="00DE3190">
              <w:t xml:space="preserve"> nurodytos mokėtinos sumos</w:t>
            </w:r>
            <w:r w:rsidR="00B704D3" w:rsidRPr="00DD16FD">
              <w:t xml:space="preserve"> už kiekvieną pavėluotą dieną. Pagal šį punktą paskaičiuoto skirtumo sumokėjimas neatleidžia </w:t>
            </w:r>
            <w:r w:rsidR="00B704D3" w:rsidRPr="00DD16FD">
              <w:rPr>
                <w:b/>
              </w:rPr>
              <w:t>Pardavėjo</w:t>
            </w:r>
            <w:r w:rsidR="00B704D3" w:rsidRPr="00DD16FD">
              <w:t xml:space="preserve"> nuo pareigos gavus šiame punkte minimą aktą per 3 (tris) darbo dienas perduoti </w:t>
            </w:r>
            <w:r w:rsidR="00B704D3" w:rsidRPr="00DD16FD">
              <w:rPr>
                <w:b/>
              </w:rPr>
              <w:t>Gavėjui</w:t>
            </w:r>
            <w:r w:rsidR="00B704D3" w:rsidRPr="00DD16FD">
              <w:t xml:space="preserve"> nepristatytą prek</w:t>
            </w:r>
            <w:r w:rsidR="00AC3D19">
              <w:t>ės</w:t>
            </w:r>
            <w:r w:rsidR="00B704D3" w:rsidRPr="00DD16FD">
              <w:t xml:space="preserve"> kiekį, jei prekės kiekio trūkumas yra 2000 (du tūkstančiai) ar daugiau litrų, už kurį </w:t>
            </w:r>
            <w:r w:rsidR="00B704D3" w:rsidRPr="00DD16FD">
              <w:rPr>
                <w:b/>
              </w:rPr>
              <w:t>Mokėtojas</w:t>
            </w:r>
            <w:r w:rsidR="00B704D3" w:rsidRPr="00DD16FD">
              <w:t xml:space="preserve"> atsiskaito Sutartyje nustatyta tvarka.</w:t>
            </w:r>
          </w:p>
          <w:p w:rsidR="009C1D26" w:rsidRPr="00EC16EB" w:rsidRDefault="009C1D26" w:rsidP="009C1D26">
            <w:pPr>
              <w:jc w:val="both"/>
              <w:rPr>
                <w:lang w:eastAsia="en-US"/>
              </w:rPr>
            </w:pPr>
            <w:r w:rsidRPr="00F423AB">
              <w:rPr>
                <w:lang w:eastAsia="en-US"/>
              </w:rPr>
              <w:t>3.</w:t>
            </w:r>
            <w:r w:rsidR="00DF6612" w:rsidRPr="00F423AB">
              <w:rPr>
                <w:lang w:eastAsia="en-US"/>
              </w:rPr>
              <w:t>6</w:t>
            </w:r>
            <w:r w:rsidRPr="00F423AB">
              <w:rPr>
                <w:lang w:eastAsia="en-US"/>
              </w:rPr>
              <w:t>.2.</w:t>
            </w:r>
            <w:r w:rsidRPr="00EC16EB">
              <w:rPr>
                <w:lang w:eastAsia="en-US"/>
              </w:rPr>
              <w:t xml:space="preserve"> </w:t>
            </w:r>
            <w:r w:rsidRPr="00295E43">
              <w:rPr>
                <w:lang w:eastAsia="en-US"/>
              </w:rPr>
              <w:t xml:space="preserve">Jei </w:t>
            </w:r>
            <w:r w:rsidRPr="00EE47ED">
              <w:rPr>
                <w:b/>
                <w:lang w:eastAsia="en-US"/>
              </w:rPr>
              <w:t>Pardavėjo</w:t>
            </w:r>
            <w:r w:rsidRPr="00295E43">
              <w:rPr>
                <w:lang w:eastAsia="en-US"/>
              </w:rPr>
              <w:t xml:space="preserve"> pristatyt</w:t>
            </w:r>
            <w:r w:rsidR="00807DDE">
              <w:rPr>
                <w:lang w:eastAsia="en-US"/>
              </w:rPr>
              <w:t>os</w:t>
            </w:r>
            <w:r w:rsidRPr="00295E43">
              <w:rPr>
                <w:lang w:eastAsia="en-US"/>
              </w:rPr>
              <w:t xml:space="preserve"> prek</w:t>
            </w:r>
            <w:r w:rsidR="00807DDE">
              <w:rPr>
                <w:lang w:eastAsia="en-US"/>
              </w:rPr>
              <w:t>ės</w:t>
            </w:r>
            <w:r w:rsidRPr="00295E43">
              <w:rPr>
                <w:lang w:eastAsia="en-US"/>
              </w:rPr>
              <w:t xml:space="preserve"> kiekio skirtumas yra didesnis nei  </w:t>
            </w:r>
            <w:r>
              <w:rPr>
                <w:lang w:eastAsia="en-US"/>
              </w:rPr>
              <w:t>+</w:t>
            </w:r>
            <w:r w:rsidRPr="00295E43">
              <w:rPr>
                <w:lang w:eastAsia="en-US"/>
              </w:rPr>
              <w:t xml:space="preserve">0,5 procento, </w:t>
            </w:r>
            <w:proofErr w:type="spellStart"/>
            <w:r w:rsidRPr="00295E43">
              <w:rPr>
                <w:lang w:eastAsia="en-US"/>
              </w:rPr>
              <w:t>t.y</w:t>
            </w:r>
            <w:proofErr w:type="spellEnd"/>
            <w:r w:rsidRPr="00295E43">
              <w:rPr>
                <w:lang w:eastAsia="en-US"/>
              </w:rPr>
              <w:t>.</w:t>
            </w:r>
            <w:r>
              <w:rPr>
                <w:lang w:eastAsia="en-US"/>
              </w:rPr>
              <w:t xml:space="preserve"> </w:t>
            </w:r>
            <w:r w:rsidR="007731EC" w:rsidRPr="007731EC">
              <w:rPr>
                <w:b/>
                <w:lang w:eastAsia="en-US"/>
              </w:rPr>
              <w:t>Gav</w:t>
            </w:r>
            <w:r w:rsidRPr="00EE47ED">
              <w:rPr>
                <w:b/>
                <w:lang w:eastAsia="en-US"/>
              </w:rPr>
              <w:t xml:space="preserve">ėjui </w:t>
            </w:r>
            <w:r w:rsidRPr="00EC16EB">
              <w:rPr>
                <w:lang w:eastAsia="en-US"/>
              </w:rPr>
              <w:t xml:space="preserve"> nustačius </w:t>
            </w:r>
            <w:r>
              <w:rPr>
                <w:lang w:eastAsia="en-US"/>
              </w:rPr>
              <w:t xml:space="preserve">prekės kiekio </w:t>
            </w:r>
            <w:r w:rsidRPr="00EC16EB">
              <w:rPr>
                <w:lang w:eastAsia="en-US"/>
              </w:rPr>
              <w:t>perteklių</w:t>
            </w:r>
            <w:r>
              <w:rPr>
                <w:lang w:eastAsia="en-US"/>
              </w:rPr>
              <w:t>,</w:t>
            </w:r>
            <w:r w:rsidRPr="00EC16EB">
              <w:rPr>
                <w:lang w:eastAsia="en-US"/>
              </w:rPr>
              <w:t xml:space="preserve"> </w:t>
            </w:r>
            <w:r w:rsidR="00E87E55" w:rsidRPr="00E87E55">
              <w:rPr>
                <w:b/>
                <w:lang w:eastAsia="en-US"/>
              </w:rPr>
              <w:t>Mokėto</w:t>
            </w:r>
            <w:r w:rsidRPr="00EC16EB">
              <w:rPr>
                <w:b/>
                <w:lang w:eastAsia="en-US"/>
              </w:rPr>
              <w:t>jas</w:t>
            </w:r>
            <w:r w:rsidRPr="00EC16EB">
              <w:rPr>
                <w:lang w:eastAsia="en-US"/>
              </w:rPr>
              <w:t xml:space="preserve"> apmoka už prekę pagal </w:t>
            </w:r>
            <w:r>
              <w:rPr>
                <w:lang w:eastAsia="en-US"/>
              </w:rPr>
              <w:t xml:space="preserve">ją </w:t>
            </w:r>
            <w:r w:rsidRPr="00EC16EB">
              <w:rPr>
                <w:lang w:eastAsia="en-US"/>
              </w:rPr>
              <w:t>lydinčiuose dokumentuose nurodytą kiekį</w:t>
            </w:r>
            <w:r>
              <w:rPr>
                <w:lang w:eastAsia="en-US"/>
              </w:rPr>
              <w:t>, neviršijantį +0,5 procento prek</w:t>
            </w:r>
            <w:r w:rsidR="00807DDE">
              <w:rPr>
                <w:lang w:eastAsia="en-US"/>
              </w:rPr>
              <w:t>ės</w:t>
            </w:r>
            <w:r>
              <w:rPr>
                <w:lang w:eastAsia="en-US"/>
              </w:rPr>
              <w:t xml:space="preserve"> pertekliaus</w:t>
            </w:r>
            <w:r w:rsidRPr="00EC16EB">
              <w:rPr>
                <w:lang w:eastAsia="en-US"/>
              </w:rPr>
              <w:t>.</w:t>
            </w:r>
          </w:p>
          <w:p w:rsidR="009C1D26" w:rsidRPr="00807DDE" w:rsidRDefault="009C1D26" w:rsidP="009C1D26">
            <w:pPr>
              <w:framePr w:hSpace="180" w:wrap="around" w:vAnchor="text" w:hAnchor="text" w:y="1"/>
              <w:suppressOverlap/>
              <w:jc w:val="both"/>
              <w:rPr>
                <w:color w:val="FF0000"/>
              </w:rPr>
            </w:pPr>
            <w:r w:rsidRPr="00F423AB">
              <w:t>3.</w:t>
            </w:r>
            <w:r w:rsidR="00DF6612" w:rsidRPr="00F423AB">
              <w:t>7</w:t>
            </w:r>
            <w:r w:rsidRPr="00F423AB">
              <w:t>.</w:t>
            </w:r>
            <w:r w:rsidRPr="00555ADB">
              <w:t xml:space="preserve"> </w:t>
            </w:r>
            <w:r w:rsidR="00DF6612" w:rsidRPr="00656027">
              <w:rPr>
                <w:b/>
              </w:rPr>
              <w:t xml:space="preserve">Pardavėjas </w:t>
            </w:r>
            <w:r w:rsidR="00DF6612" w:rsidRPr="00656027">
              <w:t xml:space="preserve">pristato (atgabena) prekę prie transporto priemonių arba geležinkelio platformų pritvirtintomis mobiliosiomis talpyklomis, kurios yra </w:t>
            </w:r>
            <w:proofErr w:type="spellStart"/>
            <w:r w:rsidR="00DF6612" w:rsidRPr="00656027">
              <w:t>metrologiškai</w:t>
            </w:r>
            <w:proofErr w:type="spellEnd"/>
            <w:r w:rsidR="00DF6612" w:rsidRPr="00656027">
              <w:t xml:space="preserve"> patikrintos (kalibruotos) arba</w:t>
            </w:r>
            <w:r w:rsidR="00807DDE" w:rsidRPr="00656027">
              <w:t xml:space="preserve"> kurios</w:t>
            </w:r>
            <w:r w:rsidR="00DF6612" w:rsidRPr="00656027">
              <w:t xml:space="preserve"> turi įmontuotus sumuojamus degalų išdavimo skaitiklius.</w:t>
            </w:r>
            <w:r w:rsidR="00BD69D5" w:rsidRPr="00631871">
              <w:rPr>
                <w:rFonts w:eastAsia="Calibri"/>
                <w:b/>
              </w:rPr>
              <w:t xml:space="preserve"> Pardavėjui </w:t>
            </w:r>
            <w:r w:rsidR="00BD69D5" w:rsidRPr="00631871">
              <w:rPr>
                <w:rFonts w:eastAsia="Calibri"/>
              </w:rPr>
              <w:t>draudžiama (be atskiro raštiško suderinimo) įvežti prek</w:t>
            </w:r>
            <w:r w:rsidR="00BD69D5">
              <w:rPr>
                <w:rFonts w:eastAsia="Calibri"/>
              </w:rPr>
              <w:t>ę transporto priemonėmis</w:t>
            </w:r>
            <w:r w:rsidR="00CB0C5C" w:rsidRPr="00656027">
              <w:t xml:space="preserve"> arba geležinkelio platform</w:t>
            </w:r>
            <w:r w:rsidR="00CB0C5C">
              <w:t>omis</w:t>
            </w:r>
            <w:r w:rsidR="00BD69D5" w:rsidRPr="00631871">
              <w:rPr>
                <w:rFonts w:eastAsia="Calibri"/>
              </w:rPr>
              <w:t xml:space="preserve">, prie kurių yra pridėti elektronikos prietaisai, skirti </w:t>
            </w:r>
            <w:proofErr w:type="spellStart"/>
            <w:r w:rsidR="00BD69D5" w:rsidRPr="00631871">
              <w:rPr>
                <w:rFonts w:eastAsia="Calibri"/>
              </w:rPr>
              <w:t>lokacijos</w:t>
            </w:r>
            <w:proofErr w:type="spellEnd"/>
            <w:r w:rsidR="00BD69D5" w:rsidRPr="00631871">
              <w:rPr>
                <w:rFonts w:eastAsia="Calibri"/>
              </w:rPr>
              <w:t xml:space="preserve"> fiksavimui ir duomenų perdavimui.</w:t>
            </w:r>
          </w:p>
          <w:p w:rsidR="009C1D26" w:rsidRDefault="009C1D26" w:rsidP="009C1D26">
            <w:pPr>
              <w:jc w:val="both"/>
            </w:pPr>
            <w:bookmarkStart w:id="0" w:name="_GoBack"/>
            <w:r w:rsidRPr="00B62E7C">
              <w:rPr>
                <w:color w:val="FF0000"/>
              </w:rPr>
              <w:t>3.</w:t>
            </w:r>
            <w:r w:rsidR="00AE0A25" w:rsidRPr="00B62E7C">
              <w:rPr>
                <w:color w:val="FF0000"/>
              </w:rPr>
              <w:t>8</w:t>
            </w:r>
            <w:r w:rsidRPr="00B62E7C">
              <w:rPr>
                <w:color w:val="FF0000"/>
              </w:rPr>
              <w:t>.</w:t>
            </w:r>
            <w:r w:rsidRPr="00B62E7C">
              <w:rPr>
                <w:b/>
                <w:color w:val="FF0000"/>
              </w:rPr>
              <w:t xml:space="preserve"> </w:t>
            </w:r>
            <w:bookmarkEnd w:id="0"/>
            <w:r w:rsidR="00B62E7C" w:rsidRPr="00B62E7C">
              <w:rPr>
                <w:b/>
                <w:color w:val="FF0000"/>
              </w:rPr>
              <w:t>Pirkėjas</w:t>
            </w:r>
            <w:r w:rsidR="00B62E7C" w:rsidRPr="00B62E7C">
              <w:rPr>
                <w:color w:val="FF0000"/>
              </w:rPr>
              <w:t xml:space="preserve"> nuosavybės teisę į prekę įgyja, kai prekė iškraunama į </w:t>
            </w:r>
            <w:r w:rsidR="00B62E7C" w:rsidRPr="00B62E7C">
              <w:rPr>
                <w:b/>
                <w:color w:val="FF0000"/>
              </w:rPr>
              <w:t>Gavėjo</w:t>
            </w:r>
            <w:r w:rsidR="00B62E7C" w:rsidRPr="00B62E7C">
              <w:rPr>
                <w:color w:val="FF0000"/>
              </w:rPr>
              <w:t xml:space="preserve"> talpyklą (-</w:t>
            </w:r>
            <w:proofErr w:type="spellStart"/>
            <w:r w:rsidR="00B62E7C" w:rsidRPr="00B62E7C">
              <w:rPr>
                <w:color w:val="FF0000"/>
              </w:rPr>
              <w:t>as</w:t>
            </w:r>
            <w:proofErr w:type="spellEnd"/>
            <w:r w:rsidR="00B62E7C" w:rsidRPr="00B62E7C">
              <w:rPr>
                <w:color w:val="FF0000"/>
              </w:rPr>
              <w:t xml:space="preserve">) ir </w:t>
            </w:r>
            <w:r w:rsidR="00B62E7C" w:rsidRPr="00B62E7C">
              <w:rPr>
                <w:b/>
                <w:color w:val="FF0000"/>
              </w:rPr>
              <w:t>Gavėjo</w:t>
            </w:r>
            <w:r w:rsidR="00B62E7C" w:rsidRPr="00B62E7C">
              <w:rPr>
                <w:color w:val="FF0000"/>
              </w:rPr>
              <w:t xml:space="preserve"> atstovas, kuris priima prekę, pasirašo prekę lydinčius dokumentus bei </w:t>
            </w:r>
            <w:r w:rsidR="00B62E7C" w:rsidRPr="00B62E7C">
              <w:rPr>
                <w:b/>
                <w:color w:val="FF0000"/>
              </w:rPr>
              <w:t>Pardavėjui</w:t>
            </w:r>
            <w:r w:rsidR="00B62E7C" w:rsidRPr="00B62E7C">
              <w:rPr>
                <w:color w:val="FF0000"/>
              </w:rPr>
              <w:t xml:space="preserve"> nurodytu el. paštu pateikia pasirašytą Vežimo važtaraščio CMR dokumentą</w:t>
            </w:r>
            <w:r w:rsidR="00AE0A25" w:rsidRPr="00B62E7C">
              <w:rPr>
                <w:color w:val="FF0000"/>
              </w:rPr>
              <w:t>.</w:t>
            </w:r>
            <w:r w:rsidRPr="00555ADB">
              <w:t xml:space="preserve"> </w:t>
            </w:r>
          </w:p>
          <w:p w:rsidR="007B0B1D" w:rsidRDefault="007B0B1D" w:rsidP="007B0B1D">
            <w:pPr>
              <w:jc w:val="both"/>
              <w:rPr>
                <w:color w:val="FF0000"/>
                <w:lang w:eastAsia="en-US"/>
              </w:rPr>
            </w:pPr>
            <w:r w:rsidRPr="00F423AB">
              <w:t>3.9.</w:t>
            </w:r>
            <w:r>
              <w:t xml:space="preserve"> </w:t>
            </w:r>
            <w:r w:rsidRPr="007B0B1D">
              <w:rPr>
                <w:b/>
              </w:rPr>
              <w:t>Pardavėjas</w:t>
            </w:r>
            <w:r>
              <w:t xml:space="preserve"> </w:t>
            </w:r>
            <w:r w:rsidRPr="007B0B1D">
              <w:rPr>
                <w:lang w:eastAsia="en-US"/>
              </w:rPr>
              <w:t>kartu su teikiama preke pateiki</w:t>
            </w:r>
            <w:r>
              <w:rPr>
                <w:lang w:eastAsia="en-US"/>
              </w:rPr>
              <w:t>a</w:t>
            </w:r>
            <w:r w:rsidRPr="007B0B1D">
              <w:rPr>
                <w:lang w:eastAsia="en-US"/>
              </w:rPr>
              <w:t xml:space="preserve"> prekės gamintojo kokybės pažymėjimą (prekės aprašymą/prekės kokybės sertifikatą)</w:t>
            </w:r>
            <w:r w:rsidR="0083246B">
              <w:rPr>
                <w:lang w:eastAsia="en-US"/>
              </w:rPr>
              <w:t xml:space="preserve"> lietuvių ir anglų kalbomis</w:t>
            </w:r>
            <w:r w:rsidRPr="007B0B1D">
              <w:rPr>
                <w:lang w:eastAsia="en-US"/>
              </w:rPr>
              <w:t>,</w:t>
            </w:r>
            <w:r w:rsidRPr="0083246B">
              <w:rPr>
                <w:color w:val="FF0000"/>
                <w:lang w:eastAsia="en-US"/>
              </w:rPr>
              <w:t xml:space="preserve"> </w:t>
            </w:r>
            <w:r w:rsidRPr="006E4E48">
              <w:rPr>
                <w:lang w:eastAsia="en-US"/>
              </w:rPr>
              <w:t>bei prekės gabenimo dokumentą lietuvių kalba</w:t>
            </w:r>
            <w:r w:rsidRPr="0083246B">
              <w:rPr>
                <w:lang w:eastAsia="en-US"/>
              </w:rPr>
              <w:t>.</w:t>
            </w:r>
            <w:r w:rsidR="00C1245C">
              <w:rPr>
                <w:lang w:eastAsia="en-US"/>
              </w:rPr>
              <w:t xml:space="preserve"> Su pirmu prekės pristatymu pateikiamas</w:t>
            </w:r>
            <w:r w:rsidR="00C1245C" w:rsidRPr="0083246B">
              <w:rPr>
                <w:color w:val="FF0000"/>
                <w:lang w:eastAsia="en-US"/>
              </w:rPr>
              <w:t xml:space="preserve"> </w:t>
            </w:r>
            <w:r w:rsidR="00C1245C" w:rsidRPr="006E4E48">
              <w:rPr>
                <w:lang w:eastAsia="en-US"/>
              </w:rPr>
              <w:t>saugos duomenų lapas</w:t>
            </w:r>
            <w:r w:rsidR="00DA1946">
              <w:rPr>
                <w:lang w:eastAsia="en-US"/>
              </w:rPr>
              <w:t xml:space="preserve"> lietuvi</w:t>
            </w:r>
            <w:r w:rsidR="007D79C5">
              <w:rPr>
                <w:lang w:eastAsia="en-US"/>
              </w:rPr>
              <w:t>ų</w:t>
            </w:r>
            <w:r w:rsidR="00DA1946">
              <w:rPr>
                <w:lang w:eastAsia="en-US"/>
              </w:rPr>
              <w:t xml:space="preserve"> kalba</w:t>
            </w:r>
            <w:r w:rsidR="00C1245C">
              <w:rPr>
                <w:color w:val="FF0000"/>
                <w:lang w:eastAsia="en-US"/>
              </w:rPr>
              <w:t>.</w:t>
            </w:r>
          </w:p>
          <w:p w:rsidR="0051758C" w:rsidRDefault="0083246B" w:rsidP="000774BC">
            <w:pPr>
              <w:jc w:val="both"/>
            </w:pPr>
            <w:r>
              <w:t>3.1</w:t>
            </w:r>
            <w:r w:rsidR="0098333A">
              <w:t>0</w:t>
            </w:r>
            <w:r>
              <w:t xml:space="preserve">. </w:t>
            </w:r>
            <w:r w:rsidRPr="00A952C7">
              <w:rPr>
                <w:b/>
                <w:lang w:eastAsia="en-US"/>
              </w:rPr>
              <w:t>Pardavėjas</w:t>
            </w:r>
            <w:r w:rsidRPr="00A952C7">
              <w:rPr>
                <w:lang w:eastAsia="en-US"/>
              </w:rPr>
              <w:t xml:space="preserve"> privalo užtikrinti, kad Sutarties sudarymo ir vykdymo metu neatsirastų aplinkybių, nurodytų Viešųjų pirkimų įstatymo 45 straipsnio 2</w:t>
            </w:r>
            <w:r w:rsidRPr="00A952C7">
              <w:rPr>
                <w:vertAlign w:val="superscript"/>
                <w:lang w:eastAsia="en-US"/>
              </w:rPr>
              <w:t>1</w:t>
            </w:r>
            <w:r w:rsidRPr="00A952C7">
              <w:rPr>
                <w:lang w:eastAsia="en-US"/>
              </w:rPr>
              <w:t xml:space="preserve"> dalyje. </w:t>
            </w:r>
            <w:r w:rsidRPr="0083246B">
              <w:rPr>
                <w:b/>
                <w:lang w:eastAsia="en-US"/>
              </w:rPr>
              <w:t>Pirkėjas</w:t>
            </w:r>
            <w:r w:rsidRPr="00A952C7">
              <w:rPr>
                <w:lang w:eastAsia="en-US"/>
              </w:rPr>
              <w:t xml:space="preserve"> turi teisę bet kuriuo metu pareikalauti </w:t>
            </w:r>
            <w:r w:rsidRPr="0083246B">
              <w:rPr>
                <w:b/>
                <w:lang w:eastAsia="en-US"/>
              </w:rPr>
              <w:t>Pardavėjo</w:t>
            </w:r>
            <w:r w:rsidRPr="00A952C7">
              <w:rPr>
                <w:lang w:eastAsia="en-US"/>
              </w:rPr>
              <w:t xml:space="preserve"> pateikti pagrindžiančius dokumentus, nurodytus Viešųjų pirkimų įstatymo 51 straipsnio 12 dalyje, kad nėra sąlygų, numatytų Viešųjų pirkimų įstatymo 45 straipsnio 2</w:t>
            </w:r>
            <w:r w:rsidRPr="00A952C7">
              <w:rPr>
                <w:vertAlign w:val="superscript"/>
                <w:lang w:eastAsia="en-US"/>
              </w:rPr>
              <w:t>1</w:t>
            </w:r>
            <w:r w:rsidRPr="00A952C7">
              <w:rPr>
                <w:lang w:eastAsia="en-US"/>
              </w:rPr>
              <w:t xml:space="preserve"> dalyje. </w:t>
            </w:r>
            <w:r w:rsidRPr="0083246B">
              <w:rPr>
                <w:b/>
                <w:lang w:eastAsia="en-US"/>
              </w:rPr>
              <w:t>Pardavėjas</w:t>
            </w:r>
            <w:r w:rsidRPr="00A952C7">
              <w:rPr>
                <w:lang w:eastAsia="en-US"/>
              </w:rPr>
              <w:t xml:space="preserve"> privalo pateikti </w:t>
            </w:r>
            <w:r w:rsidRPr="0083246B">
              <w:rPr>
                <w:b/>
                <w:lang w:eastAsia="en-US"/>
              </w:rPr>
              <w:t>Pirkėjo</w:t>
            </w:r>
            <w:r w:rsidRPr="00A952C7">
              <w:rPr>
                <w:lang w:eastAsia="en-US"/>
              </w:rPr>
              <w:t xml:space="preserve"> prašomus dokumentus ne vėliau kaip per 10 </w:t>
            </w:r>
            <w:r w:rsidR="0070369C">
              <w:rPr>
                <w:lang w:eastAsia="en-US"/>
              </w:rPr>
              <w:t xml:space="preserve">(dešimt) </w:t>
            </w:r>
            <w:r w:rsidRPr="00A952C7">
              <w:rPr>
                <w:lang w:eastAsia="en-US"/>
              </w:rPr>
              <w:t xml:space="preserve">darbo dienų nuo prašymo </w:t>
            </w:r>
            <w:r w:rsidR="000774BC">
              <w:rPr>
                <w:lang w:eastAsia="en-US"/>
              </w:rPr>
              <w:t>pateikimo</w:t>
            </w:r>
            <w:r w:rsidR="00DE3190">
              <w:rPr>
                <w:lang w:eastAsia="en-US"/>
              </w:rPr>
              <w:t xml:space="preserve"> Sutarties specialiosios dalies 9.9 punkte nurodytu elektroninio pašto adresu</w:t>
            </w:r>
            <w:r w:rsidRPr="00A952C7">
              <w:rPr>
                <w:lang w:eastAsia="en-US"/>
              </w:rPr>
              <w:t xml:space="preserve"> dienos.</w:t>
            </w:r>
          </w:p>
        </w:tc>
      </w:tr>
      <w:tr w:rsidR="0051758C" w:rsidTr="00186E29">
        <w:trPr>
          <w:trHeight w:val="702"/>
        </w:trPr>
        <w:tc>
          <w:tcPr>
            <w:tcW w:w="5000" w:type="pct"/>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9D7E73" w:rsidRDefault="009D7E73" w:rsidP="009D7E73">
            <w:pPr>
              <w:tabs>
                <w:tab w:val="left" w:pos="459"/>
              </w:tabs>
              <w:jc w:val="both"/>
              <w:rPr>
                <w:lang w:eastAsia="en-US"/>
              </w:rPr>
            </w:pPr>
            <w:r w:rsidRPr="00BB4155">
              <w:rPr>
                <w:lang w:eastAsia="en-US"/>
              </w:rPr>
              <w:t>4.1.</w:t>
            </w:r>
            <w:r w:rsidRPr="00486648">
              <w:rPr>
                <w:b/>
                <w:lang w:eastAsia="en-US"/>
              </w:rPr>
              <w:tab/>
            </w:r>
            <w:r w:rsidRPr="003C2EDC">
              <w:rPr>
                <w:b/>
                <w:lang w:eastAsia="en-US"/>
              </w:rPr>
              <w:t>Mokėtojas</w:t>
            </w:r>
            <w:r>
              <w:rPr>
                <w:lang w:eastAsia="en-US"/>
              </w:rPr>
              <w:t xml:space="preserve"> su </w:t>
            </w:r>
            <w:r w:rsidRPr="003C2EDC">
              <w:rPr>
                <w:b/>
                <w:lang w:eastAsia="en-US"/>
              </w:rPr>
              <w:t>Pardavėju</w:t>
            </w:r>
            <w:r>
              <w:rPr>
                <w:lang w:eastAsia="en-US"/>
              </w:rPr>
              <w:t xml:space="preserve"> atsiskaito Sutarties bendrosios dalies 4.1. punkte nustatyta tvarka.</w:t>
            </w:r>
          </w:p>
          <w:p w:rsidR="00BB4155" w:rsidRDefault="009D7E73" w:rsidP="009D7E73">
            <w:pPr>
              <w:jc w:val="both"/>
              <w:rPr>
                <w:b/>
              </w:rPr>
            </w:pPr>
            <w:r w:rsidRPr="00BB4155">
              <w:t>4.2.</w:t>
            </w:r>
            <w:r w:rsidR="00BB4155" w:rsidRPr="00BB4155">
              <w:t xml:space="preserve"> Avanso mokėjimas nenumatomas</w:t>
            </w:r>
          </w:p>
          <w:p w:rsidR="009D7E73" w:rsidRPr="00EB4422" w:rsidRDefault="00BB4155" w:rsidP="0060793C">
            <w:pPr>
              <w:jc w:val="both"/>
              <w:rPr>
                <w:b/>
              </w:rPr>
            </w:pPr>
            <w:r w:rsidRPr="00BB4155">
              <w:t>4.3.</w:t>
            </w:r>
            <w:r>
              <w:t xml:space="preserve"> </w:t>
            </w:r>
            <w:r w:rsidRPr="00BB4155">
              <w:t xml:space="preserve">Vykdant Sutartį, PVM sąskaitos faktūros turi būti teikiamos naudojantis </w:t>
            </w:r>
            <w:r w:rsidR="002712C4">
              <w:t xml:space="preserve">administravimo bendrosios informacinės sistemos (toliau – SABIS) </w:t>
            </w:r>
            <w:r w:rsidRPr="00BB4155">
              <w:t xml:space="preserve">priemonėmis, nurodant </w:t>
            </w:r>
            <w:r w:rsidRPr="004346F9">
              <w:rPr>
                <w:b/>
              </w:rPr>
              <w:t>Pirkėją, Mokėtoją, Gavėją</w:t>
            </w:r>
            <w:r w:rsidRPr="00BB4155">
              <w:t xml:space="preserve">  Sutarties </w:t>
            </w:r>
            <w:r w:rsidR="00370E51">
              <w:t>registracijos</w:t>
            </w:r>
            <w:r w:rsidR="00370E51" w:rsidRPr="00BB4155">
              <w:t xml:space="preserve"> </w:t>
            </w:r>
            <w:r w:rsidRPr="00BB4155">
              <w:t xml:space="preserve">numerį ir datą. Jeigu </w:t>
            </w:r>
            <w:r w:rsidRPr="0070369C">
              <w:rPr>
                <w:b/>
              </w:rPr>
              <w:t>Pardavėjas</w:t>
            </w:r>
            <w:r w:rsidRPr="00BB4155">
              <w:t xml:space="preserve"> nepateikia sąskaitos informacinės sistemos </w:t>
            </w:r>
            <w:r w:rsidR="0060793C">
              <w:t>SABIS</w:t>
            </w:r>
            <w:r w:rsidRPr="00BB4155">
              <w:t xml:space="preserve"> priemonėmis, </w:t>
            </w:r>
            <w:r w:rsidRPr="0070369C">
              <w:rPr>
                <w:b/>
              </w:rPr>
              <w:t>Mokėtojas</w:t>
            </w:r>
            <w:r w:rsidRPr="00BB4155">
              <w:t xml:space="preserve"> neatlieka mokėjimo.</w:t>
            </w:r>
          </w:p>
        </w:tc>
      </w:tr>
      <w:tr w:rsidR="0051758C" w:rsidTr="00186E29">
        <w:trPr>
          <w:trHeight w:val="702"/>
        </w:trPr>
        <w:tc>
          <w:tcPr>
            <w:tcW w:w="5000" w:type="pct"/>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5.Pirkėjo teisė vienašališkai nutraukti Sutartį</w:t>
            </w:r>
            <w:r>
              <w:t xml:space="preserve"> </w:t>
            </w:r>
          </w:p>
          <w:p w:rsidR="00800A0C" w:rsidRDefault="004C4F80" w:rsidP="00800A0C">
            <w:pPr>
              <w:jc w:val="both"/>
            </w:pPr>
            <w:r w:rsidRPr="00800A0C">
              <w:t xml:space="preserve">5.1. </w:t>
            </w:r>
            <w:r w:rsidR="00800A0C" w:rsidRPr="00311747">
              <w:rPr>
                <w:b/>
              </w:rPr>
              <w:t>Pirkėjas</w:t>
            </w:r>
            <w:r w:rsidR="00800A0C" w:rsidRPr="00A952C7">
              <w:t xml:space="preserve"> turi teisę Sutarties bendrosios dalies 9.2 papunktyje nustatyta tvarka šią Sutartį </w:t>
            </w:r>
            <w:r w:rsidR="00370E51">
              <w:t>vienašališkai</w:t>
            </w:r>
            <w:r w:rsidR="00370E51" w:rsidRPr="00A952C7">
              <w:t xml:space="preserve"> </w:t>
            </w:r>
            <w:r w:rsidR="00800A0C" w:rsidRPr="00A952C7">
              <w:t>nutraukti:</w:t>
            </w:r>
          </w:p>
          <w:p w:rsidR="00DB5154" w:rsidRDefault="00800A0C" w:rsidP="004C4F80">
            <w:pPr>
              <w:jc w:val="both"/>
            </w:pPr>
            <w:r w:rsidRPr="00800A0C">
              <w:t>5.1.1.</w:t>
            </w:r>
            <w:r>
              <w:rPr>
                <w:b/>
              </w:rPr>
              <w:t xml:space="preserve"> </w:t>
            </w:r>
            <w:r w:rsidR="004C4F80" w:rsidRPr="003C2EDC">
              <w:rPr>
                <w:b/>
              </w:rPr>
              <w:t>Pardavėjui</w:t>
            </w:r>
            <w:r w:rsidR="004C4F80">
              <w:t xml:space="preserve"> vėluojant pristatyti prek</w:t>
            </w:r>
            <w:r w:rsidR="00DB5154">
              <w:t>ę</w:t>
            </w:r>
            <w:r w:rsidR="004C4F80">
              <w:t xml:space="preserve"> daugiau kaip 3</w:t>
            </w:r>
            <w:r w:rsidR="004C4F80" w:rsidRPr="00FA4688">
              <w:t xml:space="preserve"> darbo dienas</w:t>
            </w:r>
            <w:r w:rsidR="004C4F80">
              <w:t xml:space="preserve"> </w:t>
            </w:r>
            <w:r w:rsidR="004C4F80" w:rsidRPr="00EB4422">
              <w:t>nuo Sutart</w:t>
            </w:r>
            <w:r w:rsidR="004C4F80">
              <w:t>i</w:t>
            </w:r>
            <w:r w:rsidR="004C4F80" w:rsidRPr="00EB4422">
              <w:t>e</w:t>
            </w:r>
            <w:r w:rsidR="004C4F80">
              <w:t>s specialiosios dalies 3.</w:t>
            </w:r>
            <w:r w:rsidR="002634E2">
              <w:t>2</w:t>
            </w:r>
            <w:r w:rsidR="004C4F80">
              <w:t xml:space="preserve"> punkte</w:t>
            </w:r>
            <w:r w:rsidR="004C4F80" w:rsidRPr="00EB4422">
              <w:t xml:space="preserve"> numatyto termino</w:t>
            </w:r>
            <w:r w:rsidR="00DB5154">
              <w:t>;</w:t>
            </w:r>
          </w:p>
          <w:p w:rsidR="00DB5154" w:rsidRPr="00435F44" w:rsidRDefault="00DB5154" w:rsidP="00DB5154">
            <w:pPr>
              <w:suppressAutoHyphens/>
              <w:jc w:val="both"/>
              <w:rPr>
                <w:color w:val="000000"/>
              </w:rPr>
            </w:pPr>
            <w:r>
              <w:rPr>
                <w:color w:val="000000"/>
              </w:rPr>
              <w:t xml:space="preserve">5.1.2.  </w:t>
            </w:r>
            <w:r w:rsidRPr="00435F44">
              <w:rPr>
                <w:b/>
                <w:color w:val="000000"/>
              </w:rPr>
              <w:t>Pardavėjas</w:t>
            </w:r>
            <w:r w:rsidRPr="00435F44">
              <w:rPr>
                <w:color w:val="000000"/>
              </w:rPr>
              <w:t xml:space="preserve"> per nustatytą terminą </w:t>
            </w:r>
            <w:r w:rsidRPr="00435F44">
              <w:rPr>
                <w:b/>
                <w:color w:val="000000"/>
              </w:rPr>
              <w:t>Pirkėjui</w:t>
            </w:r>
            <w:r w:rsidRPr="00435F44">
              <w:rPr>
                <w:color w:val="000000"/>
              </w:rPr>
              <w:t xml:space="preserve"> nepateikia Sutarties specialiosios dalies 3.</w:t>
            </w:r>
            <w:r>
              <w:rPr>
                <w:color w:val="000000"/>
              </w:rPr>
              <w:t>10</w:t>
            </w:r>
            <w:r w:rsidRPr="00435F44">
              <w:rPr>
                <w:color w:val="000000"/>
              </w:rPr>
              <w:t xml:space="preserve"> punkte nurodytų dokumentų;</w:t>
            </w:r>
          </w:p>
          <w:p w:rsidR="00DB5154" w:rsidRPr="00A952C7" w:rsidRDefault="00DB5154" w:rsidP="00DB5154">
            <w:pPr>
              <w:jc w:val="both"/>
            </w:pPr>
            <w:r>
              <w:t xml:space="preserve">5.1.3. </w:t>
            </w:r>
            <w:r w:rsidRPr="00A952C7">
              <w:t xml:space="preserve">Paaiškėja, kad yra aplinkybė, atitinkanti bent vieną iš </w:t>
            </w:r>
            <w:r w:rsidRPr="00A952C7">
              <w:rPr>
                <w:lang w:eastAsia="en-US"/>
              </w:rPr>
              <w:t>Viešųjų pirkimų įstatymo</w:t>
            </w:r>
            <w:r w:rsidRPr="00A952C7">
              <w:t xml:space="preserve"> 45 straipsnio 2</w:t>
            </w:r>
            <w:r w:rsidRPr="00A952C7">
              <w:rPr>
                <w:vertAlign w:val="superscript"/>
              </w:rPr>
              <w:t>1</w:t>
            </w:r>
            <w:r w:rsidRPr="00A952C7">
              <w:t xml:space="preserve"> dalyje išvardintų sąlygų.</w:t>
            </w:r>
          </w:p>
          <w:p w:rsidR="0051758C" w:rsidRDefault="004C4F80" w:rsidP="00DB5154">
            <w:pPr>
              <w:jc w:val="both"/>
            </w:pPr>
            <w:r>
              <w:t xml:space="preserve">5.2. Kiti vienašalio Sutarties nutraukimo atvejai numatyti </w:t>
            </w:r>
            <w:r w:rsidR="002634E2">
              <w:t>Sutarties specialiosios dalies 9.7 punkte</w:t>
            </w:r>
            <w:r w:rsidR="00B54266">
              <w:t>,</w:t>
            </w:r>
            <w:r w:rsidR="002634E2">
              <w:t xml:space="preserve"> </w:t>
            </w:r>
            <w:r>
              <w:t>Sutarties bendrosios dalies 9.2 punkte.</w:t>
            </w:r>
          </w:p>
          <w:p w:rsidR="00DB5154" w:rsidRDefault="00DB5154" w:rsidP="00DB5154">
            <w:pPr>
              <w:jc w:val="both"/>
              <w:rPr>
                <w:b/>
              </w:rPr>
            </w:pPr>
          </w:p>
        </w:tc>
      </w:tr>
      <w:tr w:rsidR="0051758C" w:rsidTr="00186E29">
        <w:trPr>
          <w:trHeight w:val="1095"/>
        </w:trPr>
        <w:tc>
          <w:tcPr>
            <w:tcW w:w="5000" w:type="pct"/>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0F0F02" w:rsidRPr="00555ADB" w:rsidRDefault="000F0F02" w:rsidP="000F0F02">
            <w:pPr>
              <w:jc w:val="both"/>
            </w:pPr>
            <w:r w:rsidRPr="00555ADB">
              <w:rPr>
                <w:b/>
              </w:rPr>
              <w:t xml:space="preserve">6.1. </w:t>
            </w:r>
            <w:r w:rsidRPr="00555ADB">
              <w:t>Prekės</w:t>
            </w:r>
            <w:r w:rsidRPr="00555ADB">
              <w:rPr>
                <w:b/>
              </w:rPr>
              <w:t xml:space="preserve"> </w:t>
            </w:r>
            <w:r w:rsidRPr="00555ADB">
              <w:t>kokybė turi atitikti Sutarties 1 p</w:t>
            </w:r>
            <w:r w:rsidR="00BE59C2">
              <w:t>ri</w:t>
            </w:r>
            <w:r w:rsidRPr="00555ADB">
              <w:t>e</w:t>
            </w:r>
            <w:r w:rsidR="00BE59C2">
              <w:t>de</w:t>
            </w:r>
            <w:r w:rsidRPr="00555ADB">
              <w:t xml:space="preserve"> nurodytus reikalavimus.</w:t>
            </w:r>
          </w:p>
          <w:p w:rsidR="000F0F02" w:rsidRPr="00555ADB" w:rsidRDefault="000F0F02" w:rsidP="005343C0">
            <w:pPr>
              <w:contextualSpacing/>
              <w:jc w:val="both"/>
              <w:rPr>
                <w:lang w:eastAsia="en-US"/>
              </w:rPr>
            </w:pPr>
            <w:r w:rsidRPr="00555ADB">
              <w:rPr>
                <w:b/>
                <w:lang w:eastAsia="en-US"/>
              </w:rPr>
              <w:t>6.2.</w:t>
            </w:r>
            <w:r w:rsidRPr="00555ADB">
              <w:rPr>
                <w:lang w:eastAsia="en-US"/>
              </w:rPr>
              <w:t xml:space="preserve"> </w:t>
            </w:r>
            <w:r w:rsidRPr="00555ADB">
              <w:rPr>
                <w:b/>
              </w:rPr>
              <w:t>Pardavėjas</w:t>
            </w:r>
            <w:r w:rsidRPr="00555ADB">
              <w:t xml:space="preserve"> turi leisti </w:t>
            </w:r>
            <w:r w:rsidR="005A0243" w:rsidRPr="005A0243">
              <w:rPr>
                <w:b/>
              </w:rPr>
              <w:t>Gav</w:t>
            </w:r>
            <w:r w:rsidRPr="00555ADB">
              <w:rPr>
                <w:b/>
              </w:rPr>
              <w:t>ėjo</w:t>
            </w:r>
            <w:r w:rsidRPr="00555ADB">
              <w:t xml:space="preserve"> įgaliotiems asmenims kontroliuoti prekės kokybę,</w:t>
            </w:r>
            <w:r w:rsidRPr="00555ADB">
              <w:rPr>
                <w:lang w:eastAsia="en-US"/>
              </w:rPr>
              <w:t xml:space="preserve"> </w:t>
            </w:r>
            <w:r w:rsidR="003901DD">
              <w:rPr>
                <w:lang w:eastAsia="en-US"/>
              </w:rPr>
              <w:t xml:space="preserve">paimti </w:t>
            </w:r>
            <w:r w:rsidRPr="00555ADB">
              <w:rPr>
                <w:lang w:eastAsia="en-US"/>
              </w:rPr>
              <w:t xml:space="preserve">(ne mažesnio kaip </w:t>
            </w:r>
            <w:r w:rsidR="003901DD">
              <w:rPr>
                <w:lang w:eastAsia="en-US"/>
              </w:rPr>
              <w:t>1 (</w:t>
            </w:r>
            <w:r w:rsidRPr="00555ADB">
              <w:rPr>
                <w:lang w:eastAsia="en-US"/>
              </w:rPr>
              <w:t>vieno</w:t>
            </w:r>
            <w:r w:rsidR="003901DD">
              <w:rPr>
                <w:lang w:eastAsia="en-US"/>
              </w:rPr>
              <w:t>)</w:t>
            </w:r>
            <w:r w:rsidRPr="00555ADB">
              <w:rPr>
                <w:lang w:eastAsia="en-US"/>
              </w:rPr>
              <w:t xml:space="preserve"> litro tūrio),</w:t>
            </w:r>
            <w:r w:rsidR="003901DD">
              <w:rPr>
                <w:lang w:eastAsia="en-US"/>
              </w:rPr>
              <w:t xml:space="preserve"> bandinius prekės kokybės patikrinimui,</w:t>
            </w:r>
            <w:r w:rsidRPr="00555ADB">
              <w:rPr>
                <w:lang w:eastAsia="en-US"/>
              </w:rPr>
              <w:t xml:space="preserve"> kurie užantspauduojami ir patvirtinami </w:t>
            </w:r>
            <w:r w:rsidRPr="00555ADB">
              <w:rPr>
                <w:b/>
                <w:bCs/>
                <w:lang w:eastAsia="en-US"/>
              </w:rPr>
              <w:t>Pardavėjo</w:t>
            </w:r>
            <w:r w:rsidRPr="00555ADB">
              <w:rPr>
                <w:lang w:eastAsia="en-US"/>
              </w:rPr>
              <w:t xml:space="preserve"> atstovo bei </w:t>
            </w:r>
            <w:r w:rsidR="005A0243" w:rsidRPr="005A0243">
              <w:rPr>
                <w:b/>
                <w:lang w:eastAsia="en-US"/>
              </w:rPr>
              <w:t>Gav</w:t>
            </w:r>
            <w:r w:rsidRPr="00555ADB">
              <w:rPr>
                <w:b/>
                <w:bCs/>
                <w:lang w:eastAsia="en-US"/>
              </w:rPr>
              <w:t>ėjo</w:t>
            </w:r>
            <w:r w:rsidRPr="00555ADB">
              <w:rPr>
                <w:lang w:eastAsia="en-US"/>
              </w:rPr>
              <w:t xml:space="preserve"> </w:t>
            </w:r>
            <w:r w:rsidR="003901DD">
              <w:rPr>
                <w:lang w:eastAsia="en-US"/>
              </w:rPr>
              <w:t xml:space="preserve">parašais, nurodant asmenų pavardes bei kontrolinių bandinių paėmimo datą. </w:t>
            </w:r>
            <w:r w:rsidR="005A0243" w:rsidRPr="005A0243">
              <w:rPr>
                <w:lang w:eastAsia="en-US"/>
              </w:rPr>
              <w:t xml:space="preserve">Kontrolinis bandinys pas </w:t>
            </w:r>
            <w:r w:rsidR="005A0243" w:rsidRPr="005343C0">
              <w:rPr>
                <w:b/>
                <w:lang w:eastAsia="en-US"/>
              </w:rPr>
              <w:t>Gavėją</w:t>
            </w:r>
            <w:r w:rsidR="005A0243" w:rsidRPr="005A0243">
              <w:rPr>
                <w:lang w:eastAsia="en-US"/>
              </w:rPr>
              <w:t xml:space="preserve"> </w:t>
            </w:r>
            <w:r w:rsidR="005343C0" w:rsidRPr="005A0243">
              <w:rPr>
                <w:lang w:eastAsia="en-US"/>
              </w:rPr>
              <w:t xml:space="preserve">saugomas </w:t>
            </w:r>
            <w:r w:rsidR="005A0243" w:rsidRPr="005A0243">
              <w:rPr>
                <w:lang w:eastAsia="en-US"/>
              </w:rPr>
              <w:t>iki bus išnaudota gauta prekė.</w:t>
            </w:r>
          </w:p>
          <w:p w:rsidR="000F0F02" w:rsidRPr="00555ADB" w:rsidRDefault="000F0F02" w:rsidP="000F0F02">
            <w:pPr>
              <w:tabs>
                <w:tab w:val="left" w:pos="-360"/>
                <w:tab w:val="left" w:pos="540"/>
              </w:tabs>
              <w:jc w:val="both"/>
              <w:rPr>
                <w:lang w:eastAsia="en-US"/>
              </w:rPr>
            </w:pPr>
            <w:r w:rsidRPr="00375C9D">
              <w:rPr>
                <w:b/>
                <w:lang w:eastAsia="en-US"/>
              </w:rPr>
              <w:t>6</w:t>
            </w:r>
            <w:r w:rsidRPr="00555ADB">
              <w:rPr>
                <w:b/>
                <w:lang w:eastAsia="en-US"/>
              </w:rPr>
              <w:t>.3.</w:t>
            </w:r>
            <w:r w:rsidRPr="00555ADB">
              <w:rPr>
                <w:lang w:eastAsia="en-US"/>
              </w:rPr>
              <w:t xml:space="preserve"> Ginčo atveju arba </w:t>
            </w:r>
            <w:r w:rsidR="00836089" w:rsidRPr="00836089">
              <w:rPr>
                <w:b/>
                <w:lang w:eastAsia="en-US"/>
              </w:rPr>
              <w:t>Gavė</w:t>
            </w:r>
            <w:r w:rsidRPr="00555ADB">
              <w:rPr>
                <w:b/>
                <w:lang w:eastAsia="en-US"/>
              </w:rPr>
              <w:t>jui</w:t>
            </w:r>
            <w:r w:rsidRPr="00555ADB">
              <w:rPr>
                <w:lang w:eastAsia="en-US"/>
              </w:rPr>
              <w:t xml:space="preserve"> kilus abejonių dėl prekės kokybės, Sutarties spec</w:t>
            </w:r>
            <w:r>
              <w:rPr>
                <w:lang w:eastAsia="en-US"/>
              </w:rPr>
              <w:t xml:space="preserve">ialiosios dalies </w:t>
            </w:r>
            <w:r w:rsidRPr="002074ED">
              <w:rPr>
                <w:lang w:eastAsia="en-US"/>
              </w:rPr>
              <w:t>6.2</w:t>
            </w:r>
            <w:r>
              <w:rPr>
                <w:lang w:eastAsia="en-US"/>
              </w:rPr>
              <w:t>.</w:t>
            </w:r>
            <w:r w:rsidRPr="00555ADB">
              <w:rPr>
                <w:lang w:eastAsia="en-US"/>
              </w:rPr>
              <w:t xml:space="preserve"> punkte nurodyti paimti bandiniai turi būti perduoti tyrimui </w:t>
            </w:r>
            <w:r w:rsidR="00836089" w:rsidRPr="00836089">
              <w:rPr>
                <w:lang w:eastAsia="en-US"/>
              </w:rPr>
              <w:t xml:space="preserve">akredituotai pagal standartą LST EN </w:t>
            </w:r>
            <w:r w:rsidR="00836089" w:rsidRPr="00836089">
              <w:rPr>
                <w:lang w:eastAsia="en-US"/>
              </w:rPr>
              <w:lastRenderedPageBreak/>
              <w:t>ISO/IEC 17025 Naftos produktų bandymų laboratorijai (toliau – Laboratorija)</w:t>
            </w:r>
            <w:r w:rsidRPr="00836089">
              <w:rPr>
                <w:lang w:eastAsia="en-US"/>
              </w:rPr>
              <w:t>.</w:t>
            </w:r>
            <w:r w:rsidRPr="00555ADB">
              <w:rPr>
                <w:lang w:eastAsia="en-US"/>
              </w:rPr>
              <w:t xml:space="preserve"> Šios </w:t>
            </w:r>
            <w:r>
              <w:rPr>
                <w:lang w:eastAsia="en-US"/>
              </w:rPr>
              <w:t xml:space="preserve">Laboratorijos </w:t>
            </w:r>
            <w:r w:rsidRPr="00555ADB">
              <w:rPr>
                <w:lang w:eastAsia="en-US"/>
              </w:rPr>
              <w:t xml:space="preserve">išvados dėl prekės kokybės yra galutinės ir privalomos Sutarties Šalims. Visas išlaidas, Sutarties Šalių patirtas analizuojant prekės kokybę </w:t>
            </w:r>
            <w:r>
              <w:rPr>
                <w:lang w:eastAsia="en-US"/>
              </w:rPr>
              <w:t>Laboratorijoje</w:t>
            </w:r>
            <w:r w:rsidRPr="00555ADB">
              <w:rPr>
                <w:lang w:eastAsia="en-US"/>
              </w:rPr>
              <w:t xml:space="preserve">, apmoka </w:t>
            </w:r>
            <w:r w:rsidR="00836089" w:rsidRPr="00836089">
              <w:rPr>
                <w:b/>
                <w:lang w:eastAsia="en-US"/>
              </w:rPr>
              <w:t>Mokė</w:t>
            </w:r>
            <w:r w:rsidR="00746691">
              <w:rPr>
                <w:b/>
                <w:lang w:eastAsia="en-US"/>
              </w:rPr>
              <w:t>to</w:t>
            </w:r>
            <w:r w:rsidRPr="00555ADB">
              <w:rPr>
                <w:b/>
                <w:bCs/>
                <w:lang w:eastAsia="en-US"/>
              </w:rPr>
              <w:t>jas</w:t>
            </w:r>
            <w:r w:rsidRPr="00555ADB">
              <w:rPr>
                <w:lang w:eastAsia="en-US"/>
              </w:rPr>
              <w:t xml:space="preserve">, jeigu nustatoma, kad prekė yra tinkamos kokybės. Jeigu </w:t>
            </w:r>
            <w:r>
              <w:rPr>
                <w:lang w:eastAsia="en-US"/>
              </w:rPr>
              <w:t>Laboratorija</w:t>
            </w:r>
            <w:r w:rsidRPr="00555ADB">
              <w:rPr>
                <w:lang w:eastAsia="en-US"/>
              </w:rPr>
              <w:t xml:space="preserve"> patvirtina, kad prekė yra netinkamos kokybės, </w:t>
            </w:r>
            <w:r w:rsidRPr="00555ADB">
              <w:rPr>
                <w:b/>
                <w:bCs/>
                <w:lang w:eastAsia="en-US"/>
              </w:rPr>
              <w:t>Pardavėjas</w:t>
            </w:r>
            <w:r w:rsidRPr="00555ADB">
              <w:rPr>
                <w:lang w:eastAsia="en-US"/>
              </w:rPr>
              <w:t xml:space="preserve"> apmoka išlaidas </w:t>
            </w:r>
            <w:r>
              <w:rPr>
                <w:lang w:eastAsia="en-US"/>
              </w:rPr>
              <w:t>Laboratorijai</w:t>
            </w:r>
            <w:r w:rsidRPr="00555ADB">
              <w:rPr>
                <w:lang w:eastAsia="en-US"/>
              </w:rPr>
              <w:t xml:space="preserve">, sumoka </w:t>
            </w:r>
            <w:r w:rsidRPr="00555ADB">
              <w:rPr>
                <w:b/>
                <w:lang w:eastAsia="en-US"/>
              </w:rPr>
              <w:t>Pirkėjui</w:t>
            </w:r>
            <w:r w:rsidRPr="00555ADB">
              <w:rPr>
                <w:lang w:eastAsia="en-US"/>
              </w:rPr>
              <w:t xml:space="preserve"> pristatytos netinkamos kokybės prekės kainos dydžio Šalių iš anksto sutartus minimalius nuostolius bei atlygina kitus </w:t>
            </w:r>
            <w:r w:rsidR="00E81D89">
              <w:rPr>
                <w:b/>
                <w:lang w:eastAsia="en-US"/>
              </w:rPr>
              <w:t>Mokėtojo</w:t>
            </w:r>
            <w:r w:rsidR="00E81D89">
              <w:rPr>
                <w:lang w:eastAsia="en-US"/>
              </w:rPr>
              <w:t xml:space="preserve"> </w:t>
            </w:r>
            <w:r w:rsidRPr="00555ADB">
              <w:rPr>
                <w:lang w:eastAsia="en-US"/>
              </w:rPr>
              <w:t>patirtus nuostolius (jeigu tokie buvo).</w:t>
            </w:r>
          </w:p>
          <w:p w:rsidR="000F0F02" w:rsidRPr="00555ADB" w:rsidRDefault="000F0F02" w:rsidP="000F0F02">
            <w:pPr>
              <w:framePr w:hSpace="180" w:wrap="around" w:vAnchor="text" w:hAnchor="text" w:y="1"/>
              <w:suppressOverlap/>
              <w:jc w:val="both"/>
              <w:rPr>
                <w:i/>
              </w:rPr>
            </w:pPr>
            <w:r>
              <w:rPr>
                <w:b/>
              </w:rPr>
              <w:t>6.</w:t>
            </w:r>
            <w:r w:rsidR="003B28F1">
              <w:rPr>
                <w:b/>
              </w:rPr>
              <w:t>4</w:t>
            </w:r>
            <w:r w:rsidRPr="00555ADB">
              <w:rPr>
                <w:b/>
              </w:rPr>
              <w:t xml:space="preserve">. Pardavėjas </w:t>
            </w:r>
            <w:r w:rsidRPr="00555ADB">
              <w:t xml:space="preserve">skiria savo atstovą, atsakingą už tiekiamos prekės kokybę: </w:t>
            </w:r>
            <w:r w:rsidRPr="00555ADB">
              <w:rPr>
                <w:i/>
              </w:rPr>
              <w:t>(vardas, pavardė, pareigos, telefonas, el. pašto adresas).</w:t>
            </w:r>
          </w:p>
          <w:p w:rsidR="0051758C" w:rsidRDefault="0051758C">
            <w:pPr>
              <w:jc w:val="both"/>
              <w:rPr>
                <w:b/>
              </w:rPr>
            </w:pPr>
          </w:p>
        </w:tc>
      </w:tr>
      <w:tr w:rsidR="0051758C" w:rsidTr="00186E29">
        <w:trPr>
          <w:trHeight w:val="1125"/>
        </w:trPr>
        <w:tc>
          <w:tcPr>
            <w:tcW w:w="5000" w:type="pct"/>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7. Garantiniai įsipareigojimai</w:t>
            </w:r>
          </w:p>
          <w:p w:rsidR="00851D39" w:rsidRPr="002B6384" w:rsidRDefault="005921D3" w:rsidP="00851D39">
            <w:pPr>
              <w:tabs>
                <w:tab w:val="left" w:pos="540"/>
                <w:tab w:val="left" w:pos="1701"/>
              </w:tabs>
              <w:jc w:val="both"/>
              <w:rPr>
                <w:lang w:eastAsia="en-US"/>
              </w:rPr>
            </w:pPr>
            <w:r w:rsidRPr="00843108">
              <w:rPr>
                <w:lang w:eastAsia="en-US"/>
              </w:rPr>
              <w:t>7.1.</w:t>
            </w:r>
            <w:r w:rsidRPr="005921D3">
              <w:rPr>
                <w:lang w:eastAsia="en-US"/>
              </w:rPr>
              <w:t xml:space="preserve"> </w:t>
            </w:r>
            <w:r w:rsidR="00851D39">
              <w:rPr>
                <w:lang w:eastAsia="en-US"/>
              </w:rPr>
              <w:t>Prekės priėmimo metu akivaizdžiai nustačius, kad prekė neatitinka S</w:t>
            </w:r>
            <w:r w:rsidR="00851D39" w:rsidRPr="002B6384">
              <w:rPr>
                <w:lang w:eastAsia="en-US"/>
              </w:rPr>
              <w:t xml:space="preserve">utarties reikalavimų, </w:t>
            </w:r>
            <w:r w:rsidR="00851D39" w:rsidRPr="00851D39">
              <w:rPr>
                <w:b/>
                <w:lang w:eastAsia="en-US"/>
              </w:rPr>
              <w:t>Gavė</w:t>
            </w:r>
            <w:r w:rsidR="00851D39" w:rsidRPr="00851D39">
              <w:rPr>
                <w:b/>
                <w:bCs/>
                <w:lang w:eastAsia="en-US"/>
              </w:rPr>
              <w:t>j</w:t>
            </w:r>
            <w:r w:rsidR="00851D39" w:rsidRPr="002B6384">
              <w:rPr>
                <w:b/>
                <w:bCs/>
                <w:lang w:eastAsia="en-US"/>
              </w:rPr>
              <w:t>as</w:t>
            </w:r>
            <w:r w:rsidR="00851D39">
              <w:rPr>
                <w:lang w:eastAsia="en-US"/>
              </w:rPr>
              <w:t xml:space="preserve"> turi teisę jos</w:t>
            </w:r>
            <w:r w:rsidR="00851D39" w:rsidRPr="002B6384">
              <w:rPr>
                <w:lang w:eastAsia="en-US"/>
              </w:rPr>
              <w:t xml:space="preserve"> nepriimti ir tokiu atveju laikoma, kad </w:t>
            </w:r>
            <w:r w:rsidR="00851D39" w:rsidRPr="002B6384">
              <w:rPr>
                <w:b/>
                <w:bCs/>
                <w:lang w:eastAsia="en-US"/>
              </w:rPr>
              <w:t>Pardavėjas</w:t>
            </w:r>
            <w:r w:rsidR="00851D39" w:rsidRPr="002B6384">
              <w:rPr>
                <w:lang w:eastAsia="en-US"/>
              </w:rPr>
              <w:t xml:space="preserve"> </w:t>
            </w:r>
            <w:r w:rsidR="00851D39">
              <w:rPr>
                <w:lang w:eastAsia="en-US"/>
              </w:rPr>
              <w:t xml:space="preserve">prekės </w:t>
            </w:r>
            <w:r w:rsidR="00851D39" w:rsidRPr="002B6384">
              <w:rPr>
                <w:lang w:eastAsia="en-US"/>
              </w:rPr>
              <w:t>nepristatė.</w:t>
            </w:r>
          </w:p>
          <w:p w:rsidR="00851D39" w:rsidRDefault="00851D39" w:rsidP="00851D39">
            <w:pPr>
              <w:tabs>
                <w:tab w:val="left" w:pos="540"/>
                <w:tab w:val="left" w:pos="1701"/>
              </w:tabs>
              <w:jc w:val="both"/>
              <w:rPr>
                <w:lang w:eastAsia="en-US"/>
              </w:rPr>
            </w:pPr>
            <w:r w:rsidRPr="00D14131">
              <w:rPr>
                <w:b/>
                <w:lang w:eastAsia="en-US"/>
              </w:rPr>
              <w:t>7.2.</w:t>
            </w:r>
            <w:r>
              <w:rPr>
                <w:lang w:eastAsia="en-US"/>
              </w:rPr>
              <w:t xml:space="preserve"> J</w:t>
            </w:r>
            <w:r w:rsidRPr="002B6384">
              <w:rPr>
                <w:lang w:eastAsia="en-US"/>
              </w:rPr>
              <w:t xml:space="preserve">eigu </w:t>
            </w:r>
            <w:r>
              <w:rPr>
                <w:lang w:eastAsia="en-US"/>
              </w:rPr>
              <w:t xml:space="preserve">prekės priėmimo metu </w:t>
            </w:r>
            <w:r w:rsidRPr="002B6384">
              <w:rPr>
                <w:lang w:eastAsia="en-US"/>
              </w:rPr>
              <w:t>trūkumai neakivaizdūs</w:t>
            </w:r>
            <w:r>
              <w:rPr>
                <w:lang w:eastAsia="en-US"/>
              </w:rPr>
              <w:t xml:space="preserve">, </w:t>
            </w:r>
            <w:r w:rsidRPr="00620997">
              <w:rPr>
                <w:b/>
                <w:lang w:eastAsia="en-US"/>
              </w:rPr>
              <w:t>Pirkėjas</w:t>
            </w:r>
            <w:r>
              <w:rPr>
                <w:lang w:eastAsia="en-US"/>
              </w:rPr>
              <w:t xml:space="preserve"> pretenzijas dėl prekės ar prekės</w:t>
            </w:r>
            <w:r w:rsidRPr="002B6384">
              <w:rPr>
                <w:lang w:eastAsia="en-US"/>
              </w:rPr>
              <w:t xml:space="preserve"> </w:t>
            </w:r>
            <w:r>
              <w:rPr>
                <w:lang w:eastAsia="en-US"/>
              </w:rPr>
              <w:t>siuntos kiekio ar kokybės įsipareigoja pareikšti</w:t>
            </w:r>
            <w:r w:rsidRPr="002B6384">
              <w:rPr>
                <w:lang w:eastAsia="en-US"/>
              </w:rPr>
              <w:t xml:space="preserve"> ne vėliau kaip per </w:t>
            </w:r>
            <w:r>
              <w:rPr>
                <w:lang w:eastAsia="en-US"/>
              </w:rPr>
              <w:t>1</w:t>
            </w:r>
            <w:r w:rsidRPr="002B6384">
              <w:rPr>
                <w:lang w:eastAsia="en-US"/>
              </w:rPr>
              <w:t xml:space="preserve">0 (dešimt) dienų </w:t>
            </w:r>
            <w:r w:rsidR="005E56AF">
              <w:rPr>
                <w:lang w:eastAsia="en-US"/>
              </w:rPr>
              <w:t>nuo</w:t>
            </w:r>
            <w:r w:rsidRPr="002B6384">
              <w:rPr>
                <w:lang w:eastAsia="en-US"/>
              </w:rPr>
              <w:t xml:space="preserve"> </w:t>
            </w:r>
            <w:r>
              <w:rPr>
                <w:lang w:eastAsia="en-US"/>
              </w:rPr>
              <w:t>prekės priėmimo.</w:t>
            </w:r>
          </w:p>
          <w:p w:rsidR="00851D39" w:rsidRPr="002B6384" w:rsidRDefault="00851D39" w:rsidP="00851D39">
            <w:pPr>
              <w:tabs>
                <w:tab w:val="left" w:pos="540"/>
                <w:tab w:val="left" w:pos="1701"/>
              </w:tabs>
              <w:jc w:val="both"/>
              <w:rPr>
                <w:lang w:eastAsia="en-US"/>
              </w:rPr>
            </w:pPr>
            <w:r w:rsidRPr="00843108">
              <w:rPr>
                <w:lang w:eastAsia="en-US"/>
              </w:rPr>
              <w:t>7.3.</w:t>
            </w:r>
            <w:r>
              <w:rPr>
                <w:lang w:eastAsia="en-US"/>
              </w:rPr>
              <w:t xml:space="preserve"> </w:t>
            </w:r>
            <w:r w:rsidRPr="002B6384">
              <w:rPr>
                <w:lang w:eastAsia="en-US"/>
              </w:rPr>
              <w:t xml:space="preserve">Jeigu </w:t>
            </w:r>
            <w:r w:rsidR="005A0934" w:rsidRPr="005A0934">
              <w:rPr>
                <w:b/>
                <w:lang w:eastAsia="en-US"/>
              </w:rPr>
              <w:t>G</w:t>
            </w:r>
            <w:r w:rsidRPr="005A0934">
              <w:rPr>
                <w:b/>
                <w:lang w:eastAsia="en-US"/>
              </w:rPr>
              <w:t>avėjas</w:t>
            </w:r>
            <w:r>
              <w:rPr>
                <w:lang w:eastAsia="en-US"/>
              </w:rPr>
              <w:t xml:space="preserve"> priima prekę</w:t>
            </w:r>
            <w:r w:rsidRPr="002B6384">
              <w:rPr>
                <w:lang w:eastAsia="en-US"/>
              </w:rPr>
              <w:t xml:space="preserve">, neįvertindamas </w:t>
            </w:r>
            <w:r>
              <w:rPr>
                <w:lang w:eastAsia="en-US"/>
              </w:rPr>
              <w:t xml:space="preserve"> prekės </w:t>
            </w:r>
            <w:r w:rsidRPr="002B6384">
              <w:rPr>
                <w:lang w:eastAsia="en-US"/>
              </w:rPr>
              <w:t xml:space="preserve">kiekio ir kokybės ar </w:t>
            </w:r>
            <w:r w:rsidRPr="002B6384">
              <w:rPr>
                <w:b/>
                <w:bCs/>
                <w:lang w:eastAsia="en-US"/>
              </w:rPr>
              <w:t>Pirkėjas</w:t>
            </w:r>
            <w:r w:rsidRPr="002B6384">
              <w:rPr>
                <w:lang w:eastAsia="en-US"/>
              </w:rPr>
              <w:t xml:space="preserve"> nepateikia </w:t>
            </w:r>
            <w:r w:rsidR="00303918">
              <w:rPr>
                <w:lang w:eastAsia="en-US"/>
              </w:rPr>
              <w:t>pretenzij</w:t>
            </w:r>
            <w:r w:rsidRPr="002B6384">
              <w:rPr>
                <w:lang w:eastAsia="en-US"/>
              </w:rPr>
              <w:t xml:space="preserve">ų Sutarties </w:t>
            </w:r>
            <w:r>
              <w:rPr>
                <w:lang w:eastAsia="en-US"/>
              </w:rPr>
              <w:t>specialiosios dalies 7.2</w:t>
            </w:r>
            <w:r w:rsidRPr="002B6384">
              <w:rPr>
                <w:lang w:eastAsia="en-US"/>
              </w:rPr>
              <w:t xml:space="preserve"> punkte nustatytu terminu, tai, iki bus įrodyta priešingai, laikoma, kad </w:t>
            </w:r>
            <w:r w:rsidR="005A0934" w:rsidRPr="005A0934">
              <w:rPr>
                <w:b/>
                <w:lang w:eastAsia="en-US"/>
              </w:rPr>
              <w:t>G</w:t>
            </w:r>
            <w:r w:rsidRPr="005A0934">
              <w:rPr>
                <w:b/>
                <w:lang w:eastAsia="en-US"/>
              </w:rPr>
              <w:t>avėjas</w:t>
            </w:r>
            <w:r w:rsidRPr="002B6384">
              <w:rPr>
                <w:lang w:eastAsia="en-US"/>
              </w:rPr>
              <w:t xml:space="preserve"> priėmė </w:t>
            </w:r>
            <w:r>
              <w:rPr>
                <w:lang w:eastAsia="en-US"/>
              </w:rPr>
              <w:t xml:space="preserve">prekę </w:t>
            </w:r>
            <w:r w:rsidRPr="002B6384">
              <w:rPr>
                <w:lang w:eastAsia="en-US"/>
              </w:rPr>
              <w:t xml:space="preserve">tokios būklės, kokia nurodyta </w:t>
            </w:r>
            <w:r>
              <w:rPr>
                <w:lang w:eastAsia="en-US"/>
              </w:rPr>
              <w:t>prek</w:t>
            </w:r>
            <w:r w:rsidR="00874043">
              <w:rPr>
                <w:lang w:eastAsia="en-US"/>
              </w:rPr>
              <w:t>ės gabenimo</w:t>
            </w:r>
            <w:r>
              <w:rPr>
                <w:lang w:eastAsia="en-US"/>
              </w:rPr>
              <w:t xml:space="preserve"> </w:t>
            </w:r>
            <w:r w:rsidRPr="002B6384">
              <w:rPr>
                <w:lang w:eastAsia="en-US"/>
              </w:rPr>
              <w:t>dokumentuose.</w:t>
            </w:r>
          </w:p>
          <w:p w:rsidR="00851D39" w:rsidRDefault="00851D39" w:rsidP="00874043">
            <w:pPr>
              <w:tabs>
                <w:tab w:val="left" w:pos="540"/>
                <w:tab w:val="left" w:pos="1701"/>
              </w:tabs>
              <w:jc w:val="both"/>
            </w:pPr>
            <w:r w:rsidRPr="00843108">
              <w:rPr>
                <w:bCs/>
                <w:lang w:eastAsia="en-US"/>
              </w:rPr>
              <w:t>7.4.</w:t>
            </w:r>
            <w:r>
              <w:rPr>
                <w:b/>
                <w:bCs/>
                <w:lang w:eastAsia="en-US"/>
              </w:rPr>
              <w:t xml:space="preserve"> </w:t>
            </w:r>
            <w:r w:rsidRPr="002B6384">
              <w:rPr>
                <w:b/>
                <w:bCs/>
                <w:lang w:eastAsia="en-US"/>
              </w:rPr>
              <w:t>Pardavėjas</w:t>
            </w:r>
            <w:r w:rsidRPr="002B6384">
              <w:rPr>
                <w:lang w:eastAsia="en-US"/>
              </w:rPr>
              <w:t xml:space="preserve"> per 10 (dešimt) dienų išnagrinėja gautas pretenzijas ir išsiunčia argumentuotą atsakymą </w:t>
            </w:r>
            <w:r w:rsidRPr="002B6384">
              <w:rPr>
                <w:b/>
                <w:bCs/>
                <w:lang w:eastAsia="en-US"/>
              </w:rPr>
              <w:t>Pirkėjui</w:t>
            </w:r>
            <w:r w:rsidR="00303918">
              <w:rPr>
                <w:bCs/>
                <w:lang w:eastAsia="en-US"/>
              </w:rPr>
              <w:t xml:space="preserve"> Sutarties specialiosios dalies 9.10 punkte nurodytu elektroninio pašto adresu</w:t>
            </w:r>
            <w:r w:rsidR="00303918" w:rsidRPr="002B6384">
              <w:rPr>
                <w:lang w:eastAsia="en-US"/>
              </w:rPr>
              <w:t>.</w:t>
            </w:r>
            <w:r w:rsidRPr="002B6384">
              <w:rPr>
                <w:lang w:eastAsia="en-US"/>
              </w:rPr>
              <w:t xml:space="preserve"> </w:t>
            </w:r>
          </w:p>
          <w:p w:rsidR="0051758C" w:rsidRDefault="0051758C" w:rsidP="009A2ACE">
            <w:pPr>
              <w:jc w:val="both"/>
            </w:pPr>
            <w:r w:rsidRPr="00843108">
              <w:t>7.</w:t>
            </w:r>
            <w:r w:rsidR="00874043" w:rsidRPr="00843108">
              <w:t>5</w:t>
            </w:r>
            <w:r w:rsidRPr="00843108">
              <w:t>.</w:t>
            </w:r>
            <w:r w:rsidRPr="00DD16FD">
              <w:t xml:space="preserve"> </w:t>
            </w:r>
            <w:r w:rsidR="0008050E" w:rsidRPr="00DD16FD">
              <w:t>Sutarties bendrosios dalies 6.</w:t>
            </w:r>
            <w:r w:rsidR="00EC08E5">
              <w:t>3</w:t>
            </w:r>
            <w:r w:rsidR="0008050E" w:rsidRPr="00DD16FD">
              <w:t xml:space="preserve"> punkte nurodyt</w:t>
            </w:r>
            <w:r w:rsidR="00890585" w:rsidRPr="00DD16FD">
              <w:t>us</w:t>
            </w:r>
            <w:r w:rsidR="0011157E" w:rsidRPr="00DD16FD">
              <w:t xml:space="preserve"> terminas – 3 darbo dienos.</w:t>
            </w:r>
            <w:r w:rsidR="00890585" w:rsidRPr="00DD16FD">
              <w:t xml:space="preserve"> </w:t>
            </w:r>
          </w:p>
          <w:p w:rsidR="00631909" w:rsidRPr="00DD16FD" w:rsidRDefault="00631909" w:rsidP="009A2ACE">
            <w:pPr>
              <w:jc w:val="both"/>
              <w:rPr>
                <w:b/>
              </w:rPr>
            </w:pPr>
          </w:p>
        </w:tc>
      </w:tr>
      <w:tr w:rsidR="0051758C" w:rsidTr="00186E29">
        <w:trPr>
          <w:trHeight w:val="434"/>
        </w:trPr>
        <w:tc>
          <w:tcPr>
            <w:tcW w:w="5000" w:type="pct"/>
            <w:tcBorders>
              <w:top w:val="single" w:sz="4" w:space="0" w:color="auto"/>
              <w:left w:val="single" w:sz="4" w:space="0" w:color="auto"/>
              <w:bottom w:val="single" w:sz="4" w:space="0" w:color="auto"/>
              <w:right w:val="single" w:sz="4" w:space="0" w:color="auto"/>
            </w:tcBorders>
            <w:hideMark/>
          </w:tcPr>
          <w:p w:rsidR="0051758C" w:rsidRDefault="0051758C" w:rsidP="00DD16FD">
            <w:pPr>
              <w:pStyle w:val="ListParagraph"/>
              <w:spacing w:after="0" w:line="240" w:lineRule="auto"/>
              <w:ind w:left="0"/>
              <w:jc w:val="both"/>
              <w:rPr>
                <w:b/>
              </w:rPr>
            </w:pPr>
            <w:r>
              <w:rPr>
                <w:b/>
              </w:rPr>
              <w:t xml:space="preserve">8. </w:t>
            </w:r>
            <w:r w:rsidR="00A438A8" w:rsidRPr="00A438A8">
              <w:rPr>
                <w:b/>
              </w:rPr>
              <w:t>Papildomas prievolių įvykdymo užtikrinimas netaikomas.</w:t>
            </w:r>
          </w:p>
          <w:p w:rsidR="00DD16FD" w:rsidRPr="00EB4422" w:rsidRDefault="00DD16FD" w:rsidP="00DD16FD">
            <w:pPr>
              <w:pStyle w:val="ListParagraph"/>
              <w:spacing w:after="0" w:line="240" w:lineRule="auto"/>
              <w:ind w:left="0"/>
              <w:jc w:val="both"/>
            </w:pPr>
          </w:p>
        </w:tc>
      </w:tr>
      <w:tr w:rsidR="0051758C" w:rsidTr="001C53B2">
        <w:trPr>
          <w:trHeight w:val="557"/>
        </w:trPr>
        <w:tc>
          <w:tcPr>
            <w:tcW w:w="5000" w:type="pct"/>
            <w:tcBorders>
              <w:top w:val="single" w:sz="4" w:space="0" w:color="auto"/>
              <w:left w:val="single" w:sz="4" w:space="0" w:color="auto"/>
              <w:bottom w:val="single" w:sz="4" w:space="0" w:color="auto"/>
              <w:right w:val="single" w:sz="4" w:space="0" w:color="auto"/>
            </w:tcBorders>
          </w:tcPr>
          <w:p w:rsidR="0051758C" w:rsidRPr="00EB4422" w:rsidRDefault="006A5191">
            <w:pPr>
              <w:jc w:val="both"/>
              <w:rPr>
                <w:b/>
              </w:rPr>
            </w:pPr>
            <w:r>
              <w:rPr>
                <w:b/>
              </w:rPr>
              <w:t>9</w:t>
            </w:r>
            <w:r w:rsidR="0051758C" w:rsidRPr="00EB4422">
              <w:rPr>
                <w:b/>
              </w:rPr>
              <w:t>. Kitos sąlygos</w:t>
            </w:r>
          </w:p>
          <w:p w:rsidR="00582C30" w:rsidRPr="00EB4422" w:rsidRDefault="006A5191" w:rsidP="00582C30">
            <w:pPr>
              <w:jc w:val="both"/>
            </w:pPr>
            <w:r w:rsidRPr="00843108">
              <w:t>9</w:t>
            </w:r>
            <w:r w:rsidR="00582C30" w:rsidRPr="00843108">
              <w:t>.1.</w:t>
            </w:r>
            <w:r w:rsidR="00582C30" w:rsidRPr="008F069E">
              <w:t xml:space="preserve"> Sutarties bendrosios</w:t>
            </w:r>
            <w:r w:rsidR="00582C30" w:rsidRPr="00EB4422">
              <w:t xml:space="preserve"> dalies 11.1 punkte nurodytų Šalių iš anksto sutartų minimalių nuostolių dydis yra - </w:t>
            </w:r>
            <w:r w:rsidR="00582C30" w:rsidRPr="00893D73">
              <w:t>0,</w:t>
            </w:r>
            <w:r w:rsidR="00D80439">
              <w:t>1</w:t>
            </w:r>
            <w:r w:rsidR="00582C30" w:rsidRPr="00893D73">
              <w:t xml:space="preserve"> %</w:t>
            </w:r>
            <w:r w:rsidR="00FB52DA">
              <w:t xml:space="preserve"> nuo nepristatytų prekių kainos be PVM už kiekvieną uždelstą dieną.</w:t>
            </w:r>
          </w:p>
          <w:p w:rsidR="00582C30" w:rsidRPr="00091508" w:rsidRDefault="008223DC" w:rsidP="00582C30">
            <w:pPr>
              <w:jc w:val="both"/>
            </w:pPr>
            <w:r w:rsidRPr="00843108">
              <w:t>9</w:t>
            </w:r>
            <w:r w:rsidR="00582C30" w:rsidRPr="00843108">
              <w:t>.2.</w:t>
            </w:r>
            <w:r w:rsidR="00582C30" w:rsidRPr="00091508">
              <w:t xml:space="preserve"> Sutarties bendrosios dalies 11.3 punkte nurodytų Šalių iš anksto sutartų minimalių nuostolių dydis yra –</w:t>
            </w:r>
            <w:r w:rsidR="00582C30">
              <w:t xml:space="preserve"> </w:t>
            </w:r>
            <w:r w:rsidR="00582C30" w:rsidRPr="00893D73">
              <w:t>0,</w:t>
            </w:r>
            <w:r w:rsidR="00D80439">
              <w:t>1</w:t>
            </w:r>
            <w:r w:rsidR="00582C30" w:rsidRPr="00893D73">
              <w:t xml:space="preserve"> %</w:t>
            </w:r>
            <w:r w:rsidR="00FB52DA" w:rsidRPr="001964EB">
              <w:t xml:space="preserve"> nuo prekių, kurių trūkumai nepašalinti, ar prekių, kurios yra nepakeistos, kainos be PVM už kiekvieną uždelstą dieną</w:t>
            </w:r>
            <w:r w:rsidR="00FB52DA">
              <w:t xml:space="preserve">. </w:t>
            </w:r>
          </w:p>
          <w:p w:rsidR="00582C30" w:rsidRPr="00403322" w:rsidRDefault="008223DC" w:rsidP="00582C30">
            <w:pPr>
              <w:jc w:val="both"/>
            </w:pPr>
            <w:r w:rsidRPr="00843108">
              <w:t>9</w:t>
            </w:r>
            <w:r w:rsidR="00582C30" w:rsidRPr="00843108">
              <w:t>.3.</w:t>
            </w:r>
            <w:r w:rsidR="00582C30">
              <w:t xml:space="preserve"> </w:t>
            </w:r>
            <w:r w:rsidR="00582C30" w:rsidRPr="00EB4422">
              <w:t xml:space="preserve">Sutarties bendrosios dalies 11.4 punkte nurodytų Šalių iš anksto sutartų minimalių nuostolių dydis </w:t>
            </w:r>
            <w:r w:rsidR="003E0043" w:rsidRPr="004625D0">
              <w:rPr>
                <w:bCs/>
              </w:rPr>
              <w:t xml:space="preserve">________ </w:t>
            </w:r>
            <w:proofErr w:type="spellStart"/>
            <w:r w:rsidR="003E0043" w:rsidRPr="004625D0">
              <w:rPr>
                <w:bCs/>
              </w:rPr>
              <w:t>Eur</w:t>
            </w:r>
            <w:proofErr w:type="spellEnd"/>
            <w:r w:rsidR="003E0043" w:rsidRPr="004625D0">
              <w:rPr>
                <w:bCs/>
              </w:rPr>
              <w:t xml:space="preserve"> (</w:t>
            </w:r>
            <w:r w:rsidR="003E0043" w:rsidRPr="00F40DBE">
              <w:rPr>
                <w:bCs/>
                <w:i/>
              </w:rPr>
              <w:t>suma žodžiais</w:t>
            </w:r>
            <w:r w:rsidR="003E0043" w:rsidRPr="004625D0">
              <w:rPr>
                <w:bCs/>
              </w:rPr>
              <w:t>)</w:t>
            </w:r>
            <w:r w:rsidR="003E0043">
              <w:t xml:space="preserve"> (</w:t>
            </w:r>
            <w:r w:rsidR="003E0043" w:rsidRPr="003E0043">
              <w:rPr>
                <w:i/>
              </w:rPr>
              <w:t>5</w:t>
            </w:r>
            <w:r w:rsidR="003E0043">
              <w:rPr>
                <w:i/>
                <w:iCs/>
              </w:rPr>
              <w:t xml:space="preserve"> (</w:t>
            </w:r>
            <w:r w:rsidR="00ED0C28">
              <w:rPr>
                <w:i/>
                <w:iCs/>
              </w:rPr>
              <w:t>penk</w:t>
            </w:r>
            <w:r w:rsidR="003E0043">
              <w:rPr>
                <w:i/>
                <w:iCs/>
              </w:rPr>
              <w:t>i) proc. nuo pradinės Sutarties vertės be PVM, nurodytos Sutarties specialiosios dalies 2.</w:t>
            </w:r>
            <w:r w:rsidR="003B1929">
              <w:rPr>
                <w:i/>
                <w:iCs/>
              </w:rPr>
              <w:t>6</w:t>
            </w:r>
            <w:r w:rsidR="003E0043">
              <w:rPr>
                <w:i/>
                <w:iCs/>
              </w:rPr>
              <w:t xml:space="preserve"> punkte</w:t>
            </w:r>
            <w:r w:rsidR="003E0043">
              <w:rPr>
                <w:bCs/>
              </w:rPr>
              <w:t>)</w:t>
            </w:r>
            <w:r w:rsidR="003E0043" w:rsidRPr="004625D0">
              <w:rPr>
                <w:bCs/>
              </w:rPr>
              <w:t>.</w:t>
            </w:r>
          </w:p>
          <w:p w:rsidR="00582C30" w:rsidRDefault="008223DC">
            <w:pPr>
              <w:jc w:val="both"/>
            </w:pPr>
            <w:r w:rsidRPr="00843108">
              <w:t>9</w:t>
            </w:r>
            <w:r w:rsidR="00582C30" w:rsidRPr="00843108">
              <w:t>.4.</w:t>
            </w:r>
            <w:r w:rsidR="00582C30" w:rsidRPr="00EB4422">
              <w:t xml:space="preserve"> Nenugalimos jėgos</w:t>
            </w:r>
            <w:r w:rsidR="00582C30">
              <w:t xml:space="preserve"> aplinkybių trukmė – 30 (trisdešimt) </w:t>
            </w:r>
            <w:r w:rsidR="00582C30" w:rsidRPr="00EB4422">
              <w:t>dienų, taikant Sutarties bendrosios dalies 9.1.2 punkto sąlygas.</w:t>
            </w:r>
          </w:p>
          <w:p w:rsidR="009A60BE" w:rsidRDefault="009A60BE">
            <w:pPr>
              <w:jc w:val="both"/>
            </w:pPr>
            <w:r>
              <w:t xml:space="preserve">9.5. </w:t>
            </w:r>
            <w:r w:rsidRPr="00A952C7">
              <w:t>Sutartį nutraukus Specialiosios dalies 5.1.2 ir 5.1.3 punktuose nurodytais atvejais Šalių iš anksto sutartų minimalių nuostolių dydis yra</w:t>
            </w:r>
            <w:r w:rsidR="00703F50">
              <w:t xml:space="preserve"> </w:t>
            </w:r>
            <w:r w:rsidR="00D5560B" w:rsidRPr="004625D0">
              <w:rPr>
                <w:bCs/>
              </w:rPr>
              <w:t xml:space="preserve">________ </w:t>
            </w:r>
            <w:proofErr w:type="spellStart"/>
            <w:r w:rsidR="00D5560B" w:rsidRPr="004625D0">
              <w:rPr>
                <w:bCs/>
              </w:rPr>
              <w:t>Eur</w:t>
            </w:r>
            <w:proofErr w:type="spellEnd"/>
            <w:r w:rsidR="00D5560B" w:rsidRPr="004625D0">
              <w:rPr>
                <w:bCs/>
              </w:rPr>
              <w:t xml:space="preserve"> (</w:t>
            </w:r>
            <w:r w:rsidR="00D5560B" w:rsidRPr="00F40DBE">
              <w:rPr>
                <w:bCs/>
                <w:i/>
              </w:rPr>
              <w:t>suma žodžiais</w:t>
            </w:r>
            <w:r w:rsidR="00D5560B" w:rsidRPr="004625D0">
              <w:rPr>
                <w:bCs/>
              </w:rPr>
              <w:t>)</w:t>
            </w:r>
            <w:r w:rsidR="00D5560B">
              <w:t xml:space="preserve"> (</w:t>
            </w:r>
            <w:r w:rsidR="00D5560B" w:rsidRPr="00D5560B">
              <w:rPr>
                <w:i/>
              </w:rPr>
              <w:t>1</w:t>
            </w:r>
            <w:r w:rsidR="00D5560B" w:rsidRPr="003E0043">
              <w:rPr>
                <w:i/>
              </w:rPr>
              <w:t>5</w:t>
            </w:r>
            <w:r w:rsidR="00D5560B">
              <w:rPr>
                <w:i/>
                <w:iCs/>
              </w:rPr>
              <w:t xml:space="preserve"> (penkiolika) proc. nuo pradinės Sutarties vertės be PVM, nurodytos Sutarties specialiosios dalies 2.6 punkte</w:t>
            </w:r>
            <w:r w:rsidR="00D5560B">
              <w:rPr>
                <w:bCs/>
              </w:rPr>
              <w:t>)</w:t>
            </w:r>
            <w:r w:rsidR="00D5560B" w:rsidRPr="004625D0">
              <w:rPr>
                <w:bCs/>
              </w:rPr>
              <w:t>.</w:t>
            </w:r>
          </w:p>
          <w:p w:rsidR="00D74863" w:rsidRDefault="00843108" w:rsidP="00D74863">
            <w:pPr>
              <w:jc w:val="both"/>
            </w:pPr>
            <w:r w:rsidRPr="00843108">
              <w:t>9</w:t>
            </w:r>
            <w:r w:rsidR="00582C30" w:rsidRPr="00843108">
              <w:t>.</w:t>
            </w:r>
            <w:r w:rsidR="00F7012F">
              <w:t>6</w:t>
            </w:r>
            <w:r w:rsidR="00582C30" w:rsidRPr="00843108">
              <w:t>.</w:t>
            </w:r>
            <w:r w:rsidR="00582C30">
              <w:t xml:space="preserve"> </w:t>
            </w:r>
            <w:r w:rsidR="00D74863" w:rsidRPr="00096626">
              <w:rPr>
                <w:b/>
              </w:rPr>
              <w:t>Pardavėjas</w:t>
            </w:r>
            <w:r w:rsidR="00D74863" w:rsidRPr="00096626">
              <w:t xml:space="preserve"> įsipareigoja vykdyti Sutarties bendrosios dalies 8 punkte nurodytus įsipareigojimus ir pateikti </w:t>
            </w:r>
            <w:r w:rsidR="00D74863" w:rsidRPr="00096626">
              <w:rPr>
                <w:b/>
              </w:rPr>
              <w:t>Pirkėjui</w:t>
            </w:r>
            <w:r w:rsidR="00D74863" w:rsidRPr="00096626">
              <w:t xml:space="preserve"> pasirašytos Sutarties kopiją ir perkamoms prekėms identifikuoti reikalingus duomenis pagal šios Sutarties </w:t>
            </w:r>
            <w:r w:rsidR="00792C03">
              <w:t>3</w:t>
            </w:r>
            <w:r w:rsidR="00D74863" w:rsidRPr="00096626">
              <w:t xml:space="preserve"> priede „Kodifikavimui reikalingos dokumentų formos“ pateiktas formas. </w:t>
            </w:r>
            <w:r w:rsidR="00D74863" w:rsidRPr="00096626">
              <w:rPr>
                <w:b/>
              </w:rPr>
              <w:t>Pardavėjas</w:t>
            </w:r>
            <w:r w:rsidR="00D74863" w:rsidRPr="00096626">
              <w:t xml:space="preserve"> turi pateikti užpildytas ir pasirašytas formas elektroniniu pavidalu GRA Karybos standartizacijos ir nacionalinio kodifikavimo biurui, elektroninis paštas: </w:t>
            </w:r>
            <w:hyperlink r:id="rId8">
              <w:r w:rsidR="00D74863" w:rsidRPr="00096626">
                <w:rPr>
                  <w:rStyle w:val="Hyperlink"/>
                </w:rPr>
                <w:t>ncblt@mil.lt</w:t>
              </w:r>
            </w:hyperlink>
            <w:r w:rsidR="00D74863" w:rsidRPr="00096626">
              <w:t>,  telefonas +370 5 278 5250.</w:t>
            </w:r>
          </w:p>
          <w:p w:rsidR="00EA66B0" w:rsidRPr="000814BD" w:rsidRDefault="00EA66B0" w:rsidP="00EA66B0">
            <w:pPr>
              <w:jc w:val="both"/>
            </w:pPr>
            <w:r>
              <w:t xml:space="preserve">9.7. </w:t>
            </w:r>
            <w:r w:rsidRPr="00950E34">
              <w:rPr>
                <w:b/>
              </w:rPr>
              <w:t>Pardavėjas</w:t>
            </w:r>
            <w:r w:rsidRPr="000814BD">
              <w:t xml:space="preserve"> įsipareigoja susipažinti ir </w:t>
            </w:r>
            <w:r>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w:t>
            </w:r>
            <w:r w:rsidRPr="000814BD">
              <w:lastRenderedPageBreak/>
              <w:t xml:space="preserve">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rsidR="00EA66B0" w:rsidRPr="00096626" w:rsidRDefault="00EA66B0" w:rsidP="00EA66B0">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t xml:space="preserve">49 punkto </w:t>
            </w:r>
            <w:r w:rsidRPr="000814BD">
              <w:t>nuostatai.</w:t>
            </w:r>
            <w:r w:rsidR="006D4B97" w:rsidRPr="00354FBC">
              <w:t xml:space="preserve"> Jeigu </w:t>
            </w:r>
            <w:r w:rsidR="006D4B97" w:rsidRPr="006D4B97">
              <w:rPr>
                <w:b/>
              </w:rPr>
              <w:t>Pirkėjas</w:t>
            </w:r>
            <w:r w:rsidR="006D4B97" w:rsidRPr="00354FBC">
              <w:t xml:space="preserve"> sužino, kad </w:t>
            </w:r>
            <w:r w:rsidR="006D4B97" w:rsidRPr="006D4B97">
              <w:rPr>
                <w:b/>
              </w:rPr>
              <w:t>Pardavėjo</w:t>
            </w:r>
            <w:r w:rsidR="006D4B97" w:rsidRPr="00354FBC">
              <w:t xml:space="preserve"> elgesys neatitinka Kodekso 49 punkto nuostatų, </w:t>
            </w:r>
            <w:r w:rsidR="006D4B97" w:rsidRPr="006D4B97">
              <w:rPr>
                <w:b/>
              </w:rPr>
              <w:t>Pirkėjas</w:t>
            </w:r>
            <w:r w:rsidR="006D4B97" w:rsidRPr="00354FBC">
              <w:t xml:space="preserve"> turi teisę  vienašališkai, nesikreipdamas į teismą, nutraukti </w:t>
            </w:r>
            <w:r w:rsidR="006D4B97">
              <w:t xml:space="preserve">Sutartį </w:t>
            </w:r>
            <w:r w:rsidR="006D4B97" w:rsidRPr="00354FBC">
              <w:t xml:space="preserve">Sutarties </w:t>
            </w:r>
            <w:r w:rsidR="006D4B97">
              <w:t>b</w:t>
            </w:r>
            <w:r w:rsidR="006D4B97" w:rsidRPr="00354FBC">
              <w:t>endrosios dalies 9.2 punkto sąlygose nustatyta tvarka.</w:t>
            </w:r>
          </w:p>
          <w:p w:rsidR="0051758C" w:rsidRDefault="00843108">
            <w:pPr>
              <w:jc w:val="both"/>
            </w:pPr>
            <w:r w:rsidRPr="00843108">
              <w:t>9</w:t>
            </w:r>
            <w:r w:rsidR="00403322" w:rsidRPr="00843108">
              <w:t>.</w:t>
            </w:r>
            <w:r w:rsidR="00EA66B0">
              <w:t>8</w:t>
            </w:r>
            <w:r w:rsidR="0051758C" w:rsidRPr="00843108">
              <w:t>.</w:t>
            </w:r>
            <w:r w:rsidR="0051758C" w:rsidRPr="00EB4422">
              <w:t xml:space="preserve"> </w:t>
            </w:r>
            <w:r w:rsidRPr="00843108">
              <w:rPr>
                <w:b/>
              </w:rPr>
              <w:t>Pardavėjas</w:t>
            </w:r>
            <w:r w:rsidRPr="00843108">
              <w:t xml:space="preserve"> šiai Sutarčiai vykdyti pasitelks subtiekėją (-</w:t>
            </w:r>
            <w:proofErr w:type="spellStart"/>
            <w:r w:rsidRPr="00843108">
              <w:t>us</w:t>
            </w:r>
            <w:proofErr w:type="spellEnd"/>
            <w:r w:rsidRPr="00843108">
              <w:t>): (nurodomas subtiekėjo (-ų) pavadinimas). Subtiekėjo (-jų) keitimo tvarka nurodyta Sutarties bendrosios dalies 15.9 punkte</w:t>
            </w:r>
            <w:r w:rsidR="00063325">
              <w:t>/</w:t>
            </w:r>
            <w:r w:rsidRPr="00843108">
              <w:t xml:space="preserve"> arba</w:t>
            </w:r>
            <w:r w:rsidR="00063325">
              <w:t xml:space="preserve"> /</w:t>
            </w:r>
            <w:r w:rsidRPr="00843108">
              <w:t xml:space="preserve"> </w:t>
            </w:r>
            <w:r w:rsidRPr="00843108">
              <w:rPr>
                <w:b/>
              </w:rPr>
              <w:t>Pardavėjas</w:t>
            </w:r>
            <w:r w:rsidRPr="00843108">
              <w:t xml:space="preserve"> šiai Sutarčiai vykdyti subtiekėjo (-ų) nepasitelks (jei subtiekėjas nebus pasitelktas).</w:t>
            </w:r>
          </w:p>
          <w:p w:rsidR="00843108" w:rsidRPr="00EB4422" w:rsidRDefault="00843108">
            <w:pPr>
              <w:jc w:val="both"/>
            </w:pPr>
            <w:r>
              <w:t>9.</w:t>
            </w:r>
            <w:r w:rsidR="00EA66B0">
              <w:t>9</w:t>
            </w:r>
            <w:r>
              <w:t xml:space="preserve">. </w:t>
            </w:r>
            <w:r w:rsidRPr="003A52A4">
              <w:rPr>
                <w:b/>
              </w:rPr>
              <w:t>Pardavėjo</w:t>
            </w:r>
            <w:r w:rsidRPr="00EB4422">
              <w:t xml:space="preserve"> atstovas</w:t>
            </w:r>
            <w:r>
              <w:t xml:space="preserve"> </w:t>
            </w:r>
            <w:r w:rsidRPr="00EB4422">
              <w:t>(ai) –</w:t>
            </w:r>
          </w:p>
          <w:p w:rsidR="0051758C" w:rsidRPr="00EB4422" w:rsidRDefault="00843108">
            <w:pPr>
              <w:jc w:val="both"/>
            </w:pPr>
            <w:r>
              <w:t>9</w:t>
            </w:r>
            <w:r w:rsidR="00403322" w:rsidRPr="00843108">
              <w:t>.</w:t>
            </w:r>
            <w:r w:rsidR="00EA66B0">
              <w:t>10</w:t>
            </w:r>
            <w:r w:rsidR="0051758C" w:rsidRPr="00582C30">
              <w:rPr>
                <w:b/>
              </w:rPr>
              <w:t>.</w:t>
            </w:r>
            <w:r w:rsidR="0051758C" w:rsidRPr="00EB4422">
              <w:t xml:space="preserve"> </w:t>
            </w:r>
            <w:r w:rsidR="0051758C" w:rsidRPr="00843108">
              <w:rPr>
                <w:b/>
              </w:rPr>
              <w:t>Pirkėjo</w:t>
            </w:r>
            <w:r w:rsidR="0051758C" w:rsidRPr="00EB4422">
              <w:t xml:space="preserve"> atstovas</w:t>
            </w:r>
            <w:r w:rsidR="00EB4422">
              <w:t xml:space="preserve"> </w:t>
            </w:r>
            <w:r w:rsidR="0051758C" w:rsidRPr="00EB4422">
              <w:t xml:space="preserve">(ai) - </w:t>
            </w:r>
          </w:p>
          <w:p w:rsidR="003D3BB4" w:rsidRDefault="00843108">
            <w:pPr>
              <w:jc w:val="both"/>
            </w:pPr>
            <w:r>
              <w:t>9</w:t>
            </w:r>
            <w:r w:rsidR="003D3BB4" w:rsidRPr="00843108">
              <w:t>.</w:t>
            </w:r>
            <w:r w:rsidR="00B400DE">
              <w:t>10</w:t>
            </w:r>
            <w:r w:rsidR="003D3BB4" w:rsidRPr="00843108">
              <w:t>.</w:t>
            </w:r>
            <w:r w:rsidR="003D3BB4">
              <w:t xml:space="preserve"> </w:t>
            </w:r>
            <w:r w:rsidR="00582C30" w:rsidRPr="00843108">
              <w:rPr>
                <w:b/>
              </w:rPr>
              <w:t>Gav</w:t>
            </w:r>
            <w:r w:rsidR="003D3BB4" w:rsidRPr="00843108">
              <w:rPr>
                <w:b/>
              </w:rPr>
              <w:t>ėjo</w:t>
            </w:r>
            <w:r w:rsidR="003D3BB4">
              <w:t xml:space="preserve"> atstovas (ai) </w:t>
            </w:r>
            <w:r>
              <w:t>–</w:t>
            </w:r>
            <w:r w:rsidR="003D3BB4">
              <w:t xml:space="preserve"> </w:t>
            </w:r>
          </w:p>
          <w:p w:rsidR="00843108" w:rsidRDefault="00843108" w:rsidP="00843108">
            <w:pPr>
              <w:jc w:val="both"/>
              <w:rPr>
                <w:color w:val="000000"/>
              </w:rPr>
            </w:pPr>
            <w:r>
              <w:t>9.1</w:t>
            </w:r>
            <w:r w:rsidR="00B400DE">
              <w:t>1</w:t>
            </w:r>
            <w:r>
              <w:t xml:space="preserve">. </w:t>
            </w:r>
            <w:r w:rsidR="00EA66B0" w:rsidRPr="002258BA">
              <w:t>Asmuo, atsakingas už Sutarties paskelbimą –</w:t>
            </w:r>
            <w:r w:rsidR="00EA66B0">
              <w:t xml:space="preserve"> </w:t>
            </w:r>
            <w:r w:rsidR="00EA66B0" w:rsidRPr="00B317A8">
              <w:t>(vardas, pavardė, pareigos, telefono ir fakso numeriai, el. pašto adresas);</w:t>
            </w:r>
          </w:p>
          <w:p w:rsidR="00EA66B0" w:rsidRPr="00EB4422" w:rsidRDefault="00EA66B0" w:rsidP="00843108">
            <w:pPr>
              <w:jc w:val="both"/>
            </w:pPr>
            <w:r>
              <w:t xml:space="preserve">9.12. </w:t>
            </w:r>
            <w:r w:rsidRPr="002258BA">
              <w:t>Asmuo, atsakingas už Sutarties pakeitimų paskelbimą –</w:t>
            </w:r>
            <w:r>
              <w:t xml:space="preserve"> </w:t>
            </w:r>
            <w:r w:rsidRPr="00B317A8">
              <w:t>(vardas, pavardė, pareigos, telefono ir fakso numeriai, el. pašto adresas);</w:t>
            </w:r>
          </w:p>
          <w:p w:rsidR="0051758C" w:rsidRPr="00EB4422" w:rsidRDefault="00D74863">
            <w:pPr>
              <w:jc w:val="both"/>
            </w:pPr>
            <w:r>
              <w:t>9</w:t>
            </w:r>
            <w:r w:rsidR="00403322" w:rsidRPr="00843108">
              <w:t>.</w:t>
            </w:r>
            <w:r>
              <w:t>1</w:t>
            </w:r>
            <w:r w:rsidR="00E43C6E">
              <w:t>3</w:t>
            </w:r>
            <w:r w:rsidR="0051758C" w:rsidRPr="00843108">
              <w:t>.</w:t>
            </w:r>
            <w:r w:rsidR="0051758C" w:rsidRPr="00EB4422">
              <w:t xml:space="preserve"> Sutarties priedai:</w:t>
            </w:r>
          </w:p>
          <w:p w:rsidR="00582C30" w:rsidRPr="00843108" w:rsidRDefault="00D74863" w:rsidP="00582C30">
            <w:pPr>
              <w:jc w:val="both"/>
            </w:pPr>
            <w:r>
              <w:t>9</w:t>
            </w:r>
            <w:r w:rsidR="00582C30" w:rsidRPr="00843108">
              <w:t>.</w:t>
            </w:r>
            <w:r>
              <w:t>1</w:t>
            </w:r>
            <w:r w:rsidR="00E43C6E">
              <w:t>3</w:t>
            </w:r>
            <w:r w:rsidR="00582C30" w:rsidRPr="00843108">
              <w:t>.1. 1 priedas „Reaktyvinių variklių kuro techninė specifikacija“</w:t>
            </w:r>
            <w:r w:rsidR="00E43C6E">
              <w:t>,1 lapas</w:t>
            </w:r>
            <w:r w:rsidR="00582C30" w:rsidRPr="00843108">
              <w:t>;</w:t>
            </w:r>
          </w:p>
          <w:p w:rsidR="00582C30" w:rsidRPr="00843108" w:rsidRDefault="00D74863" w:rsidP="00582C30">
            <w:pPr>
              <w:jc w:val="both"/>
            </w:pPr>
            <w:r>
              <w:t>9</w:t>
            </w:r>
            <w:r w:rsidR="00582C30" w:rsidRPr="00843108">
              <w:t>.</w:t>
            </w:r>
            <w:r>
              <w:t>1</w:t>
            </w:r>
            <w:r w:rsidR="00E43C6E">
              <w:t>3</w:t>
            </w:r>
            <w:r w:rsidR="00582C30" w:rsidRPr="00843108">
              <w:t>.2. 2 priedas „Prek</w:t>
            </w:r>
            <w:r w:rsidR="0061643F">
              <w:t>ių</w:t>
            </w:r>
            <w:r w:rsidR="00582C30" w:rsidRPr="00843108">
              <w:t xml:space="preserve"> tiekimo užsakymas Nr. </w:t>
            </w:r>
            <w:r w:rsidR="00582C30" w:rsidRPr="00843108">
              <w:rPr>
                <w:i/>
              </w:rPr>
              <w:t>(Forma)</w:t>
            </w:r>
            <w:r w:rsidR="00582C30" w:rsidRPr="00843108">
              <w:t>“</w:t>
            </w:r>
            <w:r w:rsidR="00E43C6E">
              <w:t>, 1 lapas;</w:t>
            </w:r>
          </w:p>
          <w:p w:rsidR="0051758C" w:rsidRDefault="00D74863" w:rsidP="00E43C6E">
            <w:pPr>
              <w:pStyle w:val="ListParagraph"/>
              <w:ind w:left="0"/>
              <w:jc w:val="both"/>
              <w:rPr>
                <w:b/>
              </w:rPr>
            </w:pPr>
            <w:r>
              <w:t>9</w:t>
            </w:r>
            <w:r w:rsidR="00582C30" w:rsidRPr="00843108">
              <w:t>.</w:t>
            </w:r>
            <w:r>
              <w:t>1</w:t>
            </w:r>
            <w:r w:rsidR="00E43C6E">
              <w:t>3</w:t>
            </w:r>
            <w:r w:rsidR="00582C30" w:rsidRPr="00843108">
              <w:t>.3.</w:t>
            </w:r>
            <w:r w:rsidR="00582C30">
              <w:t xml:space="preserve"> 3</w:t>
            </w:r>
            <w:r w:rsidR="00582C30" w:rsidRPr="005E5857">
              <w:t xml:space="preserve"> priede „Kodifikavimui reikalingos dokumentų formos“</w:t>
            </w:r>
            <w:r w:rsidR="00E43C6E">
              <w:t>, 2 lapai</w:t>
            </w:r>
            <w:r w:rsidR="001C53B2">
              <w:t>.</w:t>
            </w:r>
          </w:p>
        </w:tc>
      </w:tr>
      <w:tr w:rsidR="0051758C" w:rsidTr="00186E29">
        <w:trPr>
          <w:trHeight w:val="913"/>
        </w:trPr>
        <w:tc>
          <w:tcPr>
            <w:tcW w:w="5000" w:type="pct"/>
            <w:tcBorders>
              <w:top w:val="single" w:sz="4" w:space="0" w:color="auto"/>
              <w:left w:val="single" w:sz="4" w:space="0" w:color="auto"/>
              <w:bottom w:val="single" w:sz="4" w:space="0" w:color="auto"/>
              <w:right w:val="single" w:sz="4" w:space="0" w:color="auto"/>
            </w:tcBorders>
          </w:tcPr>
          <w:p w:rsidR="0051758C" w:rsidRPr="00EB4422" w:rsidRDefault="0051758C" w:rsidP="00EB4422">
            <w:pPr>
              <w:jc w:val="both"/>
              <w:rPr>
                <w:b/>
              </w:rPr>
            </w:pPr>
            <w:r>
              <w:rPr>
                <w:b/>
              </w:rPr>
              <w:lastRenderedPageBreak/>
              <w:t>1</w:t>
            </w:r>
            <w:r w:rsidR="00E43C6E">
              <w:rPr>
                <w:b/>
              </w:rPr>
              <w:t>0</w:t>
            </w:r>
            <w:r>
              <w:rPr>
                <w:b/>
              </w:rPr>
              <w:t xml:space="preserve">. Sutarties galiojimas </w:t>
            </w:r>
          </w:p>
          <w:p w:rsidR="00DE74D5" w:rsidRPr="00DE74D5" w:rsidRDefault="00DE74D5" w:rsidP="00DE74D5">
            <w:pPr>
              <w:jc w:val="both"/>
              <w:rPr>
                <w:bCs/>
              </w:rPr>
            </w:pPr>
            <w:r>
              <w:rPr>
                <w:bCs/>
              </w:rPr>
              <w:t xml:space="preserve">10.1. </w:t>
            </w:r>
            <w:r w:rsidRPr="00DE74D5">
              <w:rPr>
                <w:bCs/>
              </w:rPr>
              <w:t xml:space="preserve">Sutartis galioja </w:t>
            </w:r>
            <w:r w:rsidR="001C53B2">
              <w:rPr>
                <w:bCs/>
              </w:rPr>
              <w:t>36 (trisdešimt šeši)</w:t>
            </w:r>
            <w:r w:rsidRPr="00DE74D5">
              <w:rPr>
                <w:bCs/>
              </w:rPr>
              <w:t xml:space="preserve"> mėn. nuo Sutarties </w:t>
            </w:r>
            <w:r w:rsidR="00B400DE">
              <w:rPr>
                <w:bCs/>
              </w:rPr>
              <w:t>pasirašymo</w:t>
            </w:r>
            <w:r w:rsidRPr="00DE74D5">
              <w:rPr>
                <w:bCs/>
              </w:rPr>
              <w:t xml:space="preserve"> dienos,</w:t>
            </w:r>
            <w:r w:rsidR="00D141A7">
              <w:t xml:space="preserve"> </w:t>
            </w:r>
            <w:r w:rsidR="00D141A7" w:rsidRPr="00D141A7">
              <w:rPr>
                <w:bCs/>
              </w:rPr>
              <w:t>bet ne anksčiau kaip nuo 202</w:t>
            </w:r>
            <w:r w:rsidR="001C53B2">
              <w:rPr>
                <w:bCs/>
              </w:rPr>
              <w:t>5</w:t>
            </w:r>
            <w:r w:rsidR="00D141A7" w:rsidRPr="00D141A7">
              <w:rPr>
                <w:bCs/>
              </w:rPr>
              <w:t xml:space="preserve"> m.  s</w:t>
            </w:r>
            <w:r w:rsidR="00D141A7">
              <w:rPr>
                <w:bCs/>
              </w:rPr>
              <w:t>pal</w:t>
            </w:r>
            <w:r w:rsidR="00D141A7" w:rsidRPr="00D141A7">
              <w:rPr>
                <w:bCs/>
              </w:rPr>
              <w:t>io 1</w:t>
            </w:r>
            <w:r w:rsidR="00B400DE">
              <w:rPr>
                <w:bCs/>
              </w:rPr>
              <w:t>2</w:t>
            </w:r>
            <w:r w:rsidR="00D141A7" w:rsidRPr="00D141A7">
              <w:rPr>
                <w:bCs/>
              </w:rPr>
              <w:t xml:space="preserve"> d.,</w:t>
            </w:r>
            <w:r w:rsidRPr="00DE74D5">
              <w:rPr>
                <w:bCs/>
              </w:rPr>
              <w:t xml:space="preserve"> o finansinių ir garantinių įsipareigojimų atžvilgiu – iki visiško finansinių ir garantinių įsipareigojimų įvykdymo.</w:t>
            </w:r>
          </w:p>
          <w:p w:rsidR="00180BD8" w:rsidRPr="00DD16FD" w:rsidRDefault="00DE74D5" w:rsidP="00DE74D5">
            <w:pPr>
              <w:jc w:val="both"/>
            </w:pPr>
            <w:r w:rsidRPr="00DE74D5">
              <w:t>10.2. Sutarties pratęsimas –</w:t>
            </w:r>
            <w:r w:rsidR="00B400DE">
              <w:t xml:space="preserve"> nenumatomas</w:t>
            </w:r>
            <w:r w:rsidR="00180BD8" w:rsidRPr="00DD16FD">
              <w:t>.</w:t>
            </w:r>
          </w:p>
          <w:p w:rsidR="0051758C" w:rsidRPr="00EB4422" w:rsidRDefault="0051758C" w:rsidP="00E81D89"/>
        </w:tc>
      </w:tr>
      <w:tr w:rsidR="0051758C" w:rsidTr="00186E29">
        <w:trPr>
          <w:trHeight w:val="447"/>
        </w:trPr>
        <w:tc>
          <w:tcPr>
            <w:tcW w:w="5000" w:type="pct"/>
            <w:tcBorders>
              <w:top w:val="single" w:sz="4" w:space="0" w:color="auto"/>
              <w:left w:val="single" w:sz="4" w:space="0" w:color="auto"/>
              <w:bottom w:val="single" w:sz="4" w:space="0" w:color="auto"/>
              <w:right w:val="single" w:sz="4" w:space="0" w:color="auto"/>
            </w:tcBorders>
          </w:tcPr>
          <w:p w:rsidR="00582C30" w:rsidRDefault="00582C30" w:rsidP="00582C30">
            <w:pPr>
              <w:rPr>
                <w:b/>
              </w:rPr>
            </w:pPr>
            <w:r>
              <w:rPr>
                <w:b/>
              </w:rPr>
              <w:t>1</w:t>
            </w:r>
            <w:r w:rsidR="00DE74D5">
              <w:rPr>
                <w:b/>
              </w:rPr>
              <w:t>1</w:t>
            </w:r>
            <w:r>
              <w:rPr>
                <w:b/>
              </w:rPr>
              <w:t>. Pirkėjo rekvizitai</w:t>
            </w:r>
          </w:p>
          <w:p w:rsidR="00582C30" w:rsidRPr="00312141" w:rsidRDefault="00582C30" w:rsidP="00582C30">
            <w:pPr>
              <w:rPr>
                <w:rFonts w:eastAsia="Calibri"/>
                <w:b/>
                <w:bCs/>
                <w:lang w:eastAsia="en-US"/>
              </w:rPr>
            </w:pPr>
            <w:r w:rsidRPr="00312141">
              <w:rPr>
                <w:rFonts w:eastAsia="Calibri"/>
                <w:b/>
                <w:bCs/>
                <w:lang w:eastAsia="en-US"/>
              </w:rPr>
              <w:t>Gynybos resursų agentūra prie KAM</w:t>
            </w:r>
          </w:p>
          <w:p w:rsidR="00B400DE" w:rsidRPr="00B400DE" w:rsidRDefault="00B400DE" w:rsidP="00B400DE">
            <w:pPr>
              <w:rPr>
                <w:rFonts w:eastAsia="Calibri"/>
                <w:lang w:eastAsia="en-US"/>
              </w:rPr>
            </w:pPr>
            <w:r w:rsidRPr="00B400DE">
              <w:rPr>
                <w:rFonts w:eastAsia="Calibri"/>
                <w:lang w:eastAsia="en-US"/>
              </w:rPr>
              <w:t>Kodas - 304740061</w:t>
            </w:r>
          </w:p>
          <w:p w:rsidR="00B400DE" w:rsidRPr="00B400DE" w:rsidRDefault="00B400DE" w:rsidP="00B400DE">
            <w:pPr>
              <w:rPr>
                <w:rFonts w:eastAsia="Calibri"/>
                <w:lang w:eastAsia="en-US"/>
              </w:rPr>
            </w:pPr>
            <w:r w:rsidRPr="00B400DE">
              <w:rPr>
                <w:rFonts w:eastAsia="Calibri"/>
                <w:lang w:eastAsia="en-US"/>
              </w:rPr>
              <w:t>PVM mokėtojo kodas - LT100011457012</w:t>
            </w:r>
          </w:p>
          <w:p w:rsidR="00B400DE" w:rsidRPr="00B400DE" w:rsidRDefault="00B400DE" w:rsidP="00B400DE">
            <w:pPr>
              <w:rPr>
                <w:rFonts w:eastAsia="Calibri"/>
                <w:lang w:eastAsia="en-US"/>
              </w:rPr>
            </w:pPr>
            <w:r w:rsidRPr="00B400DE">
              <w:rPr>
                <w:rFonts w:eastAsia="Calibri"/>
                <w:lang w:eastAsia="en-US"/>
              </w:rPr>
              <w:t>Giedraičių 41-101, LT-01144 Vilnius, Lietuva</w:t>
            </w:r>
          </w:p>
          <w:p w:rsidR="00B400DE" w:rsidRPr="00B400DE" w:rsidRDefault="00B400DE" w:rsidP="00B400DE">
            <w:pPr>
              <w:rPr>
                <w:rFonts w:eastAsia="Calibri"/>
                <w:lang w:eastAsia="en-US"/>
              </w:rPr>
            </w:pPr>
            <w:r w:rsidRPr="00B400DE">
              <w:rPr>
                <w:rFonts w:eastAsia="Calibri"/>
                <w:lang w:eastAsia="en-US"/>
              </w:rPr>
              <w:t>Lietuvos Respublikos finansų ministerija</w:t>
            </w:r>
          </w:p>
          <w:p w:rsidR="00B400DE" w:rsidRPr="00B400DE" w:rsidRDefault="00B400DE" w:rsidP="00B400DE">
            <w:pPr>
              <w:rPr>
                <w:rFonts w:eastAsia="Calibri"/>
                <w:lang w:eastAsia="en-US"/>
              </w:rPr>
            </w:pPr>
            <w:r w:rsidRPr="00B400DE">
              <w:rPr>
                <w:rFonts w:eastAsia="Calibri"/>
                <w:lang w:eastAsia="en-US"/>
              </w:rPr>
              <w:t>A. s. LT214040063610000943</w:t>
            </w:r>
          </w:p>
          <w:p w:rsidR="00B400DE" w:rsidRPr="00B400DE" w:rsidRDefault="00B400DE" w:rsidP="00B400DE">
            <w:pPr>
              <w:rPr>
                <w:rFonts w:eastAsia="Calibri"/>
                <w:lang w:eastAsia="en-US"/>
              </w:rPr>
            </w:pPr>
            <w:r w:rsidRPr="00B400DE">
              <w:rPr>
                <w:rFonts w:eastAsia="Calibri"/>
                <w:lang w:eastAsia="en-US"/>
              </w:rPr>
              <w:t>Finansų įstaigos kodas 40400</w:t>
            </w:r>
          </w:p>
          <w:p w:rsidR="0051758C" w:rsidRDefault="00B400DE" w:rsidP="00B400DE">
            <w:pPr>
              <w:rPr>
                <w:b/>
              </w:rPr>
            </w:pPr>
            <w:r w:rsidRPr="00B400DE">
              <w:rPr>
                <w:rFonts w:eastAsia="Calibri"/>
                <w:lang w:eastAsia="en-US"/>
              </w:rPr>
              <w:t>SWIFT BIC kodas: MFRLLT22</w:t>
            </w:r>
          </w:p>
        </w:tc>
      </w:tr>
      <w:tr w:rsidR="00DE74D5" w:rsidTr="00186E29">
        <w:trPr>
          <w:trHeight w:val="447"/>
        </w:trPr>
        <w:tc>
          <w:tcPr>
            <w:tcW w:w="5000" w:type="pct"/>
            <w:tcBorders>
              <w:top w:val="single" w:sz="4" w:space="0" w:color="auto"/>
              <w:left w:val="single" w:sz="4" w:space="0" w:color="auto"/>
              <w:bottom w:val="single" w:sz="4" w:space="0" w:color="auto"/>
              <w:right w:val="single" w:sz="4" w:space="0" w:color="auto"/>
            </w:tcBorders>
          </w:tcPr>
          <w:p w:rsidR="00DE74D5" w:rsidRDefault="00DE74D5" w:rsidP="00DE74D5">
            <w:pPr>
              <w:rPr>
                <w:b/>
              </w:rPr>
            </w:pPr>
            <w:r>
              <w:rPr>
                <w:b/>
              </w:rPr>
              <w:t>12. Pardavėjo rekvizitai</w:t>
            </w:r>
          </w:p>
          <w:p w:rsidR="00DE74D5" w:rsidRDefault="00DE74D5" w:rsidP="00582C30">
            <w:pPr>
              <w:rPr>
                <w:b/>
              </w:rPr>
            </w:pPr>
          </w:p>
        </w:tc>
      </w:tr>
      <w:tr w:rsidR="003D3BB4" w:rsidTr="00186E29">
        <w:trPr>
          <w:trHeight w:val="441"/>
        </w:trPr>
        <w:tc>
          <w:tcPr>
            <w:tcW w:w="5000" w:type="pct"/>
            <w:tcBorders>
              <w:top w:val="single" w:sz="4" w:space="0" w:color="auto"/>
              <w:left w:val="single" w:sz="4" w:space="0" w:color="auto"/>
              <w:bottom w:val="single" w:sz="4" w:space="0" w:color="auto"/>
              <w:right w:val="single" w:sz="4" w:space="0" w:color="auto"/>
            </w:tcBorders>
          </w:tcPr>
          <w:p w:rsidR="00582C30" w:rsidRDefault="00582C30" w:rsidP="00582C30">
            <w:pPr>
              <w:rPr>
                <w:b/>
              </w:rPr>
            </w:pPr>
            <w:r>
              <w:rPr>
                <w:b/>
              </w:rPr>
              <w:t>13. Mokėtojo rekvizitai</w:t>
            </w:r>
          </w:p>
          <w:p w:rsidR="00582C30" w:rsidRPr="001E1C54" w:rsidRDefault="00582C30" w:rsidP="00582C30">
            <w:pPr>
              <w:rPr>
                <w:b/>
              </w:rPr>
            </w:pPr>
            <w:r w:rsidRPr="001E1C54">
              <w:rPr>
                <w:b/>
              </w:rPr>
              <w:t>Lietuvos kariuomenė</w:t>
            </w:r>
          </w:p>
          <w:p w:rsidR="00582C30" w:rsidRPr="001E1C54" w:rsidRDefault="00582C30" w:rsidP="00582C30">
            <w:r w:rsidRPr="001E1C54">
              <w:t>Kodas 188732677</w:t>
            </w:r>
          </w:p>
          <w:p w:rsidR="00540E03" w:rsidRPr="0091150F" w:rsidRDefault="00540E03" w:rsidP="00540E03">
            <w:r w:rsidRPr="0091150F">
              <w:t>PVM mokėtojo kodas LT887326716</w:t>
            </w:r>
          </w:p>
          <w:p w:rsidR="00540E03" w:rsidRPr="003E3BEA" w:rsidRDefault="00540E03" w:rsidP="00540E03">
            <w:r w:rsidRPr="003E3BEA">
              <w:t>Šv. Ignoto 8, LT-01144 Vilnius, Lietuva</w:t>
            </w:r>
          </w:p>
          <w:p w:rsidR="00540E03" w:rsidRPr="003E3BEA" w:rsidRDefault="00540E03" w:rsidP="00540E03">
            <w:r w:rsidRPr="003E3BEA">
              <w:t>Lietuvos Respublikos finansų ministerija</w:t>
            </w:r>
          </w:p>
          <w:p w:rsidR="00540E03" w:rsidRPr="003E3BEA" w:rsidRDefault="00540E03" w:rsidP="00540E03">
            <w:r w:rsidRPr="003E3BEA">
              <w:t>A. s. LT62 40400 63610 001175</w:t>
            </w:r>
          </w:p>
          <w:p w:rsidR="00540E03" w:rsidRPr="003E3BEA" w:rsidRDefault="00540E03" w:rsidP="00540E03">
            <w:r w:rsidRPr="003E3BEA">
              <w:t>Finansų įstaigos kodas: 40 400</w:t>
            </w:r>
          </w:p>
          <w:p w:rsidR="00540E03" w:rsidRPr="003E3BEA" w:rsidRDefault="00540E03" w:rsidP="00540E03">
            <w:r w:rsidRPr="003E3BEA">
              <w:t>SWIFT kodas: MFRLLT22XXX</w:t>
            </w:r>
          </w:p>
          <w:p w:rsidR="003D3BB4" w:rsidRDefault="003D3BB4" w:rsidP="00582C30">
            <w:pPr>
              <w:rPr>
                <w:b/>
              </w:rPr>
            </w:pPr>
          </w:p>
        </w:tc>
      </w:tr>
    </w:tbl>
    <w:p w:rsidR="0051758C" w:rsidRDefault="0051758C" w:rsidP="0051758C">
      <w:pPr>
        <w:rPr>
          <w:b/>
        </w:rPr>
      </w:pPr>
    </w:p>
    <w:tbl>
      <w:tblPr>
        <w:tblW w:w="0" w:type="auto"/>
        <w:tblLook w:val="04A0" w:firstRow="1" w:lastRow="0" w:firstColumn="1" w:lastColumn="0" w:noHBand="0" w:noVBand="1"/>
      </w:tblPr>
      <w:tblGrid>
        <w:gridCol w:w="3308"/>
        <w:gridCol w:w="3270"/>
        <w:gridCol w:w="3322"/>
      </w:tblGrid>
      <w:tr w:rsidR="003D3BB4" w:rsidRPr="003802E8" w:rsidTr="00264C29">
        <w:tc>
          <w:tcPr>
            <w:tcW w:w="3372" w:type="dxa"/>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3372" w:type="dxa"/>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3372" w:type="dxa"/>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r w:rsidR="003D3BB4" w:rsidRPr="003802E8" w:rsidTr="00264C29">
        <w:tc>
          <w:tcPr>
            <w:tcW w:w="3372" w:type="dxa"/>
            <w:shd w:val="clear" w:color="auto" w:fill="auto"/>
          </w:tcPr>
          <w:p w:rsidR="003D3BB4" w:rsidRPr="00DE74D5" w:rsidRDefault="003D3BB4" w:rsidP="00264C29">
            <w:pPr>
              <w:pStyle w:val="BodyText1"/>
              <w:ind w:firstLine="0"/>
              <w:rPr>
                <w:rFonts w:ascii="Times New Roman" w:eastAsia="Times New Roman" w:hAnsi="Times New Roman"/>
                <w:b/>
                <w:sz w:val="24"/>
                <w:szCs w:val="24"/>
                <w:lang w:val="lt-LT" w:eastAsia="en-US"/>
              </w:rPr>
            </w:pPr>
            <w:r w:rsidRPr="00DE74D5">
              <w:rPr>
                <w:rFonts w:ascii="Times New Roman" w:eastAsia="Times New Roman" w:hAnsi="Times New Roman"/>
                <w:b/>
                <w:sz w:val="24"/>
                <w:szCs w:val="24"/>
                <w:lang w:val="lt-LT" w:eastAsia="en-US"/>
              </w:rPr>
              <w:t>PIRKĖJAS</w:t>
            </w:r>
          </w:p>
        </w:tc>
        <w:tc>
          <w:tcPr>
            <w:tcW w:w="3372" w:type="dxa"/>
            <w:shd w:val="clear" w:color="auto" w:fill="auto"/>
          </w:tcPr>
          <w:p w:rsidR="003D3BB4" w:rsidRPr="00DE74D5" w:rsidRDefault="003D3BB4" w:rsidP="00264C29">
            <w:pPr>
              <w:pStyle w:val="BodyText1"/>
              <w:ind w:firstLine="0"/>
              <w:rPr>
                <w:rFonts w:ascii="Times New Roman" w:eastAsia="Times New Roman" w:hAnsi="Times New Roman"/>
                <w:b/>
                <w:sz w:val="24"/>
                <w:szCs w:val="24"/>
                <w:lang w:val="lt-LT" w:eastAsia="en-US"/>
              </w:rPr>
            </w:pPr>
          </w:p>
        </w:tc>
        <w:tc>
          <w:tcPr>
            <w:tcW w:w="3372" w:type="dxa"/>
            <w:shd w:val="clear" w:color="auto" w:fill="auto"/>
          </w:tcPr>
          <w:p w:rsidR="003D3BB4" w:rsidRPr="00DE74D5" w:rsidRDefault="003D3BB4" w:rsidP="00264C29">
            <w:pPr>
              <w:pStyle w:val="BodyText1"/>
              <w:ind w:firstLine="0"/>
              <w:rPr>
                <w:rFonts w:ascii="Times New Roman" w:eastAsia="Times New Roman" w:hAnsi="Times New Roman"/>
                <w:b/>
                <w:sz w:val="24"/>
                <w:szCs w:val="24"/>
                <w:lang w:val="lt-LT" w:eastAsia="en-US"/>
              </w:rPr>
            </w:pPr>
            <w:r w:rsidRPr="00DE74D5">
              <w:rPr>
                <w:rFonts w:ascii="Times New Roman" w:eastAsia="Times New Roman" w:hAnsi="Times New Roman"/>
                <w:b/>
                <w:sz w:val="24"/>
                <w:szCs w:val="24"/>
                <w:lang w:val="lt-LT" w:eastAsia="en-US"/>
              </w:rPr>
              <w:t>PARDAVĖJAS</w:t>
            </w:r>
          </w:p>
        </w:tc>
      </w:tr>
    </w:tbl>
    <w:p w:rsidR="003D3BB4" w:rsidRDefault="003D3BB4" w:rsidP="003D3BB4">
      <w:pPr>
        <w:pStyle w:val="BodyText1"/>
        <w:ind w:firstLine="0"/>
        <w:rPr>
          <w:rFonts w:ascii="Times New Roman" w:eastAsia="Times New Roman" w:hAnsi="Times New Roman"/>
          <w:b/>
          <w:lang w:val="lt-LT" w:eastAsia="en-US"/>
        </w:rPr>
      </w:pPr>
    </w:p>
    <w:p w:rsidR="003D3BB4" w:rsidRDefault="003D3BB4" w:rsidP="003D3BB4">
      <w:pPr>
        <w:pStyle w:val="BodyText1"/>
        <w:ind w:firstLine="0"/>
        <w:rPr>
          <w:rFonts w:ascii="Times New Roman" w:eastAsia="Times New Roman" w:hAnsi="Times New Roman"/>
          <w:b/>
          <w:lang w:val="lt-LT" w:eastAsia="en-US"/>
        </w:rPr>
      </w:pPr>
    </w:p>
    <w:p w:rsidR="009A2ACE" w:rsidRDefault="003D3BB4" w:rsidP="00943766">
      <w:r>
        <w:t xml:space="preserve">A.V. </w:t>
      </w:r>
    </w:p>
    <w:p w:rsidR="009A2ACE" w:rsidRDefault="009A2ACE" w:rsidP="00943766"/>
    <w:p w:rsidR="009A2ACE" w:rsidRDefault="009A2ACE" w:rsidP="00943766"/>
    <w:p w:rsidR="00540E03" w:rsidRDefault="00540E03" w:rsidP="00943766"/>
    <w:p w:rsidR="009A2ACE" w:rsidRDefault="009A2ACE" w:rsidP="00943766"/>
    <w:p w:rsidR="009A2ACE" w:rsidRDefault="009A2ACE" w:rsidP="00943766"/>
    <w:p w:rsidR="00943766" w:rsidRPr="00010D70" w:rsidRDefault="003D3BB4" w:rsidP="00943766">
      <w:pPr>
        <w:rPr>
          <w:lang w:eastAsia="en-US"/>
        </w:rPr>
      </w:pPr>
      <w:r>
        <w:tab/>
      </w:r>
    </w:p>
    <w:p w:rsidR="00612EE9" w:rsidRPr="00EA73AC" w:rsidRDefault="00612EE9" w:rsidP="009C60F0">
      <w:pPr>
        <w:jc w:val="center"/>
        <w:rPr>
          <w:b/>
        </w:rPr>
      </w:pPr>
      <w:r w:rsidRPr="00EA73AC">
        <w:rPr>
          <w:b/>
        </w:rPr>
        <w:t xml:space="preserve">PREKIŲ </w:t>
      </w:r>
      <w:r>
        <w:rPr>
          <w:b/>
        </w:rPr>
        <w:t xml:space="preserve">VIEŠOJO </w:t>
      </w:r>
      <w:r w:rsidRPr="00EA73AC">
        <w:rPr>
          <w:b/>
        </w:rPr>
        <w:t>PIRKIMO-PARDAVIMO SUTARTI</w:t>
      </w:r>
      <w:r>
        <w:rPr>
          <w:b/>
        </w:rPr>
        <w:t>E</w:t>
      </w:r>
      <w:r w:rsidRPr="00EA73AC">
        <w:rPr>
          <w:b/>
        </w:rPr>
        <w:t xml:space="preserve">S </w:t>
      </w:r>
      <w:r w:rsidR="009C60F0">
        <w:rPr>
          <w:b/>
        </w:rPr>
        <w:t>PROJEKTAS</w:t>
      </w:r>
    </w:p>
    <w:p w:rsidR="00593E93" w:rsidRPr="00010D70" w:rsidRDefault="00593E93" w:rsidP="00EB04AE">
      <w:pPr>
        <w:jc w:val="center"/>
        <w:rPr>
          <w:b/>
        </w:rPr>
      </w:pPr>
    </w:p>
    <w:p w:rsidR="004B4FFE" w:rsidRPr="00010D70" w:rsidRDefault="004B4FFE" w:rsidP="00EB04AE">
      <w:pPr>
        <w:jc w:val="center"/>
        <w:rPr>
          <w:b/>
        </w:rPr>
      </w:pPr>
    </w:p>
    <w:p w:rsidR="00AC6A05" w:rsidRPr="00AC6A05" w:rsidRDefault="00AC6A05" w:rsidP="00AC6A05">
      <w:pPr>
        <w:jc w:val="center"/>
        <w:rPr>
          <w:b/>
        </w:rPr>
      </w:pPr>
      <w:r w:rsidRPr="00AC6A05">
        <w:rPr>
          <w:b/>
        </w:rPr>
        <w:t>II. BENDROJI DALIS</w:t>
      </w:r>
    </w:p>
    <w:p w:rsidR="00AC6A05" w:rsidRPr="00AC6A05" w:rsidRDefault="00AC6A05" w:rsidP="00AC6A05">
      <w:pPr>
        <w:jc w:val="center"/>
        <w:rPr>
          <w:b/>
        </w:rPr>
      </w:pPr>
    </w:p>
    <w:p w:rsidR="00AC6A05" w:rsidRPr="00AC6A05" w:rsidRDefault="00AC6A05" w:rsidP="00AC6A05">
      <w:pPr>
        <w:rPr>
          <w:sz w:val="22"/>
          <w:szCs w:val="22"/>
        </w:rPr>
      </w:pPr>
    </w:p>
    <w:p w:rsidR="00AC6A05" w:rsidRPr="00AC6A05" w:rsidRDefault="00AC6A05" w:rsidP="00AC6A05">
      <w:pPr>
        <w:jc w:val="both"/>
        <w:rPr>
          <w:b/>
        </w:rPr>
      </w:pPr>
      <w:r w:rsidRPr="00AC6A05">
        <w:rPr>
          <w:b/>
        </w:rPr>
        <w:t>1.</w:t>
      </w:r>
      <w:r w:rsidRPr="00AC6A05">
        <w:t xml:space="preserve"> </w:t>
      </w:r>
      <w:r w:rsidRPr="00AC6A05">
        <w:rPr>
          <w:b/>
        </w:rPr>
        <w:t>Sąvokos</w:t>
      </w:r>
    </w:p>
    <w:p w:rsidR="00AC6A05" w:rsidRPr="00AC6A05" w:rsidRDefault="00AC6A05" w:rsidP="00AC6A05">
      <w:pPr>
        <w:jc w:val="both"/>
      </w:pPr>
      <w:r w:rsidRPr="00AC6A05">
        <w:t>1.1. Šioje Sutartyje naudojamos pagrindinės sąvokos:</w:t>
      </w:r>
    </w:p>
    <w:p w:rsidR="00AC6A05" w:rsidRPr="00AC6A05" w:rsidRDefault="00AC6A05" w:rsidP="00AC6A05">
      <w:pPr>
        <w:tabs>
          <w:tab w:val="left" w:pos="-360"/>
          <w:tab w:val="left" w:pos="-180"/>
          <w:tab w:val="left" w:pos="0"/>
          <w:tab w:val="left" w:pos="720"/>
        </w:tabs>
        <w:jc w:val="both"/>
      </w:pPr>
      <w:r w:rsidRPr="00AC6A05">
        <w:t>1.1.1. Sutartis – šios prekių viešojo pirkimo</w:t>
      </w:r>
      <w:r w:rsidRPr="00AC6A05">
        <w:rPr>
          <w:b/>
        </w:rPr>
        <w:t>–</w:t>
      </w:r>
      <w:r w:rsidRPr="00AC6A05">
        <w:t>pardavimo sutarties bendroji ir specialioji dalys, prekių viešojo pirkimo</w:t>
      </w:r>
      <w:r w:rsidRPr="00AC6A05">
        <w:rPr>
          <w:b/>
        </w:rPr>
        <w:t>–</w:t>
      </w:r>
      <w:r w:rsidRPr="00AC6A05">
        <w:t xml:space="preserve">pardavimo sutarties priedai. </w:t>
      </w:r>
    </w:p>
    <w:p w:rsidR="00AC6A05" w:rsidRPr="00AC6A05" w:rsidRDefault="00AC6A05" w:rsidP="00AC6A05">
      <w:pPr>
        <w:tabs>
          <w:tab w:val="left" w:pos="-180"/>
          <w:tab w:val="left" w:pos="0"/>
          <w:tab w:val="left" w:pos="540"/>
        </w:tabs>
        <w:jc w:val="both"/>
      </w:pPr>
      <w:r w:rsidRPr="00AC6A05">
        <w:t xml:space="preserve">1.1.2. Sutarties Šalys - </w:t>
      </w:r>
      <w:r w:rsidRPr="00AC6A05">
        <w:rPr>
          <w:b/>
        </w:rPr>
        <w:t>Pirkėjas</w:t>
      </w:r>
      <w:r w:rsidRPr="00AC6A05">
        <w:t xml:space="preserve"> ir </w:t>
      </w:r>
      <w:r w:rsidRPr="00AC6A05">
        <w:rPr>
          <w:b/>
        </w:rPr>
        <w:t>Pardavėjas</w:t>
      </w:r>
      <w:r w:rsidRPr="00AC6A05">
        <w:t>.</w:t>
      </w:r>
    </w:p>
    <w:p w:rsidR="00AC6A05" w:rsidRPr="00AC6A05" w:rsidRDefault="00AC6A05" w:rsidP="00AC6A05">
      <w:pPr>
        <w:jc w:val="both"/>
      </w:pPr>
      <w:r w:rsidRPr="00AC6A05">
        <w:t xml:space="preserve">1.1.3. </w:t>
      </w:r>
      <w:r w:rsidRPr="00AC6A05">
        <w:rPr>
          <w:b/>
        </w:rPr>
        <w:t>Mokėtojas</w:t>
      </w:r>
      <w:r w:rsidRPr="00AC6A05">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AC6A05" w:rsidRPr="00AC6A05" w:rsidRDefault="00AC6A05" w:rsidP="00AC6A05">
      <w:pPr>
        <w:jc w:val="both"/>
      </w:pPr>
      <w:r w:rsidRPr="00AC6A05">
        <w:t>1.1.4.</w:t>
      </w:r>
      <w:r w:rsidRPr="00AC6A05">
        <w:rPr>
          <w:b/>
        </w:rPr>
        <w:t xml:space="preserve"> Gavėjas</w:t>
      </w:r>
      <w:r w:rsidRPr="00AC6A05">
        <w:t xml:space="preserve"> – krašto apsaugos sistemos juridinis asmuo ar jo padalinys, nurodytas Sutarties specialiojoje dalyje arba Sutarties priede, kuriam pristatomos prekės (Sutarties specialiojoje dalyje nurodytais atvejais Gavėjas ir Mokėtojas gali sutapti). </w:t>
      </w:r>
    </w:p>
    <w:p w:rsidR="00AC6A05" w:rsidRPr="00AC6A05" w:rsidRDefault="00AC6A05" w:rsidP="00AC6A05">
      <w:pPr>
        <w:jc w:val="both"/>
      </w:pPr>
      <w:r w:rsidRPr="00AC6A05">
        <w:t>1.1.5. Trečiasis asmuo – tai bet kuris fizinis ar juridinis asmuo (taip pat valstybė, valstybės institucijos, savivaldybė, savivaldybės institucijos), išskyrus Mokėtoją ar Gavėją, kuris nėra šios Sutarties šalis.</w:t>
      </w:r>
    </w:p>
    <w:p w:rsidR="00AC6A05" w:rsidRPr="00AC6A05" w:rsidRDefault="00AC6A05" w:rsidP="00AC6A05">
      <w:pPr>
        <w:jc w:val="both"/>
      </w:pPr>
      <w:r w:rsidRPr="00AC6A05">
        <w:t xml:space="preserve">1.1.6. Licencijos </w:t>
      </w:r>
      <w:r w:rsidRPr="00AC6A05">
        <w:rPr>
          <w:b/>
        </w:rPr>
        <w:t xml:space="preserve">- </w:t>
      </w:r>
      <w:r w:rsidRPr="00AC6A05">
        <w:rPr>
          <w:spacing w:val="-3"/>
        </w:rPr>
        <w:t>visos reikalingos licencijos ir/arba leidimai būtini Sutarties vykdymui.</w:t>
      </w:r>
    </w:p>
    <w:p w:rsidR="00AC6A05" w:rsidRPr="00AC6A05" w:rsidRDefault="00AC6A05" w:rsidP="00AC6A05">
      <w:pPr>
        <w:tabs>
          <w:tab w:val="num" w:pos="2880"/>
        </w:tabs>
        <w:jc w:val="both"/>
        <w:rPr>
          <w:b/>
        </w:rPr>
      </w:pPr>
      <w:r w:rsidRPr="00AC6A05">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AC6A05" w:rsidRPr="00AC6A05" w:rsidRDefault="00AC6A05" w:rsidP="00AC6A05">
      <w:pPr>
        <w:tabs>
          <w:tab w:val="left" w:pos="540"/>
          <w:tab w:val="num" w:pos="2880"/>
        </w:tabs>
        <w:jc w:val="both"/>
      </w:pPr>
      <w:r w:rsidRPr="00AC6A05">
        <w:t xml:space="preserve">1.1.8. Šalių iš anksto sutarti minimalūs nuostoliai – tai Sutarties nustatyta arba Sutartyje nustatyta tvarka apskaičiuota ir neginčijama pinigų suma, kurią </w:t>
      </w:r>
      <w:r w:rsidRPr="00AC6A05">
        <w:rPr>
          <w:b/>
        </w:rPr>
        <w:t>Pardavėjas</w:t>
      </w:r>
      <w:r w:rsidRPr="00AC6A05">
        <w:t xml:space="preserve"> įsipareigoja sumokėti </w:t>
      </w:r>
      <w:r w:rsidRPr="00AC6A05">
        <w:rPr>
          <w:b/>
        </w:rPr>
        <w:t>Pirkėjui</w:t>
      </w:r>
      <w:r w:rsidRPr="00AC6A05">
        <w:t>, jeigu sutartiniai įsipareigojimai</w:t>
      </w:r>
      <w:r w:rsidRPr="00AC6A05" w:rsidDel="00432306">
        <w:t xml:space="preserve"> </w:t>
      </w:r>
      <w:r w:rsidRPr="00AC6A05">
        <w:t>neįvykdyti arba netinkamai įvykdyti.</w:t>
      </w:r>
    </w:p>
    <w:p w:rsidR="00AC6A05" w:rsidRPr="00AC6A05" w:rsidRDefault="00AC6A05" w:rsidP="00AC6A05">
      <w:pPr>
        <w:tabs>
          <w:tab w:val="left" w:pos="540"/>
          <w:tab w:val="num" w:pos="2880"/>
        </w:tabs>
        <w:jc w:val="both"/>
      </w:pPr>
      <w:r w:rsidRPr="00AC6A05">
        <w:t>1.1.9. Kainodaros taisyklės – sutartyje nustatyta kaina/įkainiai ar sutarties kainos/įkainių apskaičiavimo bei kainos/įkainių koregavimo taisyklės.</w:t>
      </w:r>
    </w:p>
    <w:p w:rsidR="00AC6A05" w:rsidRPr="00AC6A05" w:rsidRDefault="00AC6A05" w:rsidP="00AC6A05">
      <w:pPr>
        <w:tabs>
          <w:tab w:val="left" w:pos="540"/>
          <w:tab w:val="num" w:pos="2880"/>
        </w:tabs>
        <w:jc w:val="both"/>
      </w:pPr>
      <w:r w:rsidRPr="00AC6A05">
        <w:t>1.1.10. Prekių siunta – tai vienu metu pristatomų prekių kiekis.</w:t>
      </w:r>
    </w:p>
    <w:p w:rsidR="00AC6A05" w:rsidRPr="00AC6A05" w:rsidRDefault="00AC6A05" w:rsidP="00AC6A05">
      <w:pPr>
        <w:tabs>
          <w:tab w:val="left" w:pos="540"/>
          <w:tab w:val="num" w:pos="2880"/>
        </w:tabs>
        <w:jc w:val="both"/>
      </w:pPr>
      <w:r w:rsidRPr="00AC6A05">
        <w:t>1.1.11. Prekių partija – tai prekės, turinčios tas pačias savybes, pagamintos pagal tą pačią technologiją, tomis pačiomis sąlygomis, iš žaliavų ar medžiagų gautų iš to paties žaliavų ar medžiagų gamintojo/ pardavėjo.</w:t>
      </w:r>
    </w:p>
    <w:p w:rsidR="00AC6A05" w:rsidRPr="00AC6A05" w:rsidRDefault="00AC6A05" w:rsidP="00AC6A05">
      <w:pPr>
        <w:tabs>
          <w:tab w:val="left" w:pos="540"/>
          <w:tab w:val="num" w:pos="2880"/>
        </w:tabs>
        <w:jc w:val="both"/>
        <w:rPr>
          <w:bCs/>
          <w:iCs/>
        </w:rPr>
      </w:pPr>
      <w:r w:rsidRPr="00AC6A05">
        <w:t>1.1.12. M</w:t>
      </w:r>
      <w:r w:rsidRPr="00AC6A05">
        <w:rPr>
          <w:bCs/>
        </w:rPr>
        <w:t xml:space="preserve">edžiagų partija – </w:t>
      </w:r>
      <w:r w:rsidRPr="00AC6A05">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AC6A05" w:rsidRPr="00AC6A05" w:rsidRDefault="00AC6A05" w:rsidP="00AC6A05">
      <w:pPr>
        <w:tabs>
          <w:tab w:val="left" w:pos="540"/>
          <w:tab w:val="num" w:pos="2880"/>
        </w:tabs>
        <w:jc w:val="both"/>
        <w:rPr>
          <w:bCs/>
          <w:iCs/>
        </w:rPr>
      </w:pPr>
      <w:r w:rsidRPr="00AC6A05">
        <w:rPr>
          <w:bCs/>
          <w:iCs/>
        </w:rPr>
        <w:t xml:space="preserve">1.2. </w:t>
      </w:r>
      <w:r w:rsidRPr="00AC6A05">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C6A05" w:rsidRPr="00AC6A05" w:rsidRDefault="00AC6A05" w:rsidP="00AC6A05">
      <w:pPr>
        <w:tabs>
          <w:tab w:val="num" w:pos="540"/>
          <w:tab w:val="left" w:pos="1701"/>
          <w:tab w:val="num" w:pos="2880"/>
        </w:tabs>
        <w:jc w:val="both"/>
      </w:pPr>
      <w:r w:rsidRPr="00AC6A05">
        <w:rPr>
          <w:bCs/>
          <w:iCs/>
        </w:rPr>
        <w:t xml:space="preserve">1.3. </w:t>
      </w:r>
      <w:r w:rsidRPr="00AC6A05">
        <w:t>Sutarties dalių ir straipsnių pavadinimai yra naudojami tik nuorodų patogumui, ir aiškinant Sutartį gali būti naudojami tik kaip papildoma priemonė.</w:t>
      </w:r>
    </w:p>
    <w:p w:rsidR="00AC6A05" w:rsidRPr="00AC6A05" w:rsidRDefault="00AC6A05" w:rsidP="00AC6A05">
      <w:pPr>
        <w:tabs>
          <w:tab w:val="left" w:pos="360"/>
          <w:tab w:val="num" w:pos="2880"/>
        </w:tabs>
        <w:jc w:val="both"/>
      </w:pPr>
      <w:r w:rsidRPr="00AC6A05">
        <w:t xml:space="preserve">1.4. Jeigu Sutartyje nenustatyta kitaip, Sutarties trukmė ir kiti terminai yra skaičiuojami kalendorinėmis dienomis. </w:t>
      </w:r>
    </w:p>
    <w:p w:rsidR="00AC6A05" w:rsidRPr="00AC6A05" w:rsidRDefault="00AC6A05" w:rsidP="00AC6A05">
      <w:pPr>
        <w:tabs>
          <w:tab w:val="num" w:pos="540"/>
          <w:tab w:val="left" w:pos="1701"/>
          <w:tab w:val="num" w:pos="2880"/>
        </w:tabs>
        <w:jc w:val="both"/>
      </w:pPr>
      <w:r w:rsidRPr="00AC6A05">
        <w:lastRenderedPageBreak/>
        <w:t xml:space="preserve">1.5. Jeigu mokėjimų ar prievolių įvykdymo terminas sutampa su oficialių švenčių ir ne darbo diena Lietuvos Respublikoje, tai pagal Sutartį prievolės įvykdymo ir mokėjimų terminas yra po to einanti darbo diena. </w:t>
      </w:r>
    </w:p>
    <w:p w:rsidR="00AC6A05" w:rsidRPr="00AC6A05" w:rsidRDefault="00AC6A05" w:rsidP="00AC6A05">
      <w:pPr>
        <w:tabs>
          <w:tab w:val="num" w:pos="540"/>
          <w:tab w:val="num" w:pos="792"/>
          <w:tab w:val="left" w:pos="1701"/>
          <w:tab w:val="num" w:pos="2880"/>
        </w:tabs>
        <w:jc w:val="both"/>
      </w:pPr>
      <w:r w:rsidRPr="00AC6A05">
        <w:t>1.6. Sutartyje, kur reikalauja kontekstas, žodžiai pateikti vienaskaitoje, gali turėti daugiskaitos prasmę ir atvirkščiai.</w:t>
      </w:r>
    </w:p>
    <w:p w:rsidR="00AC6A05" w:rsidRPr="00AC6A05" w:rsidRDefault="00AC6A05" w:rsidP="00AC6A05">
      <w:pPr>
        <w:tabs>
          <w:tab w:val="num" w:pos="540"/>
          <w:tab w:val="num" w:pos="792"/>
          <w:tab w:val="left" w:pos="1701"/>
          <w:tab w:val="num" w:pos="2880"/>
        </w:tabs>
        <w:jc w:val="both"/>
      </w:pPr>
      <w:r w:rsidRPr="00AC6A05">
        <w:t>1.7. Tais atvejais, kai tam tikra prasmė yra skirtinga tarp nurodytosios žodžiais ir nurodytosios skaičiais, vadovaujamasi žodine prasme.</w:t>
      </w:r>
    </w:p>
    <w:p w:rsidR="00AC6A05" w:rsidRPr="00AC6A05" w:rsidRDefault="00AC6A05" w:rsidP="00AC6A05">
      <w:pPr>
        <w:jc w:val="both"/>
      </w:pPr>
    </w:p>
    <w:p w:rsidR="00AC6A05" w:rsidRPr="00AC6A05" w:rsidRDefault="00AC6A05" w:rsidP="00AC6A05">
      <w:pPr>
        <w:jc w:val="both"/>
        <w:rPr>
          <w:b/>
        </w:rPr>
      </w:pPr>
      <w:r w:rsidRPr="00AC6A05">
        <w:rPr>
          <w:b/>
        </w:rPr>
        <w:t>2. Sutarties kaina/prekių įkainiai/kainodaros taisyklės</w:t>
      </w:r>
    </w:p>
    <w:p w:rsidR="00AC6A05" w:rsidRPr="00AC6A05" w:rsidRDefault="00AC6A05" w:rsidP="00AC6A05">
      <w:pPr>
        <w:jc w:val="both"/>
      </w:pPr>
      <w:r w:rsidRPr="00AC6A05">
        <w:t xml:space="preserve">2.1. Sutarties kaina/įkainiai - pinigų suma, kuri Sutartyje nustatyta tvarka ir terminais sumokama </w:t>
      </w:r>
      <w:r w:rsidRPr="00AC6A05">
        <w:rPr>
          <w:b/>
        </w:rPr>
        <w:t>Pardavėjui</w:t>
      </w:r>
      <w:r w:rsidRPr="00AC6A05">
        <w:t xml:space="preserve">. </w:t>
      </w:r>
      <w:r w:rsidRPr="00AC6A05">
        <w:rPr>
          <w:b/>
        </w:rPr>
        <w:t>Pirkėjas</w:t>
      </w:r>
      <w:r w:rsidRPr="00AC6A05">
        <w:t xml:space="preserve"> yra atsakingas </w:t>
      </w:r>
      <w:r w:rsidRPr="00AC6A05">
        <w:rPr>
          <w:b/>
        </w:rPr>
        <w:t>Pardavėjui</w:t>
      </w:r>
      <w:r w:rsidRPr="00AC6A05">
        <w:t xml:space="preserve"> už tinkamą </w:t>
      </w:r>
      <w:r w:rsidRPr="00AC6A05">
        <w:rPr>
          <w:b/>
        </w:rPr>
        <w:t>Mokėtojo</w:t>
      </w:r>
      <w:r w:rsidRPr="00AC6A05">
        <w:t xml:space="preserve"> prievolės sumokėti Sutartyje nurodytą kainą įvykdymą. </w:t>
      </w:r>
    </w:p>
    <w:p w:rsidR="00AC6A05" w:rsidRPr="00AC6A05" w:rsidRDefault="00AC6A05" w:rsidP="00AC6A05">
      <w:pPr>
        <w:jc w:val="both"/>
      </w:pPr>
      <w:r w:rsidRPr="00AC6A05">
        <w:t>2.2. Sutarties kaina/įkainiai yra pastovūs ir nekeičiami visą Sutarties galiojimo laikotarpį, išskyrus atvejus, kai po Sutarties pasirašymo keičiasi prekėms taikomo PVM/akcizų tarifas</w:t>
      </w:r>
      <w:r w:rsidRPr="00AC6A05">
        <w:rPr>
          <w:i/>
        </w:rPr>
        <w:t>.</w:t>
      </w:r>
      <w:r w:rsidRPr="00AC6A05">
        <w:t xml:space="preserve"> Perskaičiuota kaina/įkainiai įforminami raštišku Šalių susitarimu ir taikomi prekėms, kurios pristatomos po tokio Šalių pasirašyto susitarimo įsigaliojimo dienos.</w:t>
      </w:r>
    </w:p>
    <w:p w:rsidR="00AC6A05" w:rsidRPr="00AC6A05" w:rsidRDefault="00AC6A05" w:rsidP="00AC6A05">
      <w:pPr>
        <w:jc w:val="both"/>
      </w:pPr>
      <w:r w:rsidRPr="00AC6A05">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C6A05">
        <w:rPr>
          <w:i/>
        </w:rPr>
        <w:t>(jei spec. dalyje nurodyta, kad ši sąlyga taikoma)</w:t>
      </w:r>
      <w:r w:rsidRPr="00AC6A05">
        <w:t>.</w:t>
      </w:r>
    </w:p>
    <w:p w:rsidR="00AC6A05" w:rsidRPr="00AC6A05" w:rsidRDefault="00AC6A05" w:rsidP="00AC6A05">
      <w:pPr>
        <w:widowControl w:val="0"/>
        <w:shd w:val="clear" w:color="auto" w:fill="FFFFFF"/>
        <w:jc w:val="both"/>
      </w:pPr>
      <w:r w:rsidRPr="00AC6A05">
        <w:t xml:space="preserve">2.4. </w:t>
      </w:r>
      <w:r w:rsidRPr="00AC6A05">
        <w:rPr>
          <w:b/>
        </w:rPr>
        <w:t>Pardavėjas</w:t>
      </w:r>
      <w:r w:rsidRPr="00AC6A05">
        <w:t xml:space="preserve"> į Sutarties kainą/prekių įkainius privalo įskaičiuoti visas su prekių tiekimu susijusias išlaidas ir mokesčius, įskaitant, bet neapsiribojant:</w:t>
      </w:r>
    </w:p>
    <w:p w:rsidR="00AC6A05" w:rsidRPr="00AC6A05" w:rsidRDefault="00AC6A05" w:rsidP="00AC6A05">
      <w:pPr>
        <w:widowControl w:val="0"/>
        <w:shd w:val="clear" w:color="auto" w:fill="FFFFFF"/>
        <w:jc w:val="both"/>
      </w:pPr>
      <w:r w:rsidRPr="00AC6A05">
        <w:t>2.4.1. logistikos (transportavimo) išlaidas;</w:t>
      </w:r>
    </w:p>
    <w:p w:rsidR="00AC6A05" w:rsidRPr="00AC6A05" w:rsidRDefault="00AC6A05" w:rsidP="00AC6A05">
      <w:pPr>
        <w:widowControl w:val="0"/>
        <w:shd w:val="clear" w:color="auto" w:fill="FFFFFF"/>
        <w:jc w:val="both"/>
      </w:pPr>
      <w:r w:rsidRPr="00AC6A05">
        <w:t>2.4.2. pakavimo, pakrovimo, tranzito, iškrovimo, išpakavimo, tikrinimo, draudimo ir kitas su prekių tiekimu susijusias išlaidas;</w:t>
      </w:r>
    </w:p>
    <w:p w:rsidR="00AC6A05" w:rsidRPr="00AC6A05" w:rsidRDefault="00AC6A05" w:rsidP="00AC6A05">
      <w:pPr>
        <w:widowControl w:val="0"/>
        <w:shd w:val="clear" w:color="auto" w:fill="FFFFFF"/>
        <w:jc w:val="both"/>
      </w:pPr>
      <w:r w:rsidRPr="00AC6A05">
        <w:t xml:space="preserve">2.4.3. visas su dokumentų, kurių reikalauja </w:t>
      </w:r>
      <w:r w:rsidRPr="00AC6A05">
        <w:rPr>
          <w:b/>
        </w:rPr>
        <w:t>Pirkėjas</w:t>
      </w:r>
      <w:r w:rsidRPr="00AC6A05">
        <w:t>, rengimu ir pateikimu susijusias išlaidas;</w:t>
      </w:r>
    </w:p>
    <w:p w:rsidR="00AC6A05" w:rsidRPr="00AC6A05" w:rsidRDefault="00AC6A05" w:rsidP="00AC6A05">
      <w:pPr>
        <w:widowControl w:val="0"/>
        <w:shd w:val="clear" w:color="auto" w:fill="FFFFFF"/>
        <w:jc w:val="both"/>
      </w:pPr>
      <w:r w:rsidRPr="00AC6A05">
        <w:t>2.4.4. pristatytų prekių surinkimo vietoje ir/arba paleidimo, ir/arba priežiūros išlaidas;</w:t>
      </w:r>
    </w:p>
    <w:p w:rsidR="00AC6A05" w:rsidRPr="00AC6A05" w:rsidRDefault="00AC6A05" w:rsidP="00AC6A05">
      <w:pPr>
        <w:widowControl w:val="0"/>
        <w:shd w:val="clear" w:color="auto" w:fill="FFFFFF"/>
        <w:jc w:val="both"/>
      </w:pPr>
      <w:r w:rsidRPr="00AC6A05">
        <w:t>2.4.5. aprūpinimo įrankiais, reikalingais pristatytų prekių surinkimui ir/arba priežiūrai, išlaidas;</w:t>
      </w:r>
    </w:p>
    <w:p w:rsidR="00AC6A05" w:rsidRPr="00AC6A05" w:rsidRDefault="00AC6A05" w:rsidP="00AC6A05">
      <w:pPr>
        <w:widowControl w:val="0"/>
        <w:shd w:val="clear" w:color="auto" w:fill="FFFFFF"/>
        <w:jc w:val="both"/>
      </w:pPr>
      <w:r w:rsidRPr="00AC6A05">
        <w:t>2.4.6. naudojimo ir priežiūros instrukcijų, numatytų Techninėje specifikacijoje, pateikimo išlaidas;</w:t>
      </w:r>
    </w:p>
    <w:p w:rsidR="00AC6A05" w:rsidRPr="00AC6A05" w:rsidRDefault="00AC6A05" w:rsidP="00AC6A05">
      <w:pPr>
        <w:widowControl w:val="0"/>
        <w:shd w:val="clear" w:color="auto" w:fill="FFFFFF"/>
        <w:jc w:val="both"/>
      </w:pPr>
      <w:r w:rsidRPr="00AC6A05">
        <w:t>2.4.7. prekių garantinio remonto išlaidas;</w:t>
      </w:r>
    </w:p>
    <w:p w:rsidR="00AC6A05" w:rsidRPr="00AC6A05" w:rsidRDefault="00AC6A05" w:rsidP="00AC6A05">
      <w:pPr>
        <w:widowControl w:val="0"/>
        <w:shd w:val="clear" w:color="auto" w:fill="FFFFFF"/>
        <w:jc w:val="both"/>
      </w:pPr>
      <w:r w:rsidRPr="00AC6A05">
        <w:t xml:space="preserve">2.4.8. visas su darbinių pavyzdžių pagaminimu ir pateikimu </w:t>
      </w:r>
      <w:r w:rsidRPr="00AC6A05">
        <w:rPr>
          <w:b/>
        </w:rPr>
        <w:t>Pirkėjui</w:t>
      </w:r>
      <w:r w:rsidRPr="00AC6A05">
        <w:t xml:space="preserve"> susijusias išlaidas;</w:t>
      </w:r>
    </w:p>
    <w:p w:rsidR="00AC6A05" w:rsidRPr="00AC6A05" w:rsidRDefault="00AC6A05" w:rsidP="00AC6A05">
      <w:pPr>
        <w:widowControl w:val="0"/>
        <w:shd w:val="clear" w:color="auto" w:fill="FFFFFF"/>
        <w:jc w:val="both"/>
      </w:pPr>
      <w:r w:rsidRPr="00AC6A05">
        <w:t xml:space="preserve">2.4.9. visas su medžiaginių pavyzdžių (pagrindinių ir priedų), kurios naudojamos produkto gamyboje, pagaminimu ir pateikimu </w:t>
      </w:r>
      <w:r w:rsidRPr="00AC6A05">
        <w:rPr>
          <w:b/>
        </w:rPr>
        <w:t>Pirkėjui</w:t>
      </w:r>
      <w:r w:rsidRPr="00AC6A05">
        <w:t xml:space="preserve"> susijusias išlaidas.</w:t>
      </w:r>
    </w:p>
    <w:p w:rsidR="00AC6A05" w:rsidRPr="00AC6A05" w:rsidRDefault="00AC6A05" w:rsidP="00AC6A05">
      <w:pPr>
        <w:jc w:val="both"/>
      </w:pPr>
      <w:r w:rsidRPr="00AC6A05">
        <w:t xml:space="preserve">2.5. Užsienio valiutų kursų svyravimo, gamintojų kainų keitimo rizika tenka </w:t>
      </w:r>
      <w:r w:rsidRPr="00AC6A05">
        <w:rPr>
          <w:b/>
        </w:rPr>
        <w:t>Pardavėjui</w:t>
      </w:r>
      <w:r w:rsidRPr="00AC6A05">
        <w:t>.</w:t>
      </w:r>
    </w:p>
    <w:p w:rsidR="00AC6A05" w:rsidRPr="00AC6A05" w:rsidRDefault="00AC6A05" w:rsidP="00AC6A05">
      <w:pPr>
        <w:jc w:val="both"/>
      </w:pPr>
      <w:r w:rsidRPr="00AC6A05">
        <w:t>2.6. Su Sutarties specialiojoje dalyje nurodytu Subtiekėju (-</w:t>
      </w:r>
      <w:proofErr w:type="spellStart"/>
      <w:r w:rsidRPr="00AC6A05">
        <w:t>ais</w:t>
      </w:r>
      <w:proofErr w:type="spellEnd"/>
      <w:r w:rsidRPr="00AC6A05">
        <w:t xml:space="preserve">) </w:t>
      </w:r>
      <w:r w:rsidRPr="00AC6A05">
        <w:rPr>
          <w:b/>
        </w:rPr>
        <w:t>Pirkėjas</w:t>
      </w:r>
      <w:r w:rsidRPr="00AC6A05">
        <w:t xml:space="preserve"> ir </w:t>
      </w:r>
      <w:r w:rsidRPr="00AC6A05">
        <w:rPr>
          <w:b/>
        </w:rPr>
        <w:t>Pardavėjas</w:t>
      </w:r>
      <w:r w:rsidRPr="00AC6A05">
        <w:t xml:space="preserve"> gali sudaryti trišalę tiesioginio atsiskaitymo sutartį, kuria Šalių ir Subtiekėjo sutarta apimtimi ir sąlygomis </w:t>
      </w:r>
      <w:r w:rsidRPr="00AC6A05">
        <w:rPr>
          <w:b/>
        </w:rPr>
        <w:t>Pardavėjas</w:t>
      </w:r>
      <w:r w:rsidRPr="00AC6A05">
        <w:t xml:space="preserve"> perleidžia teisę Subtiekėjui reikalauti, kad jam būtų sumokėta sutarta Sutarties kainos dalis. Reikalavimo teisės perleidimas Subtiekėjui nesudarius tiesioginio atsiskaitymo Sutarties, negalioja.</w:t>
      </w:r>
    </w:p>
    <w:p w:rsidR="00AC6A05" w:rsidRPr="00AC6A05" w:rsidRDefault="00AC6A05" w:rsidP="00AC6A05">
      <w:pPr>
        <w:jc w:val="both"/>
      </w:pPr>
      <w:r w:rsidRPr="00AC6A05">
        <w:t xml:space="preserve">2.7. Subtiekėjas, norėdamas, kad pagal sutartį būtų atsiskaityta tiesiogiai su juo raštu praneša </w:t>
      </w:r>
      <w:r w:rsidRPr="00AC6A05">
        <w:rPr>
          <w:b/>
        </w:rPr>
        <w:t>Pirkėjui</w:t>
      </w:r>
      <w:r w:rsidRPr="00AC6A05">
        <w:t>, kad pageidauja sudaryti tiesioginio atsiskaitymo sutartį. Kartu su prašymu sudaryti tiesioginio atsiskaitymo sutartį Subtiekėjas turi pateikti:</w:t>
      </w:r>
    </w:p>
    <w:p w:rsidR="00AC6A05" w:rsidRPr="00AC6A05" w:rsidRDefault="00AC6A05" w:rsidP="00AC6A05">
      <w:pPr>
        <w:jc w:val="both"/>
      </w:pPr>
      <w:r w:rsidRPr="00AC6A05">
        <w:t xml:space="preserve">2.7.1. Pagrindines tiesioginio atsiskaitymo sutarties sąlygas nurodytas Sutarties bendrosios dalies 2.8 punkte. </w:t>
      </w:r>
    </w:p>
    <w:p w:rsidR="00AC6A05" w:rsidRPr="00AC6A05" w:rsidRDefault="00AC6A05" w:rsidP="00AC6A05">
      <w:pPr>
        <w:jc w:val="both"/>
      </w:pPr>
      <w:r w:rsidRPr="00AC6A05">
        <w:t xml:space="preserve">2.7.2. </w:t>
      </w:r>
      <w:r w:rsidRPr="00AC6A05">
        <w:rPr>
          <w:b/>
        </w:rPr>
        <w:t>Pardavėjo</w:t>
      </w:r>
      <w:r w:rsidRPr="00AC6A05">
        <w:t xml:space="preserve"> patvirtinimą, kad jis sutinka Subtiekėjo siūlomomis sąlygomis sudaryti tiesioginio atsiskaitymo sutartį. </w:t>
      </w:r>
    </w:p>
    <w:p w:rsidR="00AC6A05" w:rsidRPr="00AC6A05" w:rsidRDefault="00AC6A05" w:rsidP="00AC6A05">
      <w:pPr>
        <w:jc w:val="both"/>
      </w:pPr>
      <w:r w:rsidRPr="00AC6A05">
        <w:t>2.7.3. Dokumentus įrodančius, kad nėra Viešųjų pirkimų įstatymo 46 straipsnio 1 dalyje nurodytų pagrindų.</w:t>
      </w:r>
    </w:p>
    <w:p w:rsidR="00AC6A05" w:rsidRPr="00AC6A05" w:rsidRDefault="00AC6A05" w:rsidP="00AC6A05">
      <w:pPr>
        <w:jc w:val="both"/>
      </w:pPr>
      <w:r w:rsidRPr="00AC6A05">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C6A05">
        <w:rPr>
          <w:b/>
        </w:rPr>
        <w:t>Pardavėju</w:t>
      </w:r>
      <w:r w:rsidRPr="00AC6A05">
        <w:t xml:space="preserve"> ir pateikus šio suderinimo rašytinius </w:t>
      </w:r>
      <w:proofErr w:type="spellStart"/>
      <w:r w:rsidRPr="00AC6A05">
        <w:t>įrodymus</w:t>
      </w:r>
      <w:proofErr w:type="spellEnd"/>
      <w:r w:rsidRPr="00AC6A05">
        <w:t xml:space="preserve">, Šalių ir Subtiekėjo pareiga informuoti apie rekvizitų </w:t>
      </w:r>
      <w:proofErr w:type="spellStart"/>
      <w:r w:rsidRPr="00AC6A05">
        <w:t>pasikeitimus</w:t>
      </w:r>
      <w:proofErr w:type="spellEnd"/>
      <w:r w:rsidRPr="00AC6A05">
        <w:t xml:space="preserve">, mokėjimų vykdymo tvarka įvykus ginčui tarp </w:t>
      </w:r>
      <w:r w:rsidRPr="00AC6A05">
        <w:rPr>
          <w:b/>
        </w:rPr>
        <w:t>Pardavėjo</w:t>
      </w:r>
      <w:r w:rsidRPr="00AC6A05">
        <w:t xml:space="preserve"> ir Subtiekėjo, papildomas prievolių, užtikrinimas. </w:t>
      </w:r>
    </w:p>
    <w:p w:rsidR="00AC6A05" w:rsidRPr="00AC6A05" w:rsidRDefault="00AC6A05" w:rsidP="00AC6A05">
      <w:pPr>
        <w:jc w:val="both"/>
      </w:pPr>
      <w:r w:rsidRPr="00AC6A05">
        <w:t xml:space="preserve">2.9. Tiesioginio atsiskaitymo sutartis turi būti sudaryta ne vėliau kaip iki dienos, nuo kurios atsiranda mokėjimo prievolė pagal Sutarties bendrosios dalies 4.1 punktą. </w:t>
      </w:r>
    </w:p>
    <w:p w:rsidR="00AC6A05" w:rsidRPr="00AC6A05" w:rsidRDefault="00AC6A05" w:rsidP="00AC6A05">
      <w:pPr>
        <w:jc w:val="both"/>
      </w:pPr>
      <w:r w:rsidRPr="00AC6A05">
        <w:lastRenderedPageBreak/>
        <w:t xml:space="preserve">2.10. Tiesioginis atsiskaitymas su Subtiekėju neatleidžia </w:t>
      </w:r>
      <w:r w:rsidRPr="00AC6A05">
        <w:rPr>
          <w:b/>
        </w:rPr>
        <w:t>Pardavėjo</w:t>
      </w:r>
      <w:r w:rsidRPr="00AC6A05">
        <w:t xml:space="preserve"> nuo jo prisiimtų įsipareigojimų pagal sudarytą Pirkimo sutartį. Sutartyje numatytos </w:t>
      </w:r>
      <w:r w:rsidRPr="00AC6A05">
        <w:rPr>
          <w:b/>
        </w:rPr>
        <w:t>Pardavėjo</w:t>
      </w:r>
      <w:r w:rsidRPr="00AC6A05">
        <w:t xml:space="preserve"> teisės, pareigos ir kiti įsipareigojimai nesusiję su reikalavimo teise sumokėti Sutarties kainą perleidimu Subtiekėjui negali būti perduoti.</w:t>
      </w:r>
    </w:p>
    <w:p w:rsidR="00AC6A05" w:rsidRPr="00AC6A05" w:rsidRDefault="00AC6A05" w:rsidP="00AC6A05">
      <w:pPr>
        <w:jc w:val="both"/>
      </w:pPr>
      <w:r w:rsidRPr="00AC6A05">
        <w:t xml:space="preserve">2.11. </w:t>
      </w:r>
      <w:r w:rsidRPr="00AC6A05">
        <w:rPr>
          <w:b/>
        </w:rPr>
        <w:t>Pirkėjas</w:t>
      </w:r>
      <w:r w:rsidRPr="00AC6A05">
        <w:t xml:space="preserve"> turi teisę reikšti Subtiekėjui visus </w:t>
      </w:r>
      <w:proofErr w:type="spellStart"/>
      <w:r w:rsidRPr="00AC6A05">
        <w:t>atsikirtimus</w:t>
      </w:r>
      <w:proofErr w:type="spellEnd"/>
      <w:r w:rsidRPr="00AC6A05">
        <w:t xml:space="preserve">, kuriuos jis turėjo teisę reikšti </w:t>
      </w:r>
      <w:r w:rsidRPr="00AC6A05">
        <w:rPr>
          <w:b/>
        </w:rPr>
        <w:t>Pardavėjui</w:t>
      </w:r>
      <w:r w:rsidRPr="00AC6A05">
        <w:t xml:space="preserve"> iki reikalavimo teisės perdavimo.</w:t>
      </w:r>
    </w:p>
    <w:p w:rsidR="00AC6A05" w:rsidRPr="00AC6A05" w:rsidRDefault="00AC6A05" w:rsidP="00AC6A05">
      <w:pPr>
        <w:jc w:val="both"/>
      </w:pPr>
      <w:r w:rsidRPr="00AC6A05">
        <w:t xml:space="preserve">2.12. Kilus ginčui tarp </w:t>
      </w:r>
      <w:r w:rsidRPr="00AC6A05">
        <w:rPr>
          <w:b/>
        </w:rPr>
        <w:t>Pardavėjo</w:t>
      </w:r>
      <w:r w:rsidRPr="00AC6A05">
        <w:t xml:space="preserve"> ir Subtiekėjo dėl tiesioginio atsiskaitymo sutartyje numatytų atsiskaitymų ar jų tvarkos, visos mokėjimo prievolės vykdomos </w:t>
      </w:r>
      <w:r w:rsidRPr="00AC6A05">
        <w:rPr>
          <w:b/>
        </w:rPr>
        <w:t>Pardavėjui</w:t>
      </w:r>
      <w:r w:rsidRPr="00AC6A05">
        <w:t xml:space="preserve">. Jei Subtiekėjo reikalavimas (sąskaita ar kitas dokumentas) yra nesuderintas su </w:t>
      </w:r>
      <w:r w:rsidRPr="00AC6A05">
        <w:rPr>
          <w:b/>
        </w:rPr>
        <w:t>Pardavėju</w:t>
      </w:r>
      <w:r w:rsidRPr="00AC6A05">
        <w:t xml:space="preserve">, bus laikoma, kad tarp </w:t>
      </w:r>
      <w:r w:rsidRPr="00AC6A05">
        <w:rPr>
          <w:b/>
        </w:rPr>
        <w:t>Pardavėjo</w:t>
      </w:r>
      <w:r w:rsidRPr="00AC6A05">
        <w:t xml:space="preserve"> ir Subtiekėjo yra kilęs ginčas. </w:t>
      </w:r>
    </w:p>
    <w:p w:rsidR="00AC6A05" w:rsidRPr="00AC6A05" w:rsidRDefault="00AC6A05" w:rsidP="00AC6A05">
      <w:pPr>
        <w:jc w:val="both"/>
      </w:pPr>
      <w:r w:rsidRPr="00AC6A05">
        <w:t xml:space="preserve">2.13. Visi Pirkimo sutarties mokėjimų dokumentai yra teikiami naudojantis informacinės sistemos </w:t>
      </w:r>
      <w:r w:rsidR="00587138">
        <w:t>SABIS</w:t>
      </w:r>
      <w:r w:rsidRPr="00AC6A05">
        <w:t xml:space="preserve"> priemonėmis. Pasikeitus teisės aktų nuostatoms dėl mokėjimo dokumentų pateikimo naudojantis informacine sistema </w:t>
      </w:r>
      <w:r w:rsidR="00587138">
        <w:t>SABIS</w:t>
      </w:r>
      <w:r w:rsidRPr="00AC6A05">
        <w:t>, atitinkamai taikomas tuo metu galiojantis teisinis reguliavimas.</w:t>
      </w:r>
    </w:p>
    <w:p w:rsidR="00AC6A05" w:rsidRPr="00AC6A05" w:rsidRDefault="00AC6A05" w:rsidP="00AC6A05">
      <w:pPr>
        <w:jc w:val="both"/>
      </w:pPr>
    </w:p>
    <w:p w:rsidR="00AC6A05" w:rsidRPr="00AC6A05" w:rsidRDefault="00AC6A05" w:rsidP="00AC6A05">
      <w:pPr>
        <w:jc w:val="both"/>
        <w:rPr>
          <w:b/>
        </w:rPr>
      </w:pPr>
      <w:r w:rsidRPr="00AC6A05">
        <w:rPr>
          <w:b/>
        </w:rPr>
        <w:t>3.</w:t>
      </w:r>
      <w:r w:rsidRPr="00AC6A05">
        <w:t xml:space="preserve"> </w:t>
      </w:r>
      <w:r w:rsidRPr="00AC6A05">
        <w:rPr>
          <w:b/>
        </w:rPr>
        <w:t>Prekių tiekimo terminai ir sąlygos</w:t>
      </w:r>
    </w:p>
    <w:p w:rsidR="00AC6A05" w:rsidRPr="00AC6A05" w:rsidRDefault="00AC6A05" w:rsidP="00AC6A05">
      <w:pPr>
        <w:jc w:val="both"/>
      </w:pPr>
      <w:r w:rsidRPr="00AC6A05">
        <w:t>3.1. Prekės pristatomos Sutarties specialiojoje dalyje (arba Sutarties</w:t>
      </w:r>
      <w:r w:rsidRPr="00AC6A05">
        <w:rPr>
          <w:i/>
        </w:rPr>
        <w:t xml:space="preserve"> </w:t>
      </w:r>
      <w:r w:rsidRPr="00AC6A05">
        <w:t>priede (-</w:t>
      </w:r>
      <w:proofErr w:type="spellStart"/>
      <w:r w:rsidRPr="00AC6A05">
        <w:t>uose</w:t>
      </w:r>
      <w:proofErr w:type="spellEnd"/>
      <w:r w:rsidRPr="00AC6A05">
        <w:t>)) numatytais terminais ir tvarka.</w:t>
      </w:r>
    </w:p>
    <w:p w:rsidR="00AC6A05" w:rsidRPr="00AC6A05" w:rsidRDefault="00AC6A05" w:rsidP="00AC6A05">
      <w:pPr>
        <w:jc w:val="both"/>
      </w:pPr>
      <w:r w:rsidRPr="00AC6A05">
        <w:t xml:space="preserve">3.2. Prekes </w:t>
      </w:r>
      <w:r w:rsidRPr="00AC6A05">
        <w:rPr>
          <w:b/>
        </w:rPr>
        <w:t>Pardavėjas</w:t>
      </w:r>
      <w:r w:rsidRPr="00AC6A05">
        <w:t xml:space="preserve"> pristato savo rizika be papildomo apmokėjimo. </w:t>
      </w:r>
      <w:r w:rsidRPr="00AC6A05">
        <w:rPr>
          <w:b/>
        </w:rPr>
        <w:t xml:space="preserve">Mokėtojas </w:t>
      </w:r>
      <w:r w:rsidRPr="00AC6A05">
        <w:t xml:space="preserve">nuosavybės teisę į prekes įgyja </w:t>
      </w:r>
      <w:r w:rsidRPr="00AC6A05">
        <w:rPr>
          <w:b/>
        </w:rPr>
        <w:t>Pardavėjui</w:t>
      </w:r>
      <w:r w:rsidRPr="00AC6A05">
        <w:t xml:space="preserve"> ir </w:t>
      </w:r>
      <w:r w:rsidRPr="00AC6A05">
        <w:rPr>
          <w:b/>
        </w:rPr>
        <w:t>Pirkėjui</w:t>
      </w:r>
      <w:r w:rsidRPr="00AC6A05">
        <w:t>/</w:t>
      </w:r>
      <w:r w:rsidRPr="00AC6A05">
        <w:rPr>
          <w:b/>
        </w:rPr>
        <w:t>Mokėtojui</w:t>
      </w:r>
      <w:r w:rsidRPr="00AC6A05">
        <w:t xml:space="preserve"> (Sutartyje numatytais atvejais – </w:t>
      </w:r>
      <w:r w:rsidRPr="00AC6A05">
        <w:rPr>
          <w:b/>
        </w:rPr>
        <w:t>Gavėjui</w:t>
      </w:r>
      <w:r w:rsidRPr="00AC6A05">
        <w:t>) pasirašius dokumentą, patvirtinantį prekių perdavimą-priėmimą, kuris pasirašomas tik tuo atveju, jeigu prekės yra kokybiškos ir atitinka Sutartyje ir jos priede (-</w:t>
      </w:r>
      <w:proofErr w:type="spellStart"/>
      <w:r w:rsidRPr="00AC6A05">
        <w:t>uose</w:t>
      </w:r>
      <w:proofErr w:type="spellEnd"/>
      <w:r w:rsidRPr="00AC6A05">
        <w:t xml:space="preserve">) joms nustatytus reikalavimus. </w:t>
      </w:r>
      <w:r w:rsidRPr="00AC6A05">
        <w:rPr>
          <w:b/>
        </w:rPr>
        <w:t>Mokėtojas</w:t>
      </w:r>
      <w:r w:rsidRPr="00AC6A05">
        <w:t xml:space="preserve"> pasirašydamas dokumentą, patvirtinantį prekių perdavimą-priėmimą, patvirtina prekių kiekio ir komplektacijos atitiktį Sutarties ir jos priedų reikalavimams, o </w:t>
      </w:r>
      <w:r w:rsidRPr="00AC6A05">
        <w:rPr>
          <w:b/>
        </w:rPr>
        <w:t>Pirkėjas</w:t>
      </w:r>
      <w:r w:rsidRPr="00AC6A05">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AC6A05">
        <w:t>uose</w:t>
      </w:r>
      <w:proofErr w:type="spellEnd"/>
      <w:r w:rsidRPr="00AC6A05">
        <w:t xml:space="preserve">) joms nustatytus reikalavimus dokumentas, patvirtinantis prekių perdavimą-priėmimą, turi būti pasirašomas ne vėliau kaip per 30 dienų, išskyrus kai prekėms atliekami laboratoriniai bandymai. </w:t>
      </w:r>
    </w:p>
    <w:p w:rsidR="00AC6A05" w:rsidRPr="00AC6A05" w:rsidRDefault="00AC6A05" w:rsidP="00AC6A05">
      <w:pPr>
        <w:jc w:val="both"/>
      </w:pPr>
      <w:r w:rsidRPr="00AC6A05">
        <w:t xml:space="preserve">3.3. Už prekes, pateiktas viršijant Sutartyje/paraiškose/užsakymuose nurodytus kiekius, </w:t>
      </w:r>
      <w:r w:rsidRPr="00AC6A05">
        <w:rPr>
          <w:b/>
        </w:rPr>
        <w:t xml:space="preserve">Pardavėjui </w:t>
      </w:r>
      <w:r w:rsidRPr="00AC6A05">
        <w:t>neapmokama.</w:t>
      </w:r>
    </w:p>
    <w:p w:rsidR="00AC6A05" w:rsidRPr="00AC6A05" w:rsidRDefault="00AC6A05" w:rsidP="00AC6A05">
      <w:pPr>
        <w:jc w:val="both"/>
      </w:pPr>
      <w:r w:rsidRPr="00AC6A05">
        <w:t xml:space="preserve">3.4. </w:t>
      </w:r>
      <w:r w:rsidRPr="00AC6A05">
        <w:rPr>
          <w:b/>
        </w:rPr>
        <w:t>Pardavėjui</w:t>
      </w:r>
      <w:r w:rsidRPr="00AC6A05">
        <w:t xml:space="preserve"> pristačius mažesnę prekių siuntą negu nurodyta Sutartyje/paraiškose/užsakymuose, yra laikoma, kad prekės nebuvo pristatytos. </w:t>
      </w:r>
      <w:r w:rsidRPr="00AC6A05">
        <w:rPr>
          <w:b/>
        </w:rPr>
        <w:t>Pardavėjas</w:t>
      </w:r>
      <w:r w:rsidRPr="00AC6A05">
        <w:t xml:space="preserve"> savo lėšomis prekes turi atsiimti ir, jeigu dėl to yra praleidžiamas pristatymo terminas, Pardavėjui taikomos Sutarties bendrosios dalies 11.1 punkte numatytos sankcijos. </w:t>
      </w:r>
    </w:p>
    <w:p w:rsidR="00AC6A05" w:rsidRPr="00AC6A05" w:rsidRDefault="00AC6A05" w:rsidP="00AC6A05">
      <w:pPr>
        <w:jc w:val="both"/>
      </w:pPr>
      <w:r w:rsidRPr="00AC6A05">
        <w:t xml:space="preserve">3.5. </w:t>
      </w:r>
      <w:r w:rsidRPr="00AC6A05">
        <w:rPr>
          <w:b/>
        </w:rPr>
        <w:t>Pardavėjas</w:t>
      </w:r>
      <w:r w:rsidRPr="00AC6A05">
        <w:t xml:space="preserve"> įsipareigoja po Sutarties įsigaliojimo Sutarties specialioje dalyje nurodytais terminais:</w:t>
      </w:r>
    </w:p>
    <w:p w:rsidR="00AC6A05" w:rsidRPr="00AC6A05" w:rsidRDefault="00AC6A05" w:rsidP="00AC6A05">
      <w:pPr>
        <w:jc w:val="both"/>
      </w:pPr>
      <w:r w:rsidRPr="00AC6A05">
        <w:t xml:space="preserve">3.5.1. parengti, pagaminti, suderinti su </w:t>
      </w:r>
      <w:r w:rsidRPr="00AC6A05">
        <w:rPr>
          <w:b/>
        </w:rPr>
        <w:t>Pirkėju</w:t>
      </w:r>
      <w:r w:rsidRPr="00AC6A05">
        <w:t xml:space="preserve"> ir patvirtinti perkamų prekių darbinius pavyzdžius (2 egz., vienas - </w:t>
      </w:r>
      <w:r w:rsidRPr="00AC6A05">
        <w:rPr>
          <w:b/>
        </w:rPr>
        <w:t>Pirkėjui</w:t>
      </w:r>
      <w:r w:rsidRPr="00AC6A05">
        <w:t xml:space="preserve">, antras – </w:t>
      </w:r>
      <w:r w:rsidRPr="00AC6A05">
        <w:rPr>
          <w:b/>
        </w:rPr>
        <w:t>Pardavėjui</w:t>
      </w:r>
      <w:r w:rsidRPr="00AC6A05">
        <w:t>), kurie atitiktų Sutartyje ir jos priede (-</w:t>
      </w:r>
      <w:proofErr w:type="spellStart"/>
      <w:r w:rsidRPr="00AC6A05">
        <w:t>uose</w:t>
      </w:r>
      <w:proofErr w:type="spellEnd"/>
      <w:r w:rsidRPr="00AC6A05">
        <w:t xml:space="preserve">) nustatytus reikalavimus </w:t>
      </w:r>
      <w:r w:rsidRPr="00AC6A05">
        <w:rPr>
          <w:i/>
        </w:rPr>
        <w:t>(jei spec. dalyje nurodyta, kad ši sąlyga taikoma)</w:t>
      </w:r>
      <w:r w:rsidRPr="00AC6A05">
        <w:t>;</w:t>
      </w:r>
    </w:p>
    <w:p w:rsidR="00AC6A05" w:rsidRPr="00AC6A05" w:rsidRDefault="00AC6A05" w:rsidP="00AC6A05">
      <w:pPr>
        <w:jc w:val="both"/>
      </w:pPr>
      <w:r w:rsidRPr="00AC6A05">
        <w:t xml:space="preserve">3.5.2. suderinti su </w:t>
      </w:r>
      <w:r w:rsidRPr="00AC6A05">
        <w:rPr>
          <w:b/>
        </w:rPr>
        <w:t xml:space="preserve">Pirkėju </w:t>
      </w:r>
      <w:r w:rsidRPr="00AC6A05">
        <w:t xml:space="preserve">ir pateikti </w:t>
      </w:r>
      <w:proofErr w:type="spellStart"/>
      <w:r w:rsidRPr="00AC6A05">
        <w:t>teiktiną</w:t>
      </w:r>
      <w:proofErr w:type="spellEnd"/>
      <w:r w:rsidRPr="00AC6A05">
        <w:t xml:space="preserve"> prekių kokybės užtikrinimo planą, parengtą pagal </w:t>
      </w:r>
      <w:proofErr w:type="spellStart"/>
      <w:r w:rsidRPr="00AC6A05">
        <w:t>Teiktino</w:t>
      </w:r>
      <w:proofErr w:type="spellEnd"/>
      <w:r w:rsidRPr="00AC6A05">
        <w:t xml:space="preserve"> kokybės užtikrinimo plano rengimo rekomendacijas arba</w:t>
      </w:r>
      <w:r w:rsidRPr="00AC6A05">
        <w:rPr>
          <w:i/>
        </w:rPr>
        <w:t xml:space="preserve"> </w:t>
      </w:r>
      <w:r w:rsidRPr="00AC6A05">
        <w:t xml:space="preserve">Sutarties specialioje dalyje nurodytus standartus </w:t>
      </w:r>
      <w:r w:rsidRPr="00AC6A05">
        <w:rPr>
          <w:i/>
        </w:rPr>
        <w:t>(jei spec. dalyje nurodyta, kad ši sąlyga taikoma)</w:t>
      </w:r>
      <w:r w:rsidRPr="00AC6A05">
        <w:t>;</w:t>
      </w:r>
    </w:p>
    <w:p w:rsidR="00AC6A05" w:rsidRPr="00AC6A05" w:rsidRDefault="00AC6A05" w:rsidP="00AC6A05">
      <w:pPr>
        <w:jc w:val="both"/>
        <w:rPr>
          <w:i/>
        </w:rPr>
      </w:pPr>
      <w:r w:rsidRPr="00AC6A05">
        <w:t xml:space="preserve">3.5.3. suderinti su </w:t>
      </w:r>
      <w:r w:rsidRPr="00AC6A05">
        <w:rPr>
          <w:b/>
        </w:rPr>
        <w:t>Pirkėju</w:t>
      </w:r>
      <w:r w:rsidRPr="00AC6A05">
        <w:t xml:space="preserve"> prekės naudojimo (priežiūros) instrukciją, kuri pateikiama kartu su kiekviena preke (</w:t>
      </w:r>
      <w:r w:rsidRPr="00AC6A05">
        <w:rPr>
          <w:i/>
        </w:rPr>
        <w:t>jei spec. dalyje nurodyta, kad ši sąlyga taikoma).</w:t>
      </w:r>
    </w:p>
    <w:p w:rsidR="00AC6A05" w:rsidRPr="00AC6A05" w:rsidRDefault="00AC6A05" w:rsidP="00AC6A05">
      <w:pPr>
        <w:jc w:val="both"/>
      </w:pPr>
      <w:r w:rsidRPr="00AC6A05">
        <w:t xml:space="preserve">3.6. Jeigu Sutarties galiojimo metu prekės gamintojas pakeičia/atnaujina šia Sutartimi perkamos prekės, modelį/pavadinimą, kuris yra nurodytas Sutartyje, </w:t>
      </w:r>
      <w:r w:rsidRPr="00AC6A05">
        <w:rPr>
          <w:b/>
          <w:bCs/>
        </w:rPr>
        <w:t>Pardavėjas</w:t>
      </w:r>
      <w:r w:rsidRPr="00AC6A05">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C6A05">
        <w:rPr>
          <w:b/>
        </w:rPr>
        <w:t>Pardavėjas</w:t>
      </w:r>
      <w:r w:rsidRPr="00AC6A05">
        <w:t xml:space="preserve"> suderinęs su </w:t>
      </w:r>
      <w:r w:rsidRPr="00AC6A05">
        <w:rPr>
          <w:b/>
          <w:bCs/>
        </w:rPr>
        <w:t>Pirkėju</w:t>
      </w:r>
      <w:r w:rsidRPr="00AC6A05">
        <w:t xml:space="preserve"> ir su juo sudaręs papildomą susitarimą turi teisę tiekti naujo modelio/pavadinimo prekes. Naujo modelio/pavadinimo prekės turi atitikti Sutartyje ir jos priede (-</w:t>
      </w:r>
      <w:proofErr w:type="spellStart"/>
      <w:r w:rsidRPr="00AC6A05">
        <w:t>uose</w:t>
      </w:r>
      <w:proofErr w:type="spellEnd"/>
      <w:r w:rsidRPr="00AC6A05">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AC6A05" w:rsidRPr="00AC6A05" w:rsidRDefault="00AC6A05" w:rsidP="00AC6A05">
      <w:pPr>
        <w:tabs>
          <w:tab w:val="left" w:pos="1134"/>
        </w:tabs>
        <w:jc w:val="both"/>
      </w:pPr>
      <w:r w:rsidRPr="00AC6A05">
        <w:t xml:space="preserve">3.7. </w:t>
      </w:r>
      <w:r w:rsidRPr="00AC6A05">
        <w:rPr>
          <w:color w:val="000000"/>
        </w:rPr>
        <w:t xml:space="preserve">Sutarties vykdymo metu </w:t>
      </w:r>
      <w:r w:rsidRPr="00AC6A05">
        <w:t xml:space="preserve">Sutartyje nurodytas prekės gamintojas gali būti keičiamas kitu gamintoju tik dėl objektyvių aplinkybių, kurių </w:t>
      </w:r>
      <w:r w:rsidRPr="00AC6A05">
        <w:rPr>
          <w:b/>
        </w:rPr>
        <w:t xml:space="preserve">Pardavėjui </w:t>
      </w:r>
      <w:r w:rsidRPr="00AC6A05">
        <w:t xml:space="preserve">nebuvo galima numatyti paraiškos/pasiūlymo pateikimo </w:t>
      </w:r>
      <w:r w:rsidRPr="00AC6A05">
        <w:lastRenderedPageBreak/>
        <w:t xml:space="preserve">momentu.  Sutartyje nurodyto gamintojo keitimas kitu galimas tik iš anksto raštu suderinus su </w:t>
      </w:r>
      <w:r w:rsidRPr="00AC6A05">
        <w:rPr>
          <w:b/>
        </w:rPr>
        <w:t>Pirkėju</w:t>
      </w:r>
      <w:r w:rsidRPr="00AC6A05">
        <w:t xml:space="preserve"> ir pasirašius susitarimą dėl gamintojo pakeitimo.  Prašymas dėl Sutartyje nustatyto gamintojo keitimo kitu, </w:t>
      </w:r>
      <w:r w:rsidRPr="00AC6A05">
        <w:rPr>
          <w:b/>
        </w:rPr>
        <w:t xml:space="preserve">Pirkėjui </w:t>
      </w:r>
      <w:r w:rsidRPr="00AC6A05">
        <w:t xml:space="preserve">pateikiamas raštu, nurodant tokio keitimo priežastis, kartu </w:t>
      </w:r>
      <w:r w:rsidRPr="00AC6A05">
        <w:rPr>
          <w:b/>
          <w:bCs/>
        </w:rPr>
        <w:t>Pardavėjas</w:t>
      </w:r>
      <w:r w:rsidRPr="00AC6A05">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C6A05">
        <w:t>uose</w:t>
      </w:r>
      <w:proofErr w:type="spellEnd"/>
      <w:r w:rsidRPr="00AC6A05">
        <w:t>) perkamoms prekėms nustatytus reikalavimus, tiekiamos už tą pačia kainą, o jų techniniai duomenys negali būti prasteni už techninius duomenis prekių, dėl kurių buvo sudaryta Sutartis.</w:t>
      </w:r>
    </w:p>
    <w:p w:rsidR="00AC6A05" w:rsidRPr="00AC6A05" w:rsidRDefault="00AC6A05" w:rsidP="00AC6A05">
      <w:pPr>
        <w:jc w:val="both"/>
      </w:pPr>
    </w:p>
    <w:p w:rsidR="00AC6A05" w:rsidRPr="00AC6A05" w:rsidRDefault="00AC6A05" w:rsidP="00AC6A05">
      <w:pPr>
        <w:jc w:val="both"/>
        <w:rPr>
          <w:b/>
        </w:rPr>
      </w:pPr>
      <w:r w:rsidRPr="00AC6A05">
        <w:rPr>
          <w:b/>
        </w:rPr>
        <w:t>4. Mokėjimo terminai ir sąlygos</w:t>
      </w:r>
    </w:p>
    <w:p w:rsidR="00AC6A05" w:rsidRPr="00AC6A05" w:rsidRDefault="00AC6A05" w:rsidP="00AC6A05">
      <w:pPr>
        <w:jc w:val="both"/>
      </w:pPr>
      <w:r w:rsidRPr="00AC6A05">
        <w:t xml:space="preserve">4.1. </w:t>
      </w:r>
      <w:r w:rsidRPr="00AC6A05">
        <w:rPr>
          <w:b/>
        </w:rPr>
        <w:t>Pardavėjui</w:t>
      </w:r>
      <w:r w:rsidRPr="00AC6A05">
        <w:t xml:space="preserve"> sumokama, kai sutarties objektas atitinkantis Sutartyje ir jos priede (-</w:t>
      </w:r>
      <w:proofErr w:type="spellStart"/>
      <w:r w:rsidRPr="00AC6A05">
        <w:t>uose</w:t>
      </w:r>
      <w:proofErr w:type="spellEnd"/>
      <w:r w:rsidRPr="00AC6A05">
        <w:t xml:space="preserve">) nustatytus reikalavimus perduodamas </w:t>
      </w:r>
      <w:r w:rsidRPr="00AC6A05">
        <w:rPr>
          <w:b/>
        </w:rPr>
        <w:t>Mokėtojui ar Gavėjui,</w:t>
      </w:r>
      <w:r w:rsidRPr="00AC6A05">
        <w:t xml:space="preserve"> Sutartyje nustatyta tvarka pasirašius dokumentą, patvirtinantį prekių perdavimą-priėmimą, per 30 (trisdešimt) dienų nuo dokumento, patvirtinančio prekių perdavimą-priėmimą,</w:t>
      </w:r>
      <w:r w:rsidRPr="00AC6A05">
        <w:rPr>
          <w:i/>
        </w:rPr>
        <w:t xml:space="preserve"> </w:t>
      </w:r>
      <w:r w:rsidRPr="00AC6A05">
        <w:t>ir sąskaitos faktūros gavimo dienos. Sąskaita faktūra turi būti pateikiama Mokėtojui Viešųjų pirkimų įstatymo 22 straipsnio 3 dalyje</w:t>
      </w:r>
      <w:r w:rsidRPr="00AC6A05">
        <w:rPr>
          <w:bCs/>
        </w:rPr>
        <w:t>/Viešųjų pirkimų, atliekamų gynybos ir saugumo srityje, įstatymo 12 straipsnio 10 dalyje</w:t>
      </w:r>
      <w:r w:rsidRPr="00AC6A05">
        <w:t xml:space="preserve"> numatytomis elektroninėmis priemonėmis. Vėluojant atsiskaityti šiame punkte numatytu terminu,</w:t>
      </w:r>
      <w:r w:rsidRPr="00AC6A05">
        <w:rPr>
          <w:b/>
          <w:bCs/>
        </w:rPr>
        <w:t xml:space="preserve"> Pardavėjui </w:t>
      </w:r>
      <w:r w:rsidRPr="00AC6A05">
        <w:t>pareikalavus (ne vėliau kaip per 30 (trisdešimt) dienų nuo pareikalavimo gavimo), jam mokamos palūkanas pagal Lietuvos Respublikos mokėjimų, atliekamų pagal komercines sutartis, vėlavimo prevencijos įstatymą.</w:t>
      </w:r>
    </w:p>
    <w:p w:rsidR="00AC6A05" w:rsidRPr="00AC6A05" w:rsidRDefault="00AC6A05" w:rsidP="00AC6A05">
      <w:pPr>
        <w:jc w:val="both"/>
      </w:pPr>
      <w:r w:rsidRPr="00AC6A05">
        <w:t xml:space="preserve">4.2. </w:t>
      </w:r>
      <w:r w:rsidRPr="00AC6A05">
        <w:rPr>
          <w:b/>
        </w:rPr>
        <w:t xml:space="preserve">Pardavėjui </w:t>
      </w:r>
      <w:r w:rsidRPr="00AC6A05">
        <w:t xml:space="preserve">pristačius prekes, </w:t>
      </w:r>
      <w:r w:rsidRPr="00AC6A05">
        <w:rPr>
          <w:b/>
        </w:rPr>
        <w:t xml:space="preserve">Pirkėjas </w:t>
      </w:r>
      <w:r w:rsidRPr="00AC6A05">
        <w:t xml:space="preserve">per 3 (tris) dienas turi teisę nuspręsti, ar </w:t>
      </w:r>
      <w:r w:rsidRPr="00AC6A05">
        <w:rPr>
          <w:b/>
        </w:rPr>
        <w:t>Pardavėjo</w:t>
      </w:r>
      <w:r w:rsidRPr="00AC6A05">
        <w:t xml:space="preserve"> pristatytoms prekėms (nustatytai prekių partijai ar/ir siuntai) bus atliekami laboratoriniai bandymai tam, </w:t>
      </w:r>
      <w:r w:rsidRPr="00AC6A05">
        <w:rPr>
          <w:noProof/>
        </w:rPr>
        <w:t xml:space="preserve">kad būtų įsitikinta, jog prekės atitinka Sutartyje ir jos </w:t>
      </w:r>
      <w:r w:rsidRPr="00AC6A05">
        <w:t>priede (-</w:t>
      </w:r>
      <w:proofErr w:type="spellStart"/>
      <w:r w:rsidRPr="00AC6A05">
        <w:t>uose</w:t>
      </w:r>
      <w:proofErr w:type="spellEnd"/>
      <w:r w:rsidRPr="00AC6A05">
        <w:t xml:space="preserve">) </w:t>
      </w:r>
      <w:r w:rsidRPr="00AC6A05">
        <w:rPr>
          <w:noProof/>
        </w:rPr>
        <w:t>nustatytus reikalavimus.</w:t>
      </w:r>
      <w:r w:rsidRPr="00AC6A05">
        <w:t xml:space="preserve"> Jeigu </w:t>
      </w:r>
      <w:r w:rsidRPr="00AC6A05">
        <w:rPr>
          <w:b/>
        </w:rPr>
        <w:t xml:space="preserve">Pirkėjas </w:t>
      </w:r>
      <w:r w:rsidRPr="00AC6A05">
        <w:t>priima sprendimą, kad laboratoriniai bandymai prekėms nebus atliekami, prekės, atitinkančios Sutartyje ir jos priede (-</w:t>
      </w:r>
      <w:proofErr w:type="spellStart"/>
      <w:r w:rsidRPr="00AC6A05">
        <w:t>uose</w:t>
      </w:r>
      <w:proofErr w:type="spellEnd"/>
      <w:r w:rsidRPr="00AC6A05">
        <w:t xml:space="preserve">) nustatytus reikalavimus, priimamos ir už priimtas prekes </w:t>
      </w:r>
      <w:r w:rsidRPr="00AC6A05">
        <w:rPr>
          <w:b/>
        </w:rPr>
        <w:t>Mokėtojas</w:t>
      </w:r>
      <w:r w:rsidRPr="00AC6A05">
        <w:t xml:space="preserve"> sumoka </w:t>
      </w:r>
      <w:r w:rsidRPr="00AC6A05">
        <w:rPr>
          <w:b/>
        </w:rPr>
        <w:t xml:space="preserve">Pardavėjui </w:t>
      </w:r>
      <w:r w:rsidRPr="00AC6A05">
        <w:t xml:space="preserve">per 30 (trisdešimt) dienų nuo sąskaitos faktūros gavimo dienos. Jeigu </w:t>
      </w:r>
      <w:r w:rsidRPr="00AC6A05">
        <w:rPr>
          <w:b/>
        </w:rPr>
        <w:t>Pirkėjas</w:t>
      </w:r>
      <w:r w:rsidRPr="00AC6A05">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C6A05">
        <w:t>uose</w:t>
      </w:r>
      <w:proofErr w:type="spellEnd"/>
      <w:r w:rsidRPr="00AC6A05">
        <w:t>) nustatytus reikalavimus</w:t>
      </w:r>
      <w:r w:rsidRPr="00AC6A05">
        <w:rPr>
          <w:i/>
        </w:rPr>
        <w:t xml:space="preserve"> (jei spec. dalyje nurodyta, kad sąlyga taikoma)</w:t>
      </w:r>
      <w:r w:rsidRPr="00AC6A05">
        <w:t>.</w:t>
      </w:r>
    </w:p>
    <w:p w:rsidR="00AC6A05" w:rsidRPr="00AC6A05" w:rsidRDefault="00AC6A05" w:rsidP="00AC6A05">
      <w:pPr>
        <w:jc w:val="both"/>
      </w:pPr>
      <w:r w:rsidRPr="00AC6A05">
        <w:t>4.3. Jeigu už prekes bus mokamas Sutarties specialiojoje dalyje nurodyto dydžio avansas,</w:t>
      </w:r>
      <w:r w:rsidRPr="00AC6A05">
        <w:rPr>
          <w:b/>
        </w:rPr>
        <w:t xml:space="preserve"> Pardavėjas</w:t>
      </w:r>
      <w:r w:rsidRPr="00AC6A05">
        <w:t xml:space="preserve"> įsipareigoja per 5 (penkias) darbo dienas nuo pranešimo gavimo dienos pateikti </w:t>
      </w:r>
      <w:r w:rsidRPr="00AC6A05">
        <w:rPr>
          <w:b/>
        </w:rPr>
        <w:t>Mokėtojo</w:t>
      </w:r>
      <w:r w:rsidRPr="00AC6A05">
        <w:t xml:space="preserve"> sumokamo avanso sumai, avansinio apmokėjimo banko garantiją arba draudimo bendrovės laidavimo raštą (kuri/-</w:t>
      </w:r>
      <w:proofErr w:type="spellStart"/>
      <w:r w:rsidRPr="00AC6A05">
        <w:t>is</w:t>
      </w:r>
      <w:proofErr w:type="spellEnd"/>
      <w:r w:rsidRPr="00AC6A05">
        <w:t xml:space="preserve"> galiotų 2 (du) mėnesius ilgiau nei prekių pristatymo terminas) ir avansinio mokėjimo sąskaitą.</w:t>
      </w:r>
      <w:r w:rsidRPr="00AC6A05">
        <w:rPr>
          <w:b/>
        </w:rPr>
        <w:t xml:space="preserve"> </w:t>
      </w:r>
      <w:r w:rsidRPr="00AC6A05">
        <w:t xml:space="preserve">Jeigu avanso apmokėjimas bus užtikrintas laidavimu, </w:t>
      </w:r>
      <w:r w:rsidRPr="00AC6A05">
        <w:rPr>
          <w:b/>
        </w:rPr>
        <w:t>Pardavėjas</w:t>
      </w:r>
      <w:r w:rsidRPr="00AC6A05">
        <w:t xml:space="preserve"> taip pat turi pateikti patvirtinimą iš draudimo bendrovės (apmokėjimą įrodantį</w:t>
      </w:r>
      <w:r w:rsidRPr="00AC6A05">
        <w:rPr>
          <w:color w:val="000000"/>
        </w:rPr>
        <w:t xml:space="preserve"> dokumentą ar pan.), kad laidavimo raštas yra galiojantis</w:t>
      </w:r>
      <w:r w:rsidRPr="00AC6A05">
        <w:rPr>
          <w:i/>
          <w:color w:val="000000"/>
        </w:rPr>
        <w:t xml:space="preserve"> </w:t>
      </w:r>
      <w:r w:rsidRPr="00AC6A05">
        <w:rPr>
          <w:i/>
        </w:rPr>
        <w:t>(jei spec. dalyje nurodyta, kad sąlyga dėl avanso taikoma)</w:t>
      </w:r>
      <w:r w:rsidRPr="00AC6A05">
        <w:rPr>
          <w:i/>
          <w:color w:val="000000"/>
        </w:rPr>
        <w:t>.</w:t>
      </w:r>
    </w:p>
    <w:p w:rsidR="00AC6A05" w:rsidRPr="00AC6A05" w:rsidRDefault="00AC6A05" w:rsidP="00AC6A05">
      <w:pPr>
        <w:jc w:val="both"/>
        <w:rPr>
          <w:lang w:eastAsia="en-US"/>
        </w:rPr>
      </w:pPr>
      <w:r w:rsidRPr="00AC6A05">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AC6A05">
        <w:rPr>
          <w:b/>
          <w:lang w:eastAsia="en-US"/>
        </w:rPr>
        <w:t xml:space="preserve">Pardavėjo </w:t>
      </w:r>
      <w:r w:rsidRPr="00AC6A05">
        <w:rPr>
          <w:lang w:eastAsia="en-US"/>
        </w:rPr>
        <w:t xml:space="preserve">kaltės, iš </w:t>
      </w:r>
      <w:r w:rsidRPr="00AC6A05">
        <w:rPr>
          <w:b/>
          <w:lang w:eastAsia="en-US"/>
        </w:rPr>
        <w:t xml:space="preserve">Pirkėjo </w:t>
      </w:r>
      <w:r w:rsidRPr="00AC6A05">
        <w:rPr>
          <w:lang w:eastAsia="en-US"/>
        </w:rPr>
        <w:t xml:space="preserve">gavimo, sumokėti </w:t>
      </w:r>
      <w:r w:rsidRPr="00AC6A05">
        <w:rPr>
          <w:b/>
          <w:lang w:eastAsia="en-US"/>
        </w:rPr>
        <w:t xml:space="preserve">Mokėtojui </w:t>
      </w:r>
      <w:r w:rsidRPr="00AC6A05">
        <w:rPr>
          <w:lang w:eastAsia="en-US"/>
        </w:rPr>
        <w:t xml:space="preserve">sumą, neviršijančią laidavimo/garantijos sumos, pinigus pervedant į </w:t>
      </w:r>
      <w:r w:rsidRPr="00AC6A05">
        <w:rPr>
          <w:b/>
          <w:lang w:eastAsia="en-US"/>
        </w:rPr>
        <w:t>Mokėtojo</w:t>
      </w:r>
      <w:r w:rsidRPr="00AC6A05">
        <w:rPr>
          <w:lang w:eastAsia="en-US"/>
        </w:rPr>
        <w:t xml:space="preserve"> sąskaitą. </w:t>
      </w:r>
    </w:p>
    <w:p w:rsidR="00AC6A05" w:rsidRPr="00AC6A05" w:rsidRDefault="00AC6A05" w:rsidP="00AC6A05">
      <w:pPr>
        <w:jc w:val="both"/>
        <w:rPr>
          <w:lang w:eastAsia="en-US"/>
        </w:rPr>
      </w:pPr>
      <w:r w:rsidRPr="00AC6A05">
        <w:rPr>
          <w:lang w:eastAsia="en-US"/>
        </w:rPr>
        <w:t xml:space="preserve">4.5. </w:t>
      </w:r>
      <w:r w:rsidRPr="00991E5E">
        <w:rPr>
          <w:lang w:eastAsia="en-US"/>
        </w:rPr>
        <w:t>Avansinio apmokėjimo</w:t>
      </w:r>
      <w:r w:rsidRPr="00AC6A05">
        <w:rPr>
          <w:szCs w:val="20"/>
          <w:lang w:val="en-GB" w:eastAsia="en-US"/>
        </w:rPr>
        <w:t xml:space="preserve"> </w:t>
      </w:r>
      <w:r w:rsidRPr="00AC6A05">
        <w:rPr>
          <w:lang w:eastAsia="en-US"/>
        </w:rPr>
        <w:t xml:space="preserve">banko garantijoje ar laidavimo rašte negali būti nurodyta, kad garantas ar laiduotojas atsako tik už tiesioginių nuostolių atlyginimą. Negali būti įrašytos nuostatos ar sąlygos, kurios įpareigotų </w:t>
      </w:r>
      <w:r w:rsidRPr="00AC6A05">
        <w:rPr>
          <w:b/>
          <w:lang w:eastAsia="en-US"/>
        </w:rPr>
        <w:t>Pirkėją ar Mokėtoją</w:t>
      </w:r>
      <w:r w:rsidRPr="00AC6A05">
        <w:rPr>
          <w:lang w:eastAsia="en-US"/>
        </w:rPr>
        <w:t xml:space="preserve"> įrodyti garantiją ar laidavimo raštą išdavusiai įmonei, kad su </w:t>
      </w:r>
      <w:r w:rsidRPr="00AC6A05">
        <w:rPr>
          <w:b/>
          <w:lang w:eastAsia="en-US"/>
        </w:rPr>
        <w:t xml:space="preserve">Pardavėju </w:t>
      </w:r>
      <w:r w:rsidRPr="00AC6A05">
        <w:rPr>
          <w:lang w:eastAsia="en-US"/>
        </w:rPr>
        <w:t xml:space="preserve">Sutartis nutraukta teisėtai arba kitaip leistų garantiją ar laidavimo raštą išdavusiai įmonei nemokėti (arba vilkinti mokėjimą) garantija ar laidavimu užtikrinamos (laiduojamos) sumos. </w:t>
      </w:r>
    </w:p>
    <w:p w:rsidR="00AC6A05" w:rsidRPr="00AC6A05" w:rsidRDefault="00AC6A05" w:rsidP="00AC6A05">
      <w:pPr>
        <w:jc w:val="both"/>
        <w:rPr>
          <w:szCs w:val="20"/>
        </w:rPr>
      </w:pPr>
      <w:r w:rsidRPr="00AC6A05">
        <w:rPr>
          <w:szCs w:val="20"/>
        </w:rPr>
        <w:t xml:space="preserve">4.6. </w:t>
      </w:r>
      <w:r w:rsidRPr="00AC6A05">
        <w:t>Avansinio apmokėjimo</w:t>
      </w:r>
      <w:r w:rsidRPr="00AC6A05">
        <w:rPr>
          <w:szCs w:val="20"/>
        </w:rPr>
        <w:t xml:space="preserve"> banko garantija arba draudimo bendrovės laidavimo raštas, neatitinkantys Sutarties bendrosios dalies 4.3-4.5 punktuose nustatytų reikalavimų, nebus priimami. Tokiu atveju bus laikoma, kad </w:t>
      </w:r>
      <w:r w:rsidRPr="00AC6A05">
        <w:rPr>
          <w:b/>
          <w:szCs w:val="20"/>
        </w:rPr>
        <w:t>Pardavėjas</w:t>
      </w:r>
      <w:r w:rsidRPr="00AC6A05">
        <w:rPr>
          <w:szCs w:val="20"/>
        </w:rPr>
        <w:t xml:space="preserve"> </w:t>
      </w:r>
      <w:r w:rsidRPr="00AC6A05">
        <w:t>avansinio apmokėjimo</w:t>
      </w:r>
      <w:r w:rsidRPr="00AC6A05">
        <w:rPr>
          <w:szCs w:val="20"/>
        </w:rPr>
        <w:t xml:space="preserve"> banko garantijos arba draudimo bendrovės laidavimo rašto </w:t>
      </w:r>
      <w:r w:rsidRPr="00AC6A05">
        <w:rPr>
          <w:b/>
          <w:szCs w:val="20"/>
        </w:rPr>
        <w:t>Pirkėjui</w:t>
      </w:r>
      <w:r w:rsidRPr="00AC6A05">
        <w:rPr>
          <w:szCs w:val="20"/>
        </w:rPr>
        <w:t xml:space="preserve"> nepateikė ir bus atsiskaitoma pagal Sutarties bendrosios dalies 4.1 punktą.</w:t>
      </w:r>
    </w:p>
    <w:p w:rsidR="00AC6A05" w:rsidRPr="00AC6A05" w:rsidRDefault="00AC6A05" w:rsidP="00AC6A05">
      <w:pPr>
        <w:jc w:val="both"/>
      </w:pPr>
      <w:r w:rsidRPr="00AC6A05">
        <w:t>4.7. Avansas sumokamas per 10 (dešimt) dienų nuo avansinio apmokėjimo banko garantijos ar draudimo bendrovės laidavimo rašto ir avansinio mokėjimo sąskaitos gavimo dienos.</w:t>
      </w:r>
    </w:p>
    <w:p w:rsidR="00AC6A05" w:rsidRPr="00AC6A05" w:rsidRDefault="00AC6A05" w:rsidP="00AC6A05">
      <w:pPr>
        <w:jc w:val="both"/>
      </w:pPr>
      <w:r w:rsidRPr="00AC6A05">
        <w:t xml:space="preserve">4.8. Šalys turi teisę sudaryti papildomus susitarimus dėl avansinio apmokėjimo banko garantijoje arba draudimo bendrovės laidavimo rašte numatytos sumos sumažinimo </w:t>
      </w:r>
      <w:r w:rsidRPr="00AC6A05">
        <w:rPr>
          <w:b/>
        </w:rPr>
        <w:t>Pardavėjui</w:t>
      </w:r>
      <w:r w:rsidRPr="00AC6A05">
        <w:t xml:space="preserve"> tinkamai įvykdžius dalį įsipareigojimų.</w:t>
      </w:r>
    </w:p>
    <w:p w:rsidR="00AC6A05" w:rsidRPr="00AC6A05" w:rsidRDefault="00AC6A05" w:rsidP="00AC6A05">
      <w:pPr>
        <w:jc w:val="both"/>
      </w:pPr>
    </w:p>
    <w:p w:rsidR="00AC6A05" w:rsidRPr="00AC6A05" w:rsidRDefault="00AC6A05" w:rsidP="00AC6A05">
      <w:pPr>
        <w:jc w:val="both"/>
        <w:rPr>
          <w:b/>
        </w:rPr>
      </w:pPr>
      <w:r w:rsidRPr="00AC6A05">
        <w:rPr>
          <w:b/>
        </w:rPr>
        <w:t>5. Prekių kokybė</w:t>
      </w:r>
    </w:p>
    <w:p w:rsidR="00AC6A05" w:rsidRPr="00AC6A05" w:rsidRDefault="00AC6A05" w:rsidP="00AC6A05">
      <w:pPr>
        <w:jc w:val="both"/>
      </w:pPr>
      <w:r w:rsidRPr="00AC6A05">
        <w:t>5.1. Prekės turi atitikti Sutartyje ir jos priede (-</w:t>
      </w:r>
      <w:proofErr w:type="spellStart"/>
      <w:r w:rsidRPr="00AC6A05">
        <w:t>uose</w:t>
      </w:r>
      <w:proofErr w:type="spellEnd"/>
      <w:r w:rsidRPr="00AC6A05">
        <w:t xml:space="preserve">) nurodytus reikalavimus. </w:t>
      </w:r>
    </w:p>
    <w:p w:rsidR="00AC6A05" w:rsidRPr="00AC6A05" w:rsidRDefault="00AC6A05" w:rsidP="00AC6A05">
      <w:pPr>
        <w:jc w:val="both"/>
      </w:pPr>
      <w:r w:rsidRPr="00AC6A05">
        <w:t xml:space="preserve">5.2. </w:t>
      </w:r>
      <w:r w:rsidRPr="00AC6A05">
        <w:rPr>
          <w:b/>
        </w:rPr>
        <w:t>Pardavėjas</w:t>
      </w:r>
      <w:r w:rsidRPr="00AC6A05">
        <w:t xml:space="preserve"> sutinka, kad, vadovaujantis LKS STANAG 4107 reikalavimais, Valstybinio kokybės užtikrinimo atstovas Lietuvoje gali kreiptis į atitinkamą NATO valstybės ar organizacijos Valstybinio kokybės užtikrinimo padalinį </w:t>
      </w:r>
      <w:r w:rsidRPr="00AC6A05">
        <w:rPr>
          <w:b/>
        </w:rPr>
        <w:t>Pardavėjo</w:t>
      </w:r>
      <w:r w:rsidRPr="00AC6A05">
        <w:t xml:space="preserve"> valstybėje, kad būtų vykdoma Valstybinio kokybės užtikrinimo priežiūra sutarties vykdymo laikotarpiu (</w:t>
      </w:r>
      <w:r w:rsidRPr="00AC6A05">
        <w:rPr>
          <w:i/>
        </w:rPr>
        <w:t>jei spec. dalyje nurodyta, kad ši sąlyga taikoma).</w:t>
      </w:r>
      <w:r w:rsidRPr="00AC6A05">
        <w:t xml:space="preserve"> Jeigu </w:t>
      </w:r>
      <w:r w:rsidRPr="00AC6A05">
        <w:rPr>
          <w:b/>
        </w:rPr>
        <w:t>Pardavėjas</w:t>
      </w:r>
      <w:r w:rsidRPr="00AC6A05">
        <w:t xml:space="preserve"> nėra gamintojas, šis reikalavimas įtraukiamas į </w:t>
      </w:r>
      <w:r w:rsidRPr="00AC6A05">
        <w:rPr>
          <w:b/>
        </w:rPr>
        <w:t>Pardavėjo</w:t>
      </w:r>
      <w:r w:rsidRPr="00AC6A05">
        <w:t xml:space="preserve"> sutartį su jam prekes gaminsiančiu tiekėju, apie tai informuojant </w:t>
      </w:r>
      <w:r w:rsidRPr="00AC6A05">
        <w:rPr>
          <w:b/>
        </w:rPr>
        <w:t>Pirkėją</w:t>
      </w:r>
      <w:r w:rsidRPr="00AC6A05">
        <w:t xml:space="preserve"> ir pateikiant atitinkamus dokumentus (</w:t>
      </w:r>
      <w:r w:rsidRPr="00AC6A05">
        <w:rPr>
          <w:i/>
        </w:rPr>
        <w:t>jei spec. dalyje nurodyta, kad ši sąlyga taikoma).</w:t>
      </w:r>
    </w:p>
    <w:p w:rsidR="00AC6A05" w:rsidRPr="00AC6A05" w:rsidRDefault="00AC6A05" w:rsidP="00AC6A05">
      <w:pPr>
        <w:jc w:val="both"/>
      </w:pPr>
      <w:r w:rsidRPr="00AC6A05">
        <w:t>5.3. Prekių priėmimo metu nustačius jų neatitikimą Sutartyje ir jos priede (-</w:t>
      </w:r>
      <w:proofErr w:type="spellStart"/>
      <w:r w:rsidRPr="00AC6A05">
        <w:t>uose</w:t>
      </w:r>
      <w:proofErr w:type="spellEnd"/>
      <w:r w:rsidRPr="00AC6A05">
        <w:t xml:space="preserve">) nustatytiems reikalavimams, nedelsiant kviečiami </w:t>
      </w:r>
      <w:r w:rsidRPr="00AC6A05">
        <w:rPr>
          <w:b/>
        </w:rPr>
        <w:t>Pardavėjo</w:t>
      </w:r>
      <w:r w:rsidRPr="00AC6A05">
        <w:t xml:space="preserve"> atstovai, kuriems dalyvaujant surašomas aktas, prekės nepriimamos, o </w:t>
      </w:r>
      <w:r w:rsidRPr="00AC6A05">
        <w:rPr>
          <w:b/>
        </w:rPr>
        <w:t xml:space="preserve">Pardavėjui </w:t>
      </w:r>
      <w:r w:rsidRPr="00AC6A05">
        <w:t>taikoma sutartinė atsakomybė, jeigu prekių pristatymo terminas jau pasibaigęs.</w:t>
      </w:r>
    </w:p>
    <w:p w:rsidR="00AC6A05" w:rsidRPr="00AC6A05" w:rsidRDefault="00AC6A05" w:rsidP="00AC6A05">
      <w:pPr>
        <w:jc w:val="both"/>
      </w:pPr>
      <w:r w:rsidRPr="00AC6A05">
        <w:t>5.4. Tuo atveju, kai konfliktas dėl prekių kokybės ir jų atitikimo Sutartyje ir jos priede (-</w:t>
      </w:r>
      <w:proofErr w:type="spellStart"/>
      <w:r w:rsidRPr="00AC6A05">
        <w:t>uose</w:t>
      </w:r>
      <w:proofErr w:type="spellEnd"/>
      <w:r w:rsidRPr="00AC6A05">
        <w:t>) nustatytiems reikalavimams negali būti išspręstas Sutarties Šalių susitarimu, Šalys turi teisę kviesti nepriklausomus ekspertus. Visas su ekspertų darbu susijusias išlaidas padengia Šalis, kurios nenaudai priimtas ekspertų sprendimas.</w:t>
      </w:r>
    </w:p>
    <w:p w:rsidR="00AC6A05" w:rsidRPr="00AC6A05" w:rsidRDefault="00AC6A05" w:rsidP="00AC6A05">
      <w:pPr>
        <w:jc w:val="both"/>
      </w:pPr>
      <w:r w:rsidRPr="00AC6A05">
        <w:t xml:space="preserve">5.5. </w:t>
      </w:r>
      <w:r w:rsidRPr="00AC6A05">
        <w:rPr>
          <w:b/>
        </w:rPr>
        <w:t>Pirkėjui</w:t>
      </w:r>
      <w:r w:rsidRPr="00AC6A05">
        <w:t xml:space="preserve">, vadovaujantis Sutarties bendrosios dalies 4.2 punktu, nusprendus prekėms atlikti laboratorinius bandymus, iš pasirinktos prekių partijos (siuntos), dalyvaujant </w:t>
      </w:r>
      <w:r w:rsidRPr="00AC6A05">
        <w:rPr>
          <w:b/>
        </w:rPr>
        <w:t>Pardavėjo</w:t>
      </w:r>
      <w:r w:rsidRPr="00AC6A05">
        <w:t xml:space="preserve"> atstovui, pasirenkamas Sutarties specialioje dalyje nurodytas prekių kiekis, kurių atitikimas reikalavimams, nustatytiems Sutartyje ir jos priede (-</w:t>
      </w:r>
      <w:proofErr w:type="spellStart"/>
      <w:r w:rsidRPr="00AC6A05">
        <w:t>uose</w:t>
      </w:r>
      <w:proofErr w:type="spellEnd"/>
      <w:r w:rsidRPr="00AC6A05">
        <w:t xml:space="preserve">) bus tikrinamas </w:t>
      </w:r>
      <w:r w:rsidRPr="00AC6A05">
        <w:rPr>
          <w:i/>
        </w:rPr>
        <w:t>(jei spec. dalyje nurodyta, kad ši sąlyga taikoma)</w:t>
      </w:r>
      <w:r w:rsidRPr="00AC6A05">
        <w:t>.</w:t>
      </w:r>
    </w:p>
    <w:p w:rsidR="00AC6A05" w:rsidRPr="00AC6A05" w:rsidRDefault="00AC6A05" w:rsidP="00AC6A05">
      <w:pPr>
        <w:jc w:val="both"/>
      </w:pPr>
      <w:r w:rsidRPr="00AC6A05">
        <w:t>5.6. Jeigu laboratorinių bandymų metu patikrinus prekių atitikimą reikalavimams, nustatytiems Sutartyje ir jos priede (-</w:t>
      </w:r>
      <w:proofErr w:type="spellStart"/>
      <w:r w:rsidRPr="00AC6A05">
        <w:t>uose</w:t>
      </w:r>
      <w:proofErr w:type="spellEnd"/>
      <w:r w:rsidRPr="00AC6A05">
        <w:t xml:space="preserve">), nustatoma, kad prekės jų neatitinka, jos nepriimamos, likusios prekės (partija ir/ar siunta) grąžinamos </w:t>
      </w:r>
      <w:r w:rsidRPr="00AC6A05">
        <w:rPr>
          <w:b/>
        </w:rPr>
        <w:t>Pardavėju</w:t>
      </w:r>
      <w:r w:rsidRPr="00AC6A05">
        <w:t xml:space="preserve">i. Už prekes neapmokama bei laikoma, kad prekės nebuvo pristatytos, o </w:t>
      </w:r>
      <w:r w:rsidRPr="00AC6A05">
        <w:rPr>
          <w:b/>
        </w:rPr>
        <w:t xml:space="preserve">Pardavėjui </w:t>
      </w:r>
      <w:r w:rsidRPr="00AC6A05">
        <w:t>taikomos sutarties bendrosios dalies 11.1 punkte numatytos sankcijos. Nustačius prekių neatitikimą Sutartyje ir jos priede (-</w:t>
      </w:r>
      <w:proofErr w:type="spellStart"/>
      <w:r w:rsidRPr="00AC6A05">
        <w:t>uose</w:t>
      </w:r>
      <w:proofErr w:type="spellEnd"/>
      <w:r w:rsidRPr="00AC6A05">
        <w:t xml:space="preserve">) nustatytiems reikalavimams, už bandymams panaudotas prekes neapmokama, o </w:t>
      </w:r>
      <w:r w:rsidRPr="00AC6A05">
        <w:rPr>
          <w:b/>
        </w:rPr>
        <w:t>Pardavėjas</w:t>
      </w:r>
      <w:r w:rsidRPr="00AC6A05">
        <w:t xml:space="preserve"> turi apmokėti laboratorinių bandymų išlaidas bei sumokėti </w:t>
      </w:r>
      <w:r w:rsidRPr="00AC6A05">
        <w:rPr>
          <w:b/>
        </w:rPr>
        <w:t>Pirkėju</w:t>
      </w:r>
      <w:r w:rsidRPr="00AC6A05">
        <w:t>i 10% dydžio nuo išbrokuotos partijos kainos be PVM Šalių iš anksto sutartus minimalius nuostolius, kurie skirti atlyginti</w:t>
      </w:r>
      <w:r w:rsidRPr="00AC6A05">
        <w:rPr>
          <w:b/>
        </w:rPr>
        <w:t xml:space="preserve"> Pirkėjo</w:t>
      </w:r>
      <w:r w:rsidRPr="00AC6A05">
        <w:t xml:space="preserve"> patirtas administracines išlaidas, organizuojant prekių laboratorinių bandymų procedūras. Tokiu atveju </w:t>
      </w:r>
      <w:r w:rsidRPr="00AC6A05">
        <w:rPr>
          <w:b/>
        </w:rPr>
        <w:t>Pardavėjas</w:t>
      </w:r>
      <w:r w:rsidRPr="00AC6A05">
        <w:t xml:space="preserve"> privalo vietoj nepriimtų prekių, neatitinkančių Sutartyje ir jos priede (-</w:t>
      </w:r>
      <w:proofErr w:type="spellStart"/>
      <w:r w:rsidRPr="00AC6A05">
        <w:t>uose</w:t>
      </w:r>
      <w:proofErr w:type="spellEnd"/>
      <w:r w:rsidRPr="00AC6A05">
        <w:t>) nustatytiems reikalavimams, pristatyti naujas, Sutarties ir jos priede (-</w:t>
      </w:r>
      <w:proofErr w:type="spellStart"/>
      <w:r w:rsidRPr="00AC6A05">
        <w:t>uose</w:t>
      </w:r>
      <w:proofErr w:type="spellEnd"/>
      <w:r w:rsidRPr="00AC6A05">
        <w:t>) nustatytus reikalavimus atitinkančias prekes..</w:t>
      </w:r>
    </w:p>
    <w:p w:rsidR="00AC6A05" w:rsidRPr="00AC6A05" w:rsidRDefault="00AC6A05" w:rsidP="00AC6A05">
      <w:pPr>
        <w:jc w:val="both"/>
      </w:pPr>
      <w:r w:rsidRPr="00AC6A05">
        <w:t>5.7. Jeigu laboratorinių bandymų metu patikrinus prekių atitikimą reikalavimams, nustatytiems Sutartyje ir jos priede (-</w:t>
      </w:r>
      <w:proofErr w:type="spellStart"/>
      <w:r w:rsidRPr="00AC6A05">
        <w:t>uose</w:t>
      </w:r>
      <w:proofErr w:type="spellEnd"/>
      <w:r w:rsidRPr="00AC6A05">
        <w:t xml:space="preserve">), nustatoma, kad prekės juos atitinka, </w:t>
      </w:r>
      <w:r w:rsidRPr="00AC6A05">
        <w:rPr>
          <w:b/>
        </w:rPr>
        <w:t>Pirkėjas</w:t>
      </w:r>
      <w:r w:rsidRPr="00AC6A05">
        <w:t xml:space="preserve"> apmoka laboratorinių bandymų išlaidas, o </w:t>
      </w:r>
      <w:r w:rsidRPr="00AC6A05">
        <w:rPr>
          <w:b/>
        </w:rPr>
        <w:t>Pardavėjas</w:t>
      </w:r>
      <w:r w:rsidRPr="00AC6A05">
        <w:t xml:space="preserve"> turi laboratoriniams bandymams panaudotas prekes pakeisti </w:t>
      </w:r>
      <w:r w:rsidRPr="00AC6A05">
        <w:rPr>
          <w:b/>
        </w:rPr>
        <w:t>Pirkėjui</w:t>
      </w:r>
      <w:r w:rsidRPr="00AC6A05">
        <w:t xml:space="preserve"> naujomis prekėmis be papildomo apmokėjimo.</w:t>
      </w:r>
    </w:p>
    <w:p w:rsidR="00AC6A05" w:rsidRPr="00AC6A05" w:rsidRDefault="00AC6A05" w:rsidP="00AC6A05">
      <w:pPr>
        <w:jc w:val="both"/>
        <w:rPr>
          <w:b/>
        </w:rPr>
      </w:pPr>
    </w:p>
    <w:p w:rsidR="00AC6A05" w:rsidRPr="00AC6A05" w:rsidRDefault="00AC6A05" w:rsidP="00AC6A05">
      <w:pPr>
        <w:jc w:val="both"/>
        <w:rPr>
          <w:b/>
        </w:rPr>
      </w:pPr>
      <w:r w:rsidRPr="00AC6A05">
        <w:rPr>
          <w:b/>
        </w:rPr>
        <w:t>6. Prekės kokybės garantija</w:t>
      </w:r>
    </w:p>
    <w:p w:rsidR="00AC6A05" w:rsidRPr="00AC6A05" w:rsidRDefault="00AC6A05" w:rsidP="00AC6A05">
      <w:pPr>
        <w:jc w:val="both"/>
      </w:pPr>
      <w:r w:rsidRPr="00AC6A05">
        <w:t>6.1. Prekėms suteikiamas Sutarties specialiojoje dalyje (arba Sutarties priede) nurodytas kokybės garantijos/tinkamumo naudoti terminas.</w:t>
      </w:r>
    </w:p>
    <w:p w:rsidR="00AC6A05" w:rsidRPr="00AC6A05" w:rsidRDefault="00AC6A05" w:rsidP="00AC6A05">
      <w:pPr>
        <w:jc w:val="both"/>
      </w:pPr>
      <w:r w:rsidRPr="00AC6A05">
        <w:t xml:space="preserve">6.2. Kokybės garantijos/tinkamumo naudoti termino metu </w:t>
      </w:r>
      <w:r w:rsidRPr="00AC6A05">
        <w:rPr>
          <w:b/>
        </w:rPr>
        <w:t>Pardavėjas</w:t>
      </w:r>
      <w:r w:rsidRPr="00AC6A05">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C6A05">
        <w:t>uose</w:t>
      </w:r>
      <w:proofErr w:type="spellEnd"/>
      <w:r w:rsidRPr="00AC6A05">
        <w:t xml:space="preserve">) nustatytus reikalavimus </w:t>
      </w:r>
      <w:r w:rsidRPr="00AC6A05">
        <w:rPr>
          <w:i/>
        </w:rPr>
        <w:t>(jei spec. dalyje nurodyta, kad ši sąlyga taikoma)</w:t>
      </w:r>
      <w:r w:rsidRPr="00AC6A05">
        <w:t>.</w:t>
      </w:r>
    </w:p>
    <w:p w:rsidR="00AC6A05" w:rsidRPr="00AC6A05" w:rsidRDefault="00AC6A05" w:rsidP="00AC6A05">
      <w:pPr>
        <w:jc w:val="both"/>
      </w:pPr>
      <w:r w:rsidRPr="00AC6A05">
        <w:t>6.3.</w:t>
      </w:r>
      <w:r w:rsidRPr="00AC6A05">
        <w:rPr>
          <w:b/>
        </w:rPr>
        <w:t xml:space="preserve"> </w:t>
      </w:r>
      <w:r w:rsidRPr="00AC6A05">
        <w:t xml:space="preserve">Kokybės garantijos termino metu </w:t>
      </w:r>
      <w:r w:rsidRPr="00AC6A05">
        <w:rPr>
          <w:b/>
        </w:rPr>
        <w:t>Pardavėjas</w:t>
      </w:r>
      <w:r w:rsidRPr="00AC6A05">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C6A05">
        <w:t>uose</w:t>
      </w:r>
      <w:proofErr w:type="spellEnd"/>
      <w:r w:rsidRPr="00AC6A05">
        <w:t xml:space="preserve">) nustatytus reikalavimus bei kompensuoti </w:t>
      </w:r>
      <w:r w:rsidRPr="00AC6A05">
        <w:rPr>
          <w:b/>
        </w:rPr>
        <w:t>Pirkėjo</w:t>
      </w:r>
      <w:r w:rsidRPr="00AC6A05">
        <w:t xml:space="preserve"> patirtus nuostolius (jeigu tokie buvo)/Tinkamumo naudoti termino metu </w:t>
      </w:r>
      <w:r w:rsidRPr="00AC6A05">
        <w:rPr>
          <w:b/>
        </w:rPr>
        <w:t xml:space="preserve">Pardavėjas </w:t>
      </w:r>
      <w:r w:rsidRPr="00AC6A05">
        <w:t xml:space="preserve">privalo ne vėliau kaip per Sutarties specialiojoje dalyje nustatytą terminą savo </w:t>
      </w:r>
      <w:r w:rsidRPr="00AC6A05">
        <w:lastRenderedPageBreak/>
        <w:t>sąskaita pakeisti prekes atitinkančiomis šioje Sutartyje ir jos priede (-</w:t>
      </w:r>
      <w:proofErr w:type="spellStart"/>
      <w:r w:rsidRPr="00AC6A05">
        <w:t>uose</w:t>
      </w:r>
      <w:proofErr w:type="spellEnd"/>
      <w:r w:rsidRPr="00AC6A05">
        <w:t xml:space="preserve">) nustatytiems reikalavimams bei kompensuoti </w:t>
      </w:r>
      <w:r w:rsidRPr="00AC6A05">
        <w:rPr>
          <w:b/>
        </w:rPr>
        <w:t>Mokėtojo</w:t>
      </w:r>
      <w:r w:rsidRPr="00AC6A05">
        <w:t xml:space="preserve"> patirtus nuostolius (jeigu tokie buvo). </w:t>
      </w:r>
    </w:p>
    <w:p w:rsidR="00AC6A05" w:rsidRPr="00AC6A05" w:rsidRDefault="00AC6A05" w:rsidP="00AC6A05">
      <w:pPr>
        <w:jc w:val="both"/>
      </w:pPr>
      <w:r w:rsidRPr="00AC6A05">
        <w:t xml:space="preserve">6.4. Apie kokybės garantijos termino metu pastebėtus prekių trūkumus </w:t>
      </w:r>
      <w:r w:rsidRPr="00AC6A05">
        <w:rPr>
          <w:b/>
        </w:rPr>
        <w:t>Mokėtojas</w:t>
      </w:r>
      <w:r w:rsidRPr="00AC6A05">
        <w:t xml:space="preserve"> arba </w:t>
      </w:r>
      <w:r w:rsidRPr="00AC6A05">
        <w:rPr>
          <w:b/>
        </w:rPr>
        <w:t>Gavėjas</w:t>
      </w:r>
      <w:r w:rsidRPr="00AC6A05">
        <w:t xml:space="preserve"> informuoja </w:t>
      </w:r>
      <w:r w:rsidRPr="00AC6A05">
        <w:rPr>
          <w:b/>
        </w:rPr>
        <w:t>Pirkėją</w:t>
      </w:r>
      <w:r w:rsidRPr="00AC6A05">
        <w:t xml:space="preserve">. </w:t>
      </w:r>
      <w:r w:rsidRPr="00AC6A05">
        <w:rPr>
          <w:b/>
        </w:rPr>
        <w:t>Pirkėjas</w:t>
      </w:r>
      <w:r w:rsidRPr="00AC6A05">
        <w:t xml:space="preserve"> remdamasis </w:t>
      </w:r>
      <w:r w:rsidRPr="00AC6A05">
        <w:rPr>
          <w:b/>
        </w:rPr>
        <w:t>Mokėtojo</w:t>
      </w:r>
      <w:r w:rsidRPr="00AC6A05">
        <w:t xml:space="preserve"> ar </w:t>
      </w:r>
      <w:r w:rsidRPr="00AC6A05">
        <w:rPr>
          <w:b/>
        </w:rPr>
        <w:t>Gavėjo</w:t>
      </w:r>
      <w:r w:rsidRPr="00AC6A05">
        <w:t xml:space="preserve"> pateikta informacija turi teisę raštu (paštu, el. paštu ar kt.) pareikšti pretenziją dėl prekių kokybės. Pretenziją galima pateikti viso</w:t>
      </w:r>
      <w:r w:rsidRPr="00AC6A05">
        <w:rPr>
          <w:b/>
        </w:rPr>
        <w:t xml:space="preserve"> </w:t>
      </w:r>
      <w:r w:rsidRPr="00AC6A05">
        <w:t>kokybės garantijos termino galiojimo metu.</w:t>
      </w:r>
    </w:p>
    <w:p w:rsidR="00AC6A05" w:rsidRPr="00AC6A05" w:rsidRDefault="00AC6A05" w:rsidP="00AC6A05">
      <w:pPr>
        <w:jc w:val="both"/>
        <w:rPr>
          <w:lang w:eastAsia="en-US"/>
        </w:rPr>
      </w:pPr>
      <w:r w:rsidRPr="00AC6A05">
        <w:t xml:space="preserve">6.5. </w:t>
      </w:r>
      <w:r w:rsidRPr="00AC6A05">
        <w:rPr>
          <w:b/>
          <w:lang w:eastAsia="en-US"/>
        </w:rPr>
        <w:t>Pirkėjas</w:t>
      </w:r>
      <w:r w:rsidRPr="00AC6A05">
        <w:rPr>
          <w:lang w:eastAsia="en-US"/>
        </w:rPr>
        <w:t xml:space="preserve"> prekių kokybės garantijos termino metu gali nuspręsti </w:t>
      </w:r>
      <w:r w:rsidRPr="00AC6A05">
        <w:t>atlikti laboratorinius bandymus iš pasirinktos prekių siuntos</w:t>
      </w:r>
      <w:r w:rsidRPr="00AC6A05">
        <w:rPr>
          <w:lang w:eastAsia="en-US"/>
        </w:rPr>
        <w:t xml:space="preserve"> arba kiekvienos partijos (jeigu siuntą sudaro kelios partijos)</w:t>
      </w:r>
      <w:r w:rsidRPr="00AC6A05">
        <w:t xml:space="preserve">, dalyvaujant </w:t>
      </w:r>
      <w:r w:rsidRPr="00AC6A05">
        <w:rPr>
          <w:b/>
        </w:rPr>
        <w:t>Pardavėjo</w:t>
      </w:r>
      <w:r w:rsidRPr="00AC6A05">
        <w:t xml:space="preserve"> atstovui, pasirenkant Sutarties specialioje dalyje nurodytą prekių kiekį, kurių atitikimas reikalavimams, nustatytiems Sutartyje ir jos priede (-</w:t>
      </w:r>
      <w:proofErr w:type="spellStart"/>
      <w:r w:rsidRPr="00AC6A05">
        <w:t>uose</w:t>
      </w:r>
      <w:proofErr w:type="spellEnd"/>
      <w:r w:rsidRPr="00AC6A05">
        <w:t>) bus tikrinamas.</w:t>
      </w:r>
      <w:r w:rsidRPr="00AC6A05">
        <w:rPr>
          <w:lang w:eastAsia="en-US"/>
        </w:rPr>
        <w:t xml:space="preserve"> Tuo atveju, kai gauti laboratorinių bandymų rezultatai neatitinka Sutarties ir jos priede (-</w:t>
      </w:r>
      <w:proofErr w:type="spellStart"/>
      <w:r w:rsidRPr="00AC6A05">
        <w:rPr>
          <w:lang w:eastAsia="en-US"/>
        </w:rPr>
        <w:t>uose</w:t>
      </w:r>
      <w:proofErr w:type="spellEnd"/>
      <w:r w:rsidRPr="00AC6A05">
        <w:rPr>
          <w:lang w:eastAsia="en-US"/>
        </w:rPr>
        <w:t xml:space="preserve">) prekėms nustatytų reikalavimų, brokuojama visa pristatyta prekių siunta/partija ir laboratorinių bandymų išlaidas, apmoka </w:t>
      </w:r>
      <w:r w:rsidRPr="00AC6A05">
        <w:rPr>
          <w:b/>
          <w:lang w:eastAsia="en-US"/>
        </w:rPr>
        <w:t>Pardavėjas</w:t>
      </w:r>
      <w:r w:rsidRPr="00AC6A05">
        <w:rPr>
          <w:lang w:eastAsia="en-US"/>
        </w:rPr>
        <w:t xml:space="preserve">. </w:t>
      </w:r>
      <w:r w:rsidRPr="00AC6A05">
        <w:rPr>
          <w:color w:val="000000"/>
          <w:lang w:eastAsia="en-US"/>
        </w:rPr>
        <w:t>Nustatytų reikalavimų neatitinkančių</w:t>
      </w:r>
      <w:r w:rsidRPr="00AC6A05">
        <w:rPr>
          <w:lang w:eastAsia="en-US"/>
        </w:rPr>
        <w:t xml:space="preserve"> prekių pakeitimas kokybiškomis vykdomas pagal Sutarties bendrosios dalies 6.3 punkto nuostatas </w:t>
      </w:r>
      <w:r w:rsidRPr="00AC6A05">
        <w:rPr>
          <w:i/>
        </w:rPr>
        <w:t>(jei spec. dalyje nurodyta, kad ši sąlyga taikoma)</w:t>
      </w:r>
      <w:r w:rsidRPr="00AC6A05">
        <w:t>.</w:t>
      </w:r>
    </w:p>
    <w:p w:rsidR="00AC6A05" w:rsidRPr="00AC6A05" w:rsidRDefault="00AC6A05" w:rsidP="00AC6A05">
      <w:pPr>
        <w:jc w:val="both"/>
      </w:pPr>
      <w:r w:rsidRPr="00AC6A05">
        <w:t xml:space="preserve">6.6. Jeigu prekė pakeičiama nauja, jai suteikiamas toks pats Sutarties specialiojoje dalyje nurodytas garantinis terminas, kuris skaičiuojamas nuo dokumento, patvirtinančio naujos prekės perdavimą-priėmimą, pasirašymo dienos. </w:t>
      </w:r>
    </w:p>
    <w:p w:rsidR="00AC6A05" w:rsidRPr="00AC6A05" w:rsidRDefault="00AC6A05" w:rsidP="00AC6A05">
      <w:pPr>
        <w:jc w:val="both"/>
      </w:pPr>
      <w:r w:rsidRPr="00AC6A05">
        <w:t xml:space="preserve">6.7. Prekių, kuriomis </w:t>
      </w:r>
      <w:r w:rsidRPr="00AC6A05">
        <w:rPr>
          <w:b/>
        </w:rPr>
        <w:t>Mokėtojas ar Gavėjas</w:t>
      </w:r>
      <w:r w:rsidRPr="00AC6A05">
        <w:t xml:space="preserve"> negalėjo naudotis trūkumų šalinimo metu, kokybės garantijos terminas pratęsiamas laikotarpiu, kuris yra lygus prekės trūkumų šalinimo laikotarpiui.</w:t>
      </w:r>
    </w:p>
    <w:p w:rsidR="00AC6A05" w:rsidRPr="00AC6A05" w:rsidRDefault="00AC6A05" w:rsidP="00AC6A05">
      <w:pPr>
        <w:jc w:val="both"/>
      </w:pPr>
      <w:r w:rsidRPr="00AC6A05">
        <w:t xml:space="preserve">6.8. Sutarties specialiojoje dalyje (arba Sutarties priede) nurodyta kokybės garantija netaikoma, jeigu </w:t>
      </w:r>
      <w:r w:rsidRPr="00AC6A05">
        <w:rPr>
          <w:b/>
        </w:rPr>
        <w:t>Pardavėjas</w:t>
      </w:r>
      <w:r w:rsidRPr="00AC6A05">
        <w:t xml:space="preserve"> įrodys, kad prekių trūkumai atsirado dėl neteisingo ar netinkamo elgesio su prekėmis arba trečiųjų asmenų veiklos, arba nenugalimos jėgos.</w:t>
      </w:r>
    </w:p>
    <w:p w:rsidR="00AC6A05" w:rsidRPr="00AC6A05" w:rsidRDefault="00AC6A05" w:rsidP="00AC6A05">
      <w:pPr>
        <w:jc w:val="both"/>
      </w:pPr>
    </w:p>
    <w:p w:rsidR="00AC6A05" w:rsidRPr="00AC6A05" w:rsidRDefault="00AC6A05" w:rsidP="00AC6A05">
      <w:pPr>
        <w:jc w:val="both"/>
        <w:rPr>
          <w:b/>
        </w:rPr>
      </w:pPr>
      <w:r w:rsidRPr="00AC6A05">
        <w:rPr>
          <w:b/>
        </w:rPr>
        <w:t xml:space="preserve">7. Nenugalimos jėgos </w:t>
      </w:r>
      <w:r w:rsidRPr="00AC6A05">
        <w:rPr>
          <w:b/>
          <w:i/>
        </w:rPr>
        <w:t>(force majeure)</w:t>
      </w:r>
      <w:r w:rsidRPr="00AC6A05">
        <w:rPr>
          <w:b/>
        </w:rPr>
        <w:t xml:space="preserve"> aplinkybės.</w:t>
      </w:r>
    </w:p>
    <w:p w:rsidR="00AC6A05" w:rsidRPr="00AC6A05" w:rsidRDefault="00AC6A05" w:rsidP="00AC6A05">
      <w:pPr>
        <w:jc w:val="both"/>
      </w:pPr>
      <w:r w:rsidRPr="00AC6A05">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C6A05">
        <w:rPr>
          <w:i/>
          <w:iCs/>
        </w:rPr>
        <w:t>(force majeure)</w:t>
      </w:r>
      <w:r w:rsidRPr="00AC6A05">
        <w:t xml:space="preserve"> aplinkybėms taisyklėse, patvirtintose Lietuvos Respublikos Vyriausybės </w:t>
      </w:r>
      <w:smartTag w:uri="urn:schemas-microsoft-com:office:smarttags" w:element="metricconverter">
        <w:smartTagPr>
          <w:attr w:name="ProductID" w:val="1996ﾠm"/>
        </w:smartTagPr>
        <w:r w:rsidRPr="00AC6A05">
          <w:t>1996 m</w:t>
        </w:r>
      </w:smartTag>
      <w:r w:rsidRPr="00AC6A05">
        <w:t xml:space="preserve">. liepos 15 d. nutarimu Nr. 840. Nustatydamos nenugalimos jėgos aplinkybes Šalys vadovaujasi Lietuvos Respublikos Vyriausybės 1997 kovo 13 d. nutarimu Nr. 222 „Dėl nenugalimos jėgos </w:t>
      </w:r>
      <w:r w:rsidRPr="00AC6A05">
        <w:rPr>
          <w:i/>
          <w:iCs/>
        </w:rPr>
        <w:t>(force majeure)</w:t>
      </w:r>
      <w:r w:rsidRPr="00AC6A05">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C6A05" w:rsidRPr="00AC6A05" w:rsidRDefault="00AC6A05" w:rsidP="00AC6A05">
      <w:pPr>
        <w:jc w:val="both"/>
      </w:pPr>
      <w:r w:rsidRPr="00AC6A05">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C6A05">
        <w:t>įrodymus</w:t>
      </w:r>
      <w:proofErr w:type="spellEnd"/>
      <w:r w:rsidRPr="00AC6A05">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C6A05" w:rsidRPr="00AC6A05" w:rsidRDefault="00AC6A05" w:rsidP="00AC6A05">
      <w:pPr>
        <w:jc w:val="both"/>
      </w:pPr>
    </w:p>
    <w:p w:rsidR="00AC6A05" w:rsidRPr="00AC6A05" w:rsidRDefault="00AC6A05" w:rsidP="00AC6A05">
      <w:pPr>
        <w:jc w:val="both"/>
        <w:rPr>
          <w:b/>
          <w:lang w:eastAsia="en-US"/>
        </w:rPr>
      </w:pPr>
      <w:r w:rsidRPr="00AC6A05">
        <w:rPr>
          <w:b/>
          <w:lang w:eastAsia="en-US"/>
        </w:rPr>
        <w:t xml:space="preserve">8. Kodifikavimas </w:t>
      </w:r>
    </w:p>
    <w:p w:rsidR="00AC6A05" w:rsidRPr="00AC6A05" w:rsidRDefault="00AC6A05" w:rsidP="00AC6A05">
      <w:pPr>
        <w:jc w:val="both"/>
      </w:pPr>
      <w:r w:rsidRPr="00AC6A05">
        <w:t xml:space="preserve">8.1. Per 5 (penkias) dienas po Sutarties įsigaliojimo </w:t>
      </w:r>
      <w:r w:rsidRPr="00AC6A05">
        <w:rPr>
          <w:b/>
          <w:bCs/>
        </w:rPr>
        <w:t>Pardavėjas</w:t>
      </w:r>
      <w:r w:rsidRPr="00AC6A05">
        <w:t xml:space="preserve"> privalo pateikti </w:t>
      </w:r>
      <w:r w:rsidRPr="00AC6A05">
        <w:rPr>
          <w:b/>
        </w:rPr>
        <w:t xml:space="preserve">Pirkėjui </w:t>
      </w:r>
      <w:r w:rsidRPr="00AC6A05">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C6A05">
        <w:rPr>
          <w:b/>
          <w:bCs/>
        </w:rPr>
        <w:t>Pardavėjas</w:t>
      </w:r>
      <w:r w:rsidRPr="00AC6A05">
        <w:t xml:space="preserve"> turi pateikti užpildytas ir pasirašytas formas elektroniniu pavidalu arba popierines jų kopijas </w:t>
      </w:r>
      <w:r w:rsidRPr="00AC6A05">
        <w:rPr>
          <w:i/>
        </w:rPr>
        <w:t>(jei spec. dalyje nurodyta, kad ši sąlyga taikoma)</w:t>
      </w:r>
      <w:r w:rsidRPr="00AC6A05">
        <w:t>.</w:t>
      </w:r>
    </w:p>
    <w:p w:rsidR="00AC6A05" w:rsidRPr="00AC6A05" w:rsidRDefault="00AC6A05" w:rsidP="00AC6A05">
      <w:pPr>
        <w:jc w:val="both"/>
        <w:rPr>
          <w:iCs/>
          <w:lang w:eastAsia="en-US"/>
        </w:rPr>
      </w:pPr>
      <w:r w:rsidRPr="00AC6A05">
        <w:rPr>
          <w:iCs/>
          <w:lang w:eastAsia="en-US"/>
        </w:rPr>
        <w:t xml:space="preserve">8.2. </w:t>
      </w:r>
      <w:r w:rsidRPr="00AC6A05">
        <w:rPr>
          <w:b/>
          <w:bCs/>
          <w:lang w:eastAsia="en-US"/>
        </w:rPr>
        <w:t>Pirkėjui</w:t>
      </w:r>
      <w:r w:rsidRPr="00AC6A05">
        <w:rPr>
          <w:lang w:eastAsia="en-US"/>
        </w:rPr>
        <w:t xml:space="preserve"> pareikalavus, </w:t>
      </w:r>
      <w:r w:rsidRPr="00AC6A05">
        <w:rPr>
          <w:b/>
          <w:bCs/>
          <w:lang w:eastAsia="en-US"/>
        </w:rPr>
        <w:t>Pardavėjas</w:t>
      </w:r>
      <w:r w:rsidRPr="00AC6A05">
        <w:rPr>
          <w:lang w:eastAsia="en-US"/>
        </w:rPr>
        <w:t xml:space="preserve"> privalo per 5 (penkias) dienas nemokamai pateikti kodifikavimui reikalingą papildomą techninę dokumentaciją (pvz. technines charakteristikas, brėžinius, nuotraukas, katalogus, nuorodas ir pan.)</w:t>
      </w:r>
    </w:p>
    <w:p w:rsidR="00AC6A05" w:rsidRPr="00AC6A05" w:rsidRDefault="00AC6A05" w:rsidP="00AC6A05">
      <w:pPr>
        <w:jc w:val="both"/>
      </w:pPr>
    </w:p>
    <w:p w:rsidR="00AC6A05" w:rsidRPr="00AC6A05" w:rsidRDefault="00AC6A05" w:rsidP="00AC6A05">
      <w:pPr>
        <w:jc w:val="both"/>
        <w:rPr>
          <w:b/>
        </w:rPr>
      </w:pPr>
      <w:r w:rsidRPr="00AC6A05">
        <w:rPr>
          <w:b/>
        </w:rPr>
        <w:t>9. Sutarties nutraukimas</w:t>
      </w:r>
    </w:p>
    <w:p w:rsidR="00AC6A05" w:rsidRPr="00AC6A05" w:rsidRDefault="00AC6A05" w:rsidP="00AC6A05">
      <w:pPr>
        <w:jc w:val="both"/>
      </w:pPr>
      <w:r w:rsidRPr="00AC6A05">
        <w:lastRenderedPageBreak/>
        <w:t>9.1. Ši Sutartis gali būti nutraukta:</w:t>
      </w:r>
    </w:p>
    <w:p w:rsidR="00AC6A05" w:rsidRPr="00AC6A05" w:rsidRDefault="00AC6A05" w:rsidP="00AC6A05">
      <w:pPr>
        <w:jc w:val="both"/>
      </w:pPr>
      <w:r w:rsidRPr="00AC6A05">
        <w:t xml:space="preserve">9.1.1. raštišku </w:t>
      </w:r>
      <w:r w:rsidRPr="00AC6A05">
        <w:rPr>
          <w:bCs/>
        </w:rPr>
        <w:t>Šalių</w:t>
      </w:r>
      <w:r w:rsidRPr="00AC6A05">
        <w:t xml:space="preserve"> susitarimu; </w:t>
      </w:r>
    </w:p>
    <w:p w:rsidR="00AC6A05" w:rsidRPr="00AC6A05" w:rsidRDefault="00AC6A05" w:rsidP="00AC6A05">
      <w:pPr>
        <w:jc w:val="both"/>
      </w:pPr>
      <w:r w:rsidRPr="00AC6A05">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C6A05">
        <w:rPr>
          <w:color w:val="FF0000"/>
        </w:rPr>
        <w:t xml:space="preserve"> </w:t>
      </w:r>
      <w:r w:rsidRPr="00AC6A05">
        <w:t>kiekviena Sutarties šalis gali vienašališkai nutraukti Sutartį, pranešant apie tai kitai Sutarties šaliai raštu ne vėliau kaip prieš 7 (septynias) dienas.</w:t>
      </w:r>
    </w:p>
    <w:p w:rsidR="00AC6A05" w:rsidRPr="00AC6A05" w:rsidRDefault="00AC6A05" w:rsidP="00AC6A05">
      <w:pPr>
        <w:jc w:val="both"/>
        <w:rPr>
          <w:color w:val="000000"/>
        </w:rPr>
      </w:pPr>
      <w:r w:rsidRPr="00AC6A05">
        <w:t xml:space="preserve">9.2. </w:t>
      </w:r>
      <w:r w:rsidRPr="00AC6A05">
        <w:rPr>
          <w:b/>
          <w:bCs/>
        </w:rPr>
        <w:t xml:space="preserve">Pirkėjas, </w:t>
      </w:r>
      <w:r w:rsidRPr="00AC6A05">
        <w:rPr>
          <w:bCs/>
        </w:rPr>
        <w:t>ne vėliau kaip</w:t>
      </w:r>
      <w:r w:rsidRPr="00AC6A05">
        <w:rPr>
          <w:b/>
          <w:bCs/>
        </w:rPr>
        <w:t xml:space="preserve"> </w:t>
      </w:r>
      <w:r w:rsidRPr="00AC6A05">
        <w:t>prieš 7 (septynias) dienas (</w:t>
      </w:r>
      <w:r w:rsidRPr="00AC6A05">
        <w:rPr>
          <w:i/>
        </w:rPr>
        <w:t>jei spec. dalyje nenurodytas kitas terminas</w:t>
      </w:r>
      <w:r w:rsidRPr="00AC6A05">
        <w:t xml:space="preserve">) raštu informavęs </w:t>
      </w:r>
      <w:r w:rsidRPr="00AC6A05">
        <w:rPr>
          <w:b/>
          <w:bCs/>
        </w:rPr>
        <w:t xml:space="preserve">Pardavėją </w:t>
      </w:r>
      <w:r w:rsidRPr="00AC6A05">
        <w:rPr>
          <w:bCs/>
        </w:rPr>
        <w:t>turi teisę</w:t>
      </w:r>
      <w:r w:rsidRPr="00AC6A05">
        <w:t xml:space="preserve"> vienašališkai nutraukti Sutartį </w:t>
      </w:r>
      <w:r w:rsidRPr="00AC6A05">
        <w:rPr>
          <w:color w:val="000000"/>
        </w:rPr>
        <w:t>dėl esminio Sutarties pažeidimo. Esminiu Sutarties pažeidimu laikoma, jeigu:</w:t>
      </w:r>
    </w:p>
    <w:p w:rsidR="00AC6A05" w:rsidRPr="00AC6A05" w:rsidRDefault="00AC6A05" w:rsidP="00AC6A05">
      <w:pPr>
        <w:jc w:val="both"/>
      </w:pPr>
      <w:r w:rsidRPr="00AC6A05">
        <w:t xml:space="preserve">9.2.1. </w:t>
      </w:r>
      <w:r w:rsidRPr="00AC6A05">
        <w:rPr>
          <w:b/>
        </w:rPr>
        <w:t>Pardavėjas</w:t>
      </w:r>
      <w:r w:rsidRPr="00AC6A05">
        <w:t xml:space="preserve"> vėluoja pristatyti </w:t>
      </w:r>
      <w:r w:rsidRPr="00AC6A05">
        <w:rPr>
          <w:iCs/>
        </w:rPr>
        <w:t>prekes</w:t>
      </w:r>
      <w:r w:rsidRPr="00AC6A05">
        <w:t xml:space="preserve"> Sutarties specialioje dalyje nurodytu terminu; </w:t>
      </w:r>
    </w:p>
    <w:p w:rsidR="00AC6A05" w:rsidRPr="00AC6A05" w:rsidRDefault="00AC6A05" w:rsidP="00AC6A05">
      <w:pPr>
        <w:jc w:val="both"/>
      </w:pPr>
      <w:r w:rsidRPr="00AC6A05">
        <w:t xml:space="preserve">9.2.2. </w:t>
      </w:r>
      <w:r w:rsidRPr="00AC6A05">
        <w:rPr>
          <w:b/>
        </w:rPr>
        <w:t>Pardavėjas</w:t>
      </w:r>
      <w:r w:rsidRPr="00AC6A05">
        <w:t xml:space="preserve"> nevykdo (ar informuoja, kad negalės vykdyti) sutartinio įsipareigojimo tiekti prekes;</w:t>
      </w:r>
    </w:p>
    <w:p w:rsidR="00AC6A05" w:rsidRPr="00AC6A05" w:rsidRDefault="00AC6A05" w:rsidP="00AC6A05">
      <w:pPr>
        <w:jc w:val="both"/>
      </w:pPr>
      <w:r w:rsidRPr="00AC6A05">
        <w:t xml:space="preserve">9.2.3. </w:t>
      </w:r>
      <w:r w:rsidRPr="00AC6A05">
        <w:rPr>
          <w:b/>
        </w:rPr>
        <w:t>Pardavėjas</w:t>
      </w:r>
      <w:r w:rsidRPr="00AC6A05">
        <w:t xml:space="preserve"> didina prekių kainas/įkainius, išskyrus Sutarties bendrosios dalies 2.2 punkte numatytą atvejį;</w:t>
      </w:r>
    </w:p>
    <w:p w:rsidR="00AC6A05" w:rsidRPr="00AC6A05" w:rsidRDefault="00AC6A05" w:rsidP="00AC6A05">
      <w:pPr>
        <w:jc w:val="both"/>
      </w:pPr>
      <w:r w:rsidRPr="00AC6A05">
        <w:t xml:space="preserve">9.2.4. </w:t>
      </w:r>
      <w:r w:rsidRPr="00AC6A05">
        <w:rPr>
          <w:b/>
        </w:rPr>
        <w:t>Pardavėjas</w:t>
      </w:r>
      <w:r w:rsidRPr="00AC6A05">
        <w:t xml:space="preserve"> nevykdo arba netinkamai vykdo Sutarties bendrosios dalies 6 punkte numatytus garantinius įsipareigojimus;</w:t>
      </w:r>
    </w:p>
    <w:p w:rsidR="00AC6A05" w:rsidRPr="00AC6A05" w:rsidRDefault="00AC6A05" w:rsidP="00AC6A05">
      <w:pPr>
        <w:jc w:val="both"/>
      </w:pPr>
      <w:r w:rsidRPr="00AC6A05">
        <w:t xml:space="preserve">9.2.5. </w:t>
      </w:r>
      <w:r w:rsidRPr="00AC6A05">
        <w:rPr>
          <w:b/>
        </w:rPr>
        <w:t>Pardavėjas</w:t>
      </w:r>
      <w:r w:rsidRPr="00AC6A05">
        <w:t xml:space="preserve"> nevykdo Sutarties bendrosios dalies 12.4 punkte numatyto įsipareigojimo (</w:t>
      </w:r>
      <w:r w:rsidRPr="00AC6A05">
        <w:rPr>
          <w:i/>
        </w:rPr>
        <w:t>jeigu sutarties vykdymas bus užtikrintas laidavimu arba banko garantija</w:t>
      </w:r>
      <w:r w:rsidRPr="00AC6A05">
        <w:t>);</w:t>
      </w:r>
    </w:p>
    <w:p w:rsidR="00AC6A05" w:rsidRPr="00AC6A05" w:rsidRDefault="00AC6A05" w:rsidP="00AC6A05">
      <w:pPr>
        <w:jc w:val="both"/>
      </w:pPr>
      <w:r w:rsidRPr="00AC6A05">
        <w:t xml:space="preserve">9.2.6. </w:t>
      </w:r>
      <w:r w:rsidRPr="00AC6A05">
        <w:rPr>
          <w:b/>
        </w:rPr>
        <w:t>Pardavėjo</w:t>
      </w:r>
      <w:r w:rsidRPr="00AC6A05">
        <w:t xml:space="preserve"> pateiktos prekės ar jų kokybė neatitinka Sutartyje ir jos priede (-</w:t>
      </w:r>
      <w:proofErr w:type="spellStart"/>
      <w:r w:rsidRPr="00AC6A05">
        <w:t>uose</w:t>
      </w:r>
      <w:proofErr w:type="spellEnd"/>
      <w:r w:rsidRPr="00AC6A05">
        <w:t>) nustatytų reikalavimų;</w:t>
      </w:r>
    </w:p>
    <w:p w:rsidR="00AC6A05" w:rsidRPr="00AC6A05" w:rsidRDefault="00AC6A05" w:rsidP="00AC6A05">
      <w:pPr>
        <w:jc w:val="both"/>
      </w:pPr>
      <w:r w:rsidRPr="00AC6A05">
        <w:t xml:space="preserve">9.2.7. </w:t>
      </w:r>
      <w:r w:rsidRPr="00AC6A05">
        <w:rPr>
          <w:b/>
        </w:rPr>
        <w:t>Pardavėjas</w:t>
      </w:r>
      <w:r w:rsidRPr="00AC6A05">
        <w:t xml:space="preserve"> nustatytu laiku nepateikia avansinio apmokėjimo banko garantijos, kuri galiotų ne mažiau kaip nurodyta Sutarties bendrosios dalies 4.3 punkte (</w:t>
      </w:r>
      <w:r w:rsidRPr="00AC6A05">
        <w:rPr>
          <w:i/>
        </w:rPr>
        <w:t>jeigu pagal sutarties sąlygas numatytas avanso mokėjimas</w:t>
      </w:r>
      <w:r w:rsidRPr="00AC6A05">
        <w:t>);</w:t>
      </w:r>
    </w:p>
    <w:p w:rsidR="00AC6A05" w:rsidRPr="00AC6A05" w:rsidRDefault="00AC6A05" w:rsidP="00AC6A05">
      <w:pPr>
        <w:autoSpaceDE w:val="0"/>
        <w:autoSpaceDN w:val="0"/>
        <w:adjustRightInd w:val="0"/>
        <w:jc w:val="both"/>
        <w:rPr>
          <w:color w:val="000000"/>
          <w:szCs w:val="22"/>
          <w:lang w:eastAsia="en-US"/>
        </w:rPr>
      </w:pPr>
      <w:r w:rsidRPr="00AC6A05">
        <w:rPr>
          <w:color w:val="000000"/>
          <w:lang w:eastAsia="en-US"/>
        </w:rPr>
        <w:t>9.2.8.</w:t>
      </w:r>
      <w:r w:rsidRPr="00AC6A05">
        <w:rPr>
          <w:color w:val="000000"/>
          <w:szCs w:val="22"/>
          <w:lang w:eastAsia="en-US"/>
        </w:rPr>
        <w:t xml:space="preserve"> Sutarties galiojimo laikotarpiu </w:t>
      </w:r>
      <w:r w:rsidRPr="00AC6A05">
        <w:rPr>
          <w:b/>
          <w:color w:val="000000"/>
          <w:szCs w:val="22"/>
          <w:lang w:eastAsia="en-US"/>
        </w:rPr>
        <w:t xml:space="preserve">Pardavėjas </w:t>
      </w:r>
      <w:r w:rsidRPr="00AC6A05">
        <w:rPr>
          <w:color w:val="000000"/>
          <w:szCs w:val="22"/>
          <w:lang w:eastAsia="en-US"/>
        </w:rPr>
        <w:t>yra įtraukiamas į Nepatikimų tiekėjų ar Melagingą informaciją pateikusių tiekėjų sąrašus;</w:t>
      </w:r>
    </w:p>
    <w:p w:rsidR="00AC6A05" w:rsidRPr="00AC6A05" w:rsidRDefault="00AC6A05" w:rsidP="00AC6A05">
      <w:pPr>
        <w:autoSpaceDE w:val="0"/>
        <w:autoSpaceDN w:val="0"/>
        <w:adjustRightInd w:val="0"/>
        <w:jc w:val="both"/>
      </w:pPr>
      <w:r w:rsidRPr="00AC6A05">
        <w:rPr>
          <w:color w:val="000000"/>
          <w:lang w:eastAsia="en-US"/>
        </w:rPr>
        <w:t xml:space="preserve">9.2.9. Sutarties vykdymo metu paaiškėja, kad </w:t>
      </w:r>
      <w:r w:rsidRPr="00AC6A05">
        <w:rPr>
          <w:b/>
          <w:color w:val="000000"/>
          <w:lang w:eastAsia="en-US"/>
        </w:rPr>
        <w:t>Pardavėjas</w:t>
      </w:r>
      <w:r w:rsidRPr="00AC6A05">
        <w:rPr>
          <w:color w:val="000000"/>
          <w:lang w:eastAsia="en-US"/>
        </w:rPr>
        <w:t xml:space="preserve"> ar jo teikiamos prekės ar paslaugos</w:t>
      </w:r>
      <w:r w:rsidRPr="00AC6A05">
        <w:rPr>
          <w:b/>
          <w:color w:val="000000"/>
          <w:lang w:eastAsia="en-US"/>
        </w:rPr>
        <w:t xml:space="preserve"> </w:t>
      </w:r>
      <w:r w:rsidRPr="00AC6A05">
        <w:rPr>
          <w:color w:val="000000"/>
        </w:rPr>
        <w:t xml:space="preserve">nėra patikimos ir kelia pavojų nacionaliniam </w:t>
      </w:r>
      <w:r w:rsidRPr="00AC6A05">
        <w:t>saugumui;</w:t>
      </w:r>
    </w:p>
    <w:p w:rsidR="00AC6A05" w:rsidRPr="00AC6A05" w:rsidRDefault="00AC6A05" w:rsidP="00AC6A05">
      <w:pPr>
        <w:jc w:val="both"/>
      </w:pPr>
      <w:r w:rsidRPr="00AC6A05">
        <w:t>9.2.10. Sutarties vykdymo metu paaiškėja Viešųjų pirkimų įstatymo 46 straipsnio 1 dalyje/Viešųjų pirkimų, atliekamų gynybos ir saugumo srityje, įstatymo 34 straipsnio 1 dalyje numatytos aplinkybės;</w:t>
      </w:r>
    </w:p>
    <w:p w:rsidR="00AC6A05" w:rsidRPr="00AC6A05" w:rsidRDefault="00AC6A05" w:rsidP="00AC6A05">
      <w:pPr>
        <w:jc w:val="both"/>
      </w:pPr>
      <w:r w:rsidRPr="00AC6A05">
        <w:t>9.2.11. Sutarties vykdymo metu paaiškėja, kad Sutartis buvo pakeista pažeidžiant Viešųjų pirkimų įstatymo 89 straipsnį/Viešųjų pirkimų atliekamų gynybos ir saugumo srityje įstatymo 53 straipsnį.</w:t>
      </w:r>
    </w:p>
    <w:p w:rsidR="00AC6A05" w:rsidRPr="00AC6A05" w:rsidRDefault="00AC6A05" w:rsidP="00AC6A05">
      <w:pPr>
        <w:autoSpaceDE w:val="0"/>
        <w:autoSpaceDN w:val="0"/>
        <w:adjustRightInd w:val="0"/>
        <w:jc w:val="both"/>
        <w:rPr>
          <w:color w:val="000000"/>
          <w:highlight w:val="yellow"/>
          <w:lang w:eastAsia="en-US"/>
        </w:rPr>
      </w:pPr>
      <w:r w:rsidRPr="00AC6A05">
        <w:t xml:space="preserve">9.3. </w:t>
      </w:r>
      <w:r w:rsidRPr="00AC6A05">
        <w:rPr>
          <w:b/>
          <w:bCs/>
        </w:rPr>
        <w:t xml:space="preserve">Pirkėjas, </w:t>
      </w:r>
      <w:r w:rsidRPr="00AC6A05">
        <w:rPr>
          <w:bCs/>
        </w:rPr>
        <w:t>ne vėliau kaip</w:t>
      </w:r>
      <w:r w:rsidRPr="00AC6A05">
        <w:rPr>
          <w:b/>
          <w:bCs/>
        </w:rPr>
        <w:t xml:space="preserve"> </w:t>
      </w:r>
      <w:r w:rsidRPr="00AC6A05">
        <w:t>prieš 7 (septynias) dienas (</w:t>
      </w:r>
      <w:r w:rsidRPr="00AC6A05">
        <w:rPr>
          <w:i/>
          <w:color w:val="000000"/>
        </w:rPr>
        <w:t>jei  spec. dalyje nenurodytas kitas terminas</w:t>
      </w:r>
      <w:r w:rsidRPr="00AC6A05">
        <w:rPr>
          <w:color w:val="000000"/>
        </w:rPr>
        <w:t xml:space="preserve">) raštu informavęs </w:t>
      </w:r>
      <w:r w:rsidRPr="00AC6A05">
        <w:rPr>
          <w:b/>
          <w:bCs/>
          <w:color w:val="000000"/>
        </w:rPr>
        <w:t xml:space="preserve">Pardavėją </w:t>
      </w:r>
      <w:r w:rsidRPr="00AC6A05">
        <w:rPr>
          <w:bCs/>
          <w:color w:val="000000"/>
        </w:rPr>
        <w:t>turi teisę</w:t>
      </w:r>
      <w:r w:rsidRPr="00AC6A05">
        <w:rPr>
          <w:color w:val="000000"/>
        </w:rPr>
        <w:t xml:space="preserve"> vienašališkai nutraukti Sutartį, jeigu</w:t>
      </w:r>
      <w:r w:rsidRPr="00AC6A05">
        <w:rPr>
          <w:b/>
          <w:color w:val="000000"/>
        </w:rPr>
        <w:t xml:space="preserve"> Pardavėjas </w:t>
      </w:r>
      <w:r w:rsidRPr="00AC6A05">
        <w:rPr>
          <w:color w:val="000000"/>
        </w:rPr>
        <w:t>yra</w:t>
      </w:r>
      <w:r w:rsidRPr="00AC6A05">
        <w:rPr>
          <w:b/>
          <w:color w:val="000000"/>
        </w:rPr>
        <w:t xml:space="preserve"> </w:t>
      </w:r>
      <w:r w:rsidRPr="00AC6A05">
        <w:rPr>
          <w:color w:val="000000"/>
          <w:lang w:eastAsia="en-US"/>
        </w:rPr>
        <w:t xml:space="preserve">likviduojamas ar kreipiamasi į teismą dėl bankroto ar restruktūrizavimo bylos iškėlimo, arba </w:t>
      </w:r>
      <w:r w:rsidRPr="00AC6A05">
        <w:rPr>
          <w:color w:val="000000"/>
        </w:rPr>
        <w:t>jam iškelta bankroto ar restruktūrizavimo byla,</w:t>
      </w:r>
      <w:r w:rsidRPr="00AC6A05">
        <w:rPr>
          <w:color w:val="000000"/>
          <w:lang w:eastAsia="en-US"/>
        </w:rPr>
        <w:t xml:space="preserve"> arba priimamas sprendimas dėl neteisminės bankroto procedūros pradėjimo.</w:t>
      </w:r>
    </w:p>
    <w:p w:rsidR="00AC6A05" w:rsidRPr="00AC6A05" w:rsidRDefault="00AC6A05" w:rsidP="00AC6A05">
      <w:pPr>
        <w:jc w:val="both"/>
        <w:rPr>
          <w:i/>
        </w:rPr>
      </w:pPr>
      <w:r w:rsidRPr="00AC6A05">
        <w:rPr>
          <w:color w:val="000000"/>
        </w:rPr>
        <w:t xml:space="preserve">9.4. Nutraukus sutartį, </w:t>
      </w:r>
      <w:r w:rsidRPr="00AC6A05">
        <w:rPr>
          <w:b/>
          <w:color w:val="000000"/>
        </w:rPr>
        <w:t>Pardavėjas</w:t>
      </w:r>
      <w:r w:rsidRPr="00AC6A05">
        <w:rPr>
          <w:color w:val="000000"/>
        </w:rPr>
        <w:t xml:space="preserve"> per 10 (dešimt) dienų nuo Sutarties nutraukimo dienos turi grąžinti </w:t>
      </w:r>
      <w:r w:rsidRPr="00AC6A05">
        <w:rPr>
          <w:b/>
          <w:color w:val="000000"/>
        </w:rPr>
        <w:t xml:space="preserve">Mokėtojui </w:t>
      </w:r>
      <w:r w:rsidRPr="00AC6A05">
        <w:rPr>
          <w:color w:val="000000"/>
        </w:rPr>
        <w:t>jo sumokėtą avansą (jei toks buvo sumokėtas</w:t>
      </w:r>
      <w:r w:rsidRPr="00AC6A05">
        <w:t xml:space="preserve">) už prekes, kurios nebuvo pristatytos. </w:t>
      </w:r>
    </w:p>
    <w:p w:rsidR="00AC6A05" w:rsidRPr="00AC6A05" w:rsidRDefault="00AC6A05" w:rsidP="00AC6A05">
      <w:pPr>
        <w:jc w:val="both"/>
      </w:pPr>
    </w:p>
    <w:p w:rsidR="00AC6A05" w:rsidRPr="00AC6A05" w:rsidRDefault="00AC6A05" w:rsidP="00AC6A05">
      <w:pPr>
        <w:rPr>
          <w:b/>
        </w:rPr>
      </w:pPr>
      <w:r w:rsidRPr="00AC6A05">
        <w:rPr>
          <w:b/>
        </w:rPr>
        <w:t>10. Ginčų sprendimo tvarka</w:t>
      </w:r>
    </w:p>
    <w:p w:rsidR="00AC6A05" w:rsidRPr="00AC6A05" w:rsidRDefault="00AC6A05" w:rsidP="00AC6A05">
      <w:r w:rsidRPr="00AC6A05">
        <w:t>10.1. Sutartis sudaryta ir turi būti aiškinama pagal Lietuvos Respublikos teisę.</w:t>
      </w:r>
    </w:p>
    <w:p w:rsidR="00AC6A05" w:rsidRPr="00AC6A05" w:rsidRDefault="00AC6A05" w:rsidP="00AC6A05">
      <w:pPr>
        <w:jc w:val="both"/>
      </w:pPr>
      <w:r w:rsidRPr="00AC6A05">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C6A05">
        <w:rPr>
          <w:b/>
        </w:rPr>
        <w:t>Pirkėjo</w:t>
      </w:r>
      <w:r w:rsidRPr="00AC6A05">
        <w:t xml:space="preserve"> buveinės vietą.</w:t>
      </w:r>
    </w:p>
    <w:p w:rsidR="00AC6A05" w:rsidRPr="00AC6A05" w:rsidRDefault="00AC6A05" w:rsidP="00AC6A05">
      <w:pPr>
        <w:jc w:val="both"/>
      </w:pPr>
    </w:p>
    <w:p w:rsidR="00AC6A05" w:rsidRPr="00AC6A05" w:rsidRDefault="00AC6A05" w:rsidP="00AC6A05">
      <w:pPr>
        <w:jc w:val="both"/>
        <w:rPr>
          <w:b/>
        </w:rPr>
      </w:pPr>
      <w:r w:rsidRPr="00AC6A05">
        <w:rPr>
          <w:b/>
        </w:rPr>
        <w:t>11. Atsakomybė</w:t>
      </w:r>
    </w:p>
    <w:p w:rsidR="00AC6A05" w:rsidRPr="00AC6A05" w:rsidRDefault="00AC6A05" w:rsidP="00AC6A05">
      <w:pPr>
        <w:jc w:val="both"/>
      </w:pPr>
      <w:r w:rsidRPr="00AC6A05">
        <w:t xml:space="preserve">11.1. Pavėlavęs pristatyti prekes per Sutarties specialiojoje dalyje nurodytą terminą, </w:t>
      </w:r>
      <w:r w:rsidRPr="00AC6A05">
        <w:rPr>
          <w:b/>
        </w:rPr>
        <w:t>Pardavėjas</w:t>
      </w:r>
      <w:r w:rsidRPr="00AC6A05">
        <w:t xml:space="preserve"> moka </w:t>
      </w:r>
      <w:r w:rsidRPr="00AC6A05">
        <w:rPr>
          <w:b/>
        </w:rPr>
        <w:t xml:space="preserve">Pirkėjui </w:t>
      </w:r>
      <w:r w:rsidRPr="00AC6A05">
        <w:t>nuo 0,05 iki 0,2 % dydžio (konkretus dydis nurodomas Sutarties specialiojoje dalyje) nuo nepristatytų prekių kainos be PVM už kiekvieną uždelstą dieną/valandą (</w:t>
      </w:r>
      <w:r w:rsidRPr="00AC6A05">
        <w:rPr>
          <w:i/>
        </w:rPr>
        <w:t>taikoma priklausomai nuo to, kaip įsipareigojimo terminas (dienomis ar valandomis) yra skaičiuojamas Sutarties specialiojoje dalyje</w:t>
      </w:r>
      <w:r w:rsidRPr="00AC6A05">
        <w:t xml:space="preserve">) Šalių iš anksto sutartus minimalius nuostolius, kurių sumokėjimas neatleidžia </w:t>
      </w:r>
      <w:r w:rsidRPr="00AC6A05">
        <w:rPr>
          <w:b/>
          <w:bCs/>
        </w:rPr>
        <w:t>Pardavėjo</w:t>
      </w:r>
      <w:r w:rsidRPr="00AC6A05">
        <w:t xml:space="preserve"> nuo pareigos atlyginti visus </w:t>
      </w:r>
      <w:r w:rsidRPr="00AC6A05">
        <w:rPr>
          <w:b/>
          <w:bCs/>
        </w:rPr>
        <w:t>Mokėtojo</w:t>
      </w:r>
      <w:r w:rsidRPr="00AC6A05">
        <w:rPr>
          <w:b/>
        </w:rPr>
        <w:t xml:space="preserve"> </w:t>
      </w:r>
      <w:r w:rsidRPr="00AC6A05">
        <w:t xml:space="preserve">patirtus nuostolius </w:t>
      </w:r>
      <w:r w:rsidRPr="00AC6A05">
        <w:rPr>
          <w:b/>
        </w:rPr>
        <w:t>Pardavėjui</w:t>
      </w:r>
      <w:r w:rsidRPr="00AC6A05">
        <w:t xml:space="preserve"> nevykdant arba netinkamai vykdant Sutartį. </w:t>
      </w:r>
      <w:r w:rsidRPr="00AC6A05">
        <w:lastRenderedPageBreak/>
        <w:t xml:space="preserve">Šalių iš anksto sutartus minimalius nuostolius </w:t>
      </w:r>
      <w:r w:rsidRPr="00AC6A05">
        <w:rPr>
          <w:b/>
        </w:rPr>
        <w:t>Pardavėjas</w:t>
      </w:r>
      <w:r w:rsidRPr="00AC6A05">
        <w:t xml:space="preserve"> įsipareigoja sumokėti ne vėliau kaip per sąskaitoje faktūroje ar pareikalavime nurodytą terminą.</w:t>
      </w:r>
    </w:p>
    <w:p w:rsidR="00AC6A05" w:rsidRPr="00AC6A05" w:rsidRDefault="00AC6A05" w:rsidP="00AC6A05">
      <w:pPr>
        <w:jc w:val="both"/>
      </w:pPr>
      <w:r w:rsidRPr="00AC6A05">
        <w:t>11.2</w:t>
      </w:r>
      <w:r w:rsidRPr="00AC6A05">
        <w:rPr>
          <w:i/>
        </w:rPr>
        <w:t xml:space="preserve">. </w:t>
      </w:r>
      <w:r w:rsidRPr="00AC6A05">
        <w:t xml:space="preserve">Kokybės garantijos termino metu pavėlavęs per Sutarties specialioje dalyje nustatytą terminą įvykdyti Sutarties bendrosios dalies 6.2 punkte nustatytus įsipareigojimus, </w:t>
      </w:r>
      <w:r w:rsidRPr="00AC6A05">
        <w:rPr>
          <w:b/>
        </w:rPr>
        <w:t>Pardavėjas</w:t>
      </w:r>
      <w:r w:rsidRPr="00AC6A05">
        <w:t xml:space="preserve"> moka </w:t>
      </w:r>
      <w:r w:rsidRPr="00AC6A05">
        <w:rPr>
          <w:b/>
        </w:rPr>
        <w:t xml:space="preserve">Pirkėjui </w:t>
      </w:r>
      <w:r w:rsidRPr="00AC6A05">
        <w:t>nuo 0,05 iki 0,2 % dydžio (konkretus dydis nurodomas Sutarties specialiojoje dalyje) nuo prekių, kurioms yra nesuteiktos pakaitinės prekės, kainos/įkainių</w:t>
      </w:r>
      <w:r w:rsidRPr="00AC6A05">
        <w:rPr>
          <w:color w:val="FF0000"/>
        </w:rPr>
        <w:t xml:space="preserve"> </w:t>
      </w:r>
      <w:r w:rsidRPr="00AC6A05">
        <w:t>be PVM už kiekvieną uždelstą dieną/valandą</w:t>
      </w:r>
      <w:r w:rsidRPr="00AC6A05">
        <w:rPr>
          <w:i/>
        </w:rPr>
        <w:t xml:space="preserve"> </w:t>
      </w:r>
      <w:r w:rsidRPr="00AC6A05">
        <w:t>Šalių iš anksto sutartus minimalius nuostolius,</w:t>
      </w:r>
      <w:r w:rsidRPr="00AC6A05">
        <w:rPr>
          <w:bCs/>
        </w:rPr>
        <w:t xml:space="preserve"> kurių sumokėjimas neatleidžia </w:t>
      </w:r>
      <w:r w:rsidRPr="00AC6A05">
        <w:rPr>
          <w:b/>
          <w:bCs/>
        </w:rPr>
        <w:t xml:space="preserve">Pardavėjo </w:t>
      </w:r>
      <w:r w:rsidRPr="00AC6A05">
        <w:rPr>
          <w:bCs/>
        </w:rPr>
        <w:t xml:space="preserve">nuo pareigos atlyginti visus </w:t>
      </w:r>
      <w:r w:rsidRPr="00AC6A05">
        <w:rPr>
          <w:b/>
          <w:bCs/>
        </w:rPr>
        <w:t>Mokėtojo</w:t>
      </w:r>
      <w:r w:rsidRPr="00AC6A05">
        <w:rPr>
          <w:bCs/>
        </w:rPr>
        <w:t xml:space="preserve"> patirtus nuostolius</w:t>
      </w:r>
      <w:r w:rsidRPr="00AC6A05">
        <w:t xml:space="preserve"> </w:t>
      </w:r>
      <w:r w:rsidRPr="00AC6A05">
        <w:rPr>
          <w:b/>
        </w:rPr>
        <w:t>Pardavėjui</w:t>
      </w:r>
      <w:r w:rsidRPr="00AC6A05">
        <w:t xml:space="preserve"> nevykdant arba netinkamai vykdant savo įsipareigojimus, susijusius su prekių garantija/tinkamumo naudoti terminu.</w:t>
      </w:r>
    </w:p>
    <w:p w:rsidR="00AC6A05" w:rsidRPr="00AC6A05" w:rsidRDefault="00AC6A05" w:rsidP="00AC6A05">
      <w:pPr>
        <w:jc w:val="both"/>
      </w:pPr>
      <w:r w:rsidRPr="00AC6A05">
        <w:t xml:space="preserve">11.3. Garantinio/tinkamumo naudoti termino metu pavėlavęs per Sutarties specialioje dalyje nustatytą terminą įvykdyti Sutarties bendrosios dalies 6.3 punkte nustatytus įsipareigojimus, </w:t>
      </w:r>
      <w:r w:rsidRPr="00AC6A05">
        <w:rPr>
          <w:b/>
        </w:rPr>
        <w:t>Pardavėjas</w:t>
      </w:r>
      <w:r w:rsidRPr="00AC6A05">
        <w:t xml:space="preserve"> moka Pirkėjui nuo 0,05 iki 0,2 % dydžio (konkretus dydis nurodomas Sutarties specialiojoje dalyje) nuo prekių, kurių trūkumai nepašalinti, ar prekių, kurios yra nepakeistos, kainos</w:t>
      </w:r>
      <w:r w:rsidRPr="00AC6A05">
        <w:rPr>
          <w:color w:val="FF0000"/>
        </w:rPr>
        <w:t xml:space="preserve"> </w:t>
      </w:r>
      <w:r w:rsidRPr="00AC6A05">
        <w:t>be PVM už kiekvieną uždelstą dieną/valandą</w:t>
      </w:r>
      <w:r w:rsidRPr="00AC6A05">
        <w:rPr>
          <w:i/>
        </w:rPr>
        <w:t xml:space="preserve"> </w:t>
      </w:r>
      <w:r w:rsidRPr="00AC6A05">
        <w:t>Šalių iš anksto sutartus minimalius nuostolius,</w:t>
      </w:r>
      <w:r w:rsidRPr="00AC6A05">
        <w:rPr>
          <w:bCs/>
        </w:rPr>
        <w:t xml:space="preserve"> kurių sumokėjimas neatleidžia </w:t>
      </w:r>
      <w:r w:rsidRPr="00AC6A05">
        <w:rPr>
          <w:b/>
          <w:bCs/>
        </w:rPr>
        <w:t xml:space="preserve">Pardavėjo </w:t>
      </w:r>
      <w:r w:rsidRPr="00AC6A05">
        <w:rPr>
          <w:bCs/>
        </w:rPr>
        <w:t xml:space="preserve">nuo pareigos atlyginti visus </w:t>
      </w:r>
      <w:r w:rsidRPr="00AC6A05">
        <w:rPr>
          <w:b/>
          <w:bCs/>
        </w:rPr>
        <w:t xml:space="preserve">Mokėtojo </w:t>
      </w:r>
      <w:r w:rsidRPr="00AC6A05">
        <w:rPr>
          <w:bCs/>
        </w:rPr>
        <w:t>patirtus nuostolius</w:t>
      </w:r>
      <w:r w:rsidRPr="00AC6A05">
        <w:t xml:space="preserve"> </w:t>
      </w:r>
      <w:r w:rsidRPr="00AC6A05">
        <w:rPr>
          <w:b/>
        </w:rPr>
        <w:t>Pardavėjui</w:t>
      </w:r>
      <w:r w:rsidRPr="00AC6A05">
        <w:t xml:space="preserve"> nevykdant arba netinkamai vykdant savo įsipareigojimus, susijusius su prekių garantija/tinkamumo naudoti terminu.</w:t>
      </w:r>
    </w:p>
    <w:p w:rsidR="00AC6A05" w:rsidRPr="00AC6A05" w:rsidRDefault="00AC6A05" w:rsidP="00AC6A05">
      <w:pPr>
        <w:jc w:val="both"/>
      </w:pPr>
      <w:r w:rsidRPr="00AC6A05">
        <w:t>11.4. Nutraukus Sutartį dėl Sutarties bendrojoje dalyje 9.2.1, 9.2.2, 9.2.3, 9.2.5, 9.2.6, 9.2.7, 9.3 punktuose ar kitų Sutarties specialiojoje dalyje</w:t>
      </w:r>
      <w:r w:rsidRPr="00AC6A05">
        <w:rPr>
          <w:b/>
        </w:rPr>
        <w:t xml:space="preserve"> </w:t>
      </w:r>
      <w:r w:rsidRPr="00AC6A05">
        <w:t xml:space="preserve">išvardintų priežasčių, </w:t>
      </w:r>
      <w:r w:rsidRPr="00AC6A05">
        <w:rPr>
          <w:b/>
        </w:rPr>
        <w:t>Pardavėjas</w:t>
      </w:r>
      <w:r w:rsidRPr="00AC6A05">
        <w:t xml:space="preserve"> per 14 (keturiolika) dienų (skaičiuojant nuo Sutarties nutraukimo dienos) turi sumokėti</w:t>
      </w:r>
      <w:r w:rsidRPr="00AC6A05">
        <w:rPr>
          <w:b/>
          <w:bCs/>
        </w:rPr>
        <w:t xml:space="preserve"> Pirkėjui</w:t>
      </w:r>
      <w:r w:rsidRPr="00AC6A05">
        <w:rPr>
          <w:b/>
        </w:rPr>
        <w:t xml:space="preserve"> </w:t>
      </w:r>
      <w:r w:rsidRPr="00AC6A05">
        <w:t>ne mažiau kaip</w:t>
      </w:r>
      <w:r w:rsidRPr="00AC6A05">
        <w:rPr>
          <w:b/>
        </w:rPr>
        <w:t xml:space="preserve"> </w:t>
      </w:r>
      <w:r w:rsidRPr="00AC6A05">
        <w:t>5</w:t>
      </w:r>
      <w:r w:rsidRPr="00AC6A05">
        <w:rPr>
          <w:b/>
        </w:rPr>
        <w:t>-</w:t>
      </w:r>
      <w:r w:rsidRPr="00AC6A05">
        <w:t xml:space="preserve">7  % sutarties kainos be PVM (arba bendros pasiūlymo kainos be PVM, arba bendros užsakymo kainos be PVM) (konkretus procentinis dydis arba konkreti fiksuota suma nurodoma Sutarties specialioje dalyje) </w:t>
      </w:r>
      <w:r w:rsidRPr="00AC6A05">
        <w:rPr>
          <w:bCs/>
        </w:rPr>
        <w:t xml:space="preserve">Šalių </w:t>
      </w:r>
      <w:r w:rsidRPr="00AC6A05">
        <w:t xml:space="preserve">iš anksto sutartų minimalių nuostolių, bet ne daugiau kaip visų pagal šią Sutartį neįvykdytų įsipareigojimų kainos be PVM. Šalių iš anksto sutartų minimalių nuostolių sumokėjimas neatleidžia </w:t>
      </w:r>
      <w:r w:rsidRPr="00AC6A05">
        <w:rPr>
          <w:b/>
        </w:rPr>
        <w:t>Pardavėjo</w:t>
      </w:r>
      <w:r w:rsidRPr="00AC6A05">
        <w:t xml:space="preserve"> nuo pareigos atlyginti visus </w:t>
      </w:r>
      <w:r w:rsidRPr="00AC6A05">
        <w:rPr>
          <w:b/>
          <w:bCs/>
        </w:rPr>
        <w:t>Mokėtojo</w:t>
      </w:r>
      <w:r w:rsidRPr="00AC6A05">
        <w:t xml:space="preserve"> patirtus nuostolius, </w:t>
      </w:r>
      <w:r w:rsidRPr="00AC6A05">
        <w:rPr>
          <w:b/>
        </w:rPr>
        <w:t>Pardavėjui</w:t>
      </w:r>
      <w:r w:rsidRPr="00AC6A05">
        <w:t xml:space="preserve"> nevykdant ar netinkamai vykdant sutartį. Šalių iš anksto sutartus minimalius nuostolius </w:t>
      </w:r>
      <w:r w:rsidRPr="00AC6A05">
        <w:rPr>
          <w:b/>
        </w:rPr>
        <w:t>Pardavėjas</w:t>
      </w:r>
      <w:r w:rsidRPr="00AC6A05">
        <w:t xml:space="preserve"> įsipareigoja sumokėti ne vėliau kaip per sąskaitoje faktūroje ar pareikalavime nurodytą terminą.</w:t>
      </w:r>
    </w:p>
    <w:p w:rsidR="00AC6A05" w:rsidRPr="00AC6A05" w:rsidRDefault="00AC6A05" w:rsidP="00AC6A05">
      <w:pPr>
        <w:jc w:val="both"/>
        <w:rPr>
          <w:b/>
        </w:rPr>
      </w:pPr>
      <w:r w:rsidRPr="00AC6A05">
        <w:t xml:space="preserve">11.5. Nutraukus Sutartį dėl Sutarties bendrojoje dalyje 9.2.4 punkte nurodytos priežasties, </w:t>
      </w:r>
      <w:r w:rsidRPr="00AC6A05">
        <w:rPr>
          <w:b/>
        </w:rPr>
        <w:t>Pardavėjas</w:t>
      </w:r>
      <w:r w:rsidRPr="00AC6A05">
        <w:t xml:space="preserve"> per 7 (septynias) dienas (skaičiuojant nuo Sutarties nutraukimo dienos) turi sumokėti</w:t>
      </w:r>
      <w:r w:rsidRPr="00AC6A05">
        <w:rPr>
          <w:b/>
          <w:bCs/>
        </w:rPr>
        <w:t xml:space="preserve"> Mokėtojui</w:t>
      </w:r>
      <w:r w:rsidRPr="00AC6A05">
        <w:rPr>
          <w:b/>
        </w:rPr>
        <w:t xml:space="preserve"> </w:t>
      </w:r>
      <w:r w:rsidRPr="00AC6A05">
        <w:t>prekių su trūkumais įsigijimo kainos be PVM dydžio</w:t>
      </w:r>
      <w:r w:rsidRPr="00AC6A05">
        <w:rPr>
          <w:b/>
        </w:rPr>
        <w:t xml:space="preserve"> </w:t>
      </w:r>
      <w:r w:rsidRPr="00AC6A05">
        <w:rPr>
          <w:bCs/>
        </w:rPr>
        <w:t xml:space="preserve">Šalių </w:t>
      </w:r>
      <w:r w:rsidRPr="00AC6A05">
        <w:t xml:space="preserve">iš anksto sutartus minimalius nuostolius, bet ne daugiau kaip visų pagal šią Sutartį neįvykdytų įsipareigojimų kainos be PVM. Šalių iš anksto sutartų minimalių nuostolių sumokėjimas neatleidžia </w:t>
      </w:r>
      <w:r w:rsidRPr="00AC6A05">
        <w:rPr>
          <w:b/>
        </w:rPr>
        <w:t>Pardavėjo</w:t>
      </w:r>
      <w:r w:rsidRPr="00AC6A05">
        <w:t xml:space="preserve"> nuo pareigos atlyginti visus </w:t>
      </w:r>
      <w:r w:rsidRPr="00AC6A05">
        <w:rPr>
          <w:b/>
        </w:rPr>
        <w:t>Mokėtojo</w:t>
      </w:r>
      <w:r w:rsidRPr="00AC6A05">
        <w:t xml:space="preserve"> patirtus nuostolius, </w:t>
      </w:r>
      <w:r w:rsidRPr="00AC6A05">
        <w:rPr>
          <w:b/>
        </w:rPr>
        <w:t>Pardavėjui</w:t>
      </w:r>
      <w:r w:rsidRPr="00AC6A05">
        <w:t xml:space="preserve"> nevykdant ar netinkamai vykdant Sutartį. </w:t>
      </w:r>
    </w:p>
    <w:p w:rsidR="00AC6A05" w:rsidRPr="00AC6A05" w:rsidRDefault="00AC6A05" w:rsidP="00AC6A05">
      <w:pPr>
        <w:jc w:val="both"/>
      </w:pPr>
      <w:r w:rsidRPr="00AC6A05">
        <w:t xml:space="preserve">11.6. Kiti sutartinės atsakomybės taikymo </w:t>
      </w:r>
      <w:r w:rsidRPr="00AC6A05">
        <w:rPr>
          <w:b/>
        </w:rPr>
        <w:t>Pardavėjui</w:t>
      </w:r>
      <w:r w:rsidRPr="00AC6A05">
        <w:t xml:space="preserve"> atvejai nurodyti Sutarties specialiojoje dalyje.</w:t>
      </w:r>
    </w:p>
    <w:p w:rsidR="00AC6A05" w:rsidRPr="00AC6A05" w:rsidRDefault="00AC6A05" w:rsidP="00AC6A05">
      <w:pPr>
        <w:jc w:val="both"/>
      </w:pPr>
      <w:r w:rsidRPr="00AC6A05">
        <w:t xml:space="preserve">11.7. Vadovaujantis Lietuvos Respublikos civilinio kodekso 6.253 str. 1 ir 3 dalimis, finansavimo vėlavimas iš biudžeto yra sąlyga visiškai atleidžianti nuo civilinės atsakomybės ir palūkanų mokėjimo </w:t>
      </w:r>
      <w:r w:rsidRPr="00AC6A05">
        <w:rPr>
          <w:b/>
        </w:rPr>
        <w:t>Pardavėjui</w:t>
      </w:r>
      <w:r w:rsidRPr="00AC6A05">
        <w:t xml:space="preserve"> už pavėluotą atsiskaitymą.</w:t>
      </w:r>
    </w:p>
    <w:p w:rsidR="00AC6A05" w:rsidRPr="00AC6A05" w:rsidRDefault="00AC6A05" w:rsidP="00AC6A05">
      <w:pPr>
        <w:jc w:val="both"/>
      </w:pPr>
    </w:p>
    <w:p w:rsidR="00AC6A05" w:rsidRPr="00AC6A05" w:rsidRDefault="00AC6A05" w:rsidP="00AC6A05">
      <w:pPr>
        <w:jc w:val="both"/>
        <w:rPr>
          <w:b/>
        </w:rPr>
      </w:pPr>
      <w:r w:rsidRPr="00AC6A05">
        <w:rPr>
          <w:b/>
        </w:rPr>
        <w:t>12. Sutarties galiojimas</w:t>
      </w:r>
    </w:p>
    <w:p w:rsidR="00AC6A05" w:rsidRPr="00AC6A05" w:rsidRDefault="00AC6A05" w:rsidP="00AC6A05">
      <w:pPr>
        <w:jc w:val="both"/>
      </w:pPr>
      <w:r w:rsidRPr="00AC6A05">
        <w:t xml:space="preserve">12.1. Sutartis įsigalioja abiem Šalims ją pasirašius ir </w:t>
      </w:r>
      <w:r w:rsidRPr="00AC6A05">
        <w:rPr>
          <w:b/>
        </w:rPr>
        <w:t>Pardavėjui</w:t>
      </w:r>
      <w:r w:rsidRPr="00AC6A05">
        <w:t xml:space="preserve"> pateikus </w:t>
      </w:r>
      <w:r w:rsidRPr="00AC6A05">
        <w:rPr>
          <w:b/>
        </w:rPr>
        <w:t xml:space="preserve">Pirkėjui </w:t>
      </w:r>
      <w:r w:rsidRPr="00AC6A05">
        <w:t xml:space="preserve">Sutarties įvykdymo užtikrinimo banko garantiją ar draudimo bendrovės laidavimo raštą </w:t>
      </w:r>
      <w:r w:rsidRPr="00AC6A05">
        <w:rPr>
          <w:i/>
        </w:rPr>
        <w:t>(Sutarties įsigaliojimo kai pateikiamas užtikrinimas sąlyga taikoma, jeigu Sutarties spec. dalyje nurodyta, kad Sutarties vykdymas bus užtikrintas laidavimu arba banko garantija)</w:t>
      </w:r>
      <w:r w:rsidRPr="00AC6A05">
        <w:t xml:space="preserve">, užtikrinantį Sutarties bendrosios dalies 11.4 punkte nurodytos sumos sumokėjimą. Banko garantijoje ar draudimo bendrovės laidavimo rašte garantas/laiduotojas turi įsipareigoti </w:t>
      </w:r>
      <w:r w:rsidRPr="00AC6A05">
        <w:rPr>
          <w:b/>
        </w:rPr>
        <w:t>Pirkėjui</w:t>
      </w:r>
      <w:r w:rsidRPr="00AC6A05">
        <w:t xml:space="preserve"> sumokėti Sutarties bendrosios dalies 11.4 punkte nurodytą sumą </w:t>
      </w:r>
      <w:r w:rsidRPr="00AC6A05">
        <w:rPr>
          <w:b/>
        </w:rPr>
        <w:t xml:space="preserve">Pirkėjui </w:t>
      </w:r>
      <w:r w:rsidRPr="00AC6A05">
        <w:t>nutraukus Sutartį dėl bent vienos iš 9.2.1 -9.2.7, 9.3 punktuose ar kitų Sutarties specialiojoje dalyje</w:t>
      </w:r>
      <w:r w:rsidRPr="00AC6A05">
        <w:rPr>
          <w:b/>
        </w:rPr>
        <w:t xml:space="preserve"> </w:t>
      </w:r>
      <w:r w:rsidRPr="00AC6A05">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AC6A05" w:rsidRPr="00AC6A05" w:rsidRDefault="00AC6A05" w:rsidP="00AC6A05">
      <w:pPr>
        <w:jc w:val="both"/>
      </w:pPr>
      <w:r w:rsidRPr="00AC6A05">
        <w:t xml:space="preserve">12.2. Garantas/laiduotojas turi neatšaukiamai ir besąlygiškai įsipareigoti ne vėliau kaip per 14 (keturiolika) dienų nuo raštiško pranešimo, patvirtinančio Sutarties nutraukimą dėl Sutartyje numatytų pagrindų esant </w:t>
      </w:r>
      <w:r w:rsidRPr="00AC6A05">
        <w:rPr>
          <w:b/>
        </w:rPr>
        <w:t xml:space="preserve">Pardavėjo </w:t>
      </w:r>
      <w:r w:rsidRPr="00AC6A05">
        <w:t xml:space="preserve">kaltei, įvykdyti prievolę ir sumokėti įsipareigotą sumą, pinigus pervedant į </w:t>
      </w:r>
      <w:r w:rsidRPr="00AC6A05">
        <w:rPr>
          <w:b/>
        </w:rPr>
        <w:t>Pirkėjo</w:t>
      </w:r>
      <w:r w:rsidRPr="00AC6A05">
        <w:t xml:space="preserve"> sąskaitą.</w:t>
      </w:r>
    </w:p>
    <w:p w:rsidR="00AC6A05" w:rsidRPr="00AC6A05" w:rsidRDefault="00AC6A05" w:rsidP="00AC6A05">
      <w:pPr>
        <w:jc w:val="both"/>
        <w:rPr>
          <w:b/>
        </w:rPr>
      </w:pPr>
      <w:r w:rsidRPr="00AC6A05">
        <w:lastRenderedPageBreak/>
        <w:t>12.3.</w:t>
      </w:r>
      <w:r w:rsidRPr="00AC6A05">
        <w:rPr>
          <w:b/>
        </w:rPr>
        <w:t xml:space="preserve"> Pardavėjas</w:t>
      </w:r>
      <w:r w:rsidRPr="00AC6A05">
        <w:t xml:space="preserve"> ne vėliau kaip</w:t>
      </w:r>
      <w:r w:rsidRPr="00AC6A05">
        <w:rPr>
          <w:b/>
        </w:rPr>
        <w:t xml:space="preserve"> </w:t>
      </w:r>
      <w:r w:rsidRPr="00AC6A05">
        <w:t xml:space="preserve">per 5 (penkias) darbo dienas po Sutarties pasirašymo pateikia </w:t>
      </w:r>
      <w:r w:rsidRPr="00AC6A05">
        <w:rPr>
          <w:b/>
        </w:rPr>
        <w:t xml:space="preserve">Pirkėjui </w:t>
      </w:r>
      <w:r w:rsidRPr="00AC6A05">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C6A05">
        <w:rPr>
          <w:b/>
        </w:rPr>
        <w:t>Pardavėjas</w:t>
      </w:r>
      <w:r w:rsidRPr="00AC6A05">
        <w:t xml:space="preserve"> taip pat turi pateikti patvirtinimą iš draudimo bendrovės </w:t>
      </w:r>
      <w:r w:rsidRPr="00AC6A05">
        <w:rPr>
          <w:color w:val="000000"/>
        </w:rPr>
        <w:t>(apmokėjimą įrodantį dokumentą ar pan.)</w:t>
      </w:r>
      <w:r w:rsidRPr="00AC6A05">
        <w:t>, kad laidavimo raštas yra galiojantis</w:t>
      </w:r>
      <w:r w:rsidRPr="00AC6A05">
        <w:rPr>
          <w:i/>
        </w:rPr>
        <w:t>.</w:t>
      </w:r>
      <w:r w:rsidRPr="00AC6A05">
        <w:t xml:space="preserve"> Sutarties įvykdymo užtikrinimo banko garantijoje arba draudimo bendrovės laidavimo rašte nurodytos sumos sumokėjimas neturi būti siejamas su visišku </w:t>
      </w:r>
      <w:r w:rsidRPr="00AC6A05">
        <w:rPr>
          <w:b/>
        </w:rPr>
        <w:t>Pirkėjo</w:t>
      </w:r>
      <w:r w:rsidRPr="00AC6A05">
        <w:t xml:space="preserve"> patirtų nuostolių atlyginimu ir neatleidžia </w:t>
      </w:r>
      <w:r w:rsidRPr="00AC6A05">
        <w:rPr>
          <w:b/>
        </w:rPr>
        <w:t>Pardavėjo</w:t>
      </w:r>
      <w:r w:rsidRPr="00AC6A05">
        <w:t xml:space="preserve"> nuo pareigos juos atlyginti pilnai. </w:t>
      </w:r>
    </w:p>
    <w:p w:rsidR="00AC6A05" w:rsidRPr="00AC6A05" w:rsidRDefault="00AC6A05" w:rsidP="00AC6A05">
      <w:pPr>
        <w:jc w:val="both"/>
      </w:pPr>
      <w:r w:rsidRPr="00AC6A05">
        <w:t xml:space="preserve">12.4. Jei Sutarties vykdymo metu sutarties įvykdymo užtikrinimą išdavęs juridinis asmuo (bankas ar draudimo bendrovė) negali vykdyti savo įsipareigojimų (sustabdoma veikla, paskelbiamas moratoriumas ir pan.), </w:t>
      </w:r>
      <w:r w:rsidRPr="00AC6A05">
        <w:rPr>
          <w:b/>
        </w:rPr>
        <w:t>Pardavėjas</w:t>
      </w:r>
      <w:r w:rsidRPr="00AC6A05">
        <w:t xml:space="preserve"> per 10 (dešimt) dienų pateikia naują Sutarties vykdymo užtikrinimą, tokiomis pačiomis sąlygomis kaip ir ankstesnysis. Jei </w:t>
      </w:r>
      <w:r w:rsidRPr="00AC6A05">
        <w:rPr>
          <w:b/>
        </w:rPr>
        <w:t xml:space="preserve">Pardavėjas </w:t>
      </w:r>
      <w:r w:rsidRPr="00AC6A05">
        <w:t xml:space="preserve">nepateikia naujo Sutarties įvykdymo užtikrinimo, </w:t>
      </w:r>
      <w:r w:rsidRPr="00AC6A05">
        <w:rPr>
          <w:b/>
        </w:rPr>
        <w:t>Pirkėjas</w:t>
      </w:r>
      <w:r w:rsidRPr="00AC6A05">
        <w:t xml:space="preserve"> turi teisę nutraukti Sutartį, Sutarties bendrosios dalies 9.2.5 punkte nustatyta tvarka.</w:t>
      </w:r>
    </w:p>
    <w:p w:rsidR="00AC6A05" w:rsidRPr="00AC6A05" w:rsidRDefault="00AC6A05" w:rsidP="00AC6A05">
      <w:pPr>
        <w:jc w:val="both"/>
      </w:pPr>
      <w:r w:rsidRPr="00AC6A05">
        <w:t xml:space="preserve">12.5. Sutarties įvykdymo užtikrinimas grąžinamas per 10 (dešimt) dienų nuo šio užtikrinimo galiojimo termino pabaigos </w:t>
      </w:r>
      <w:r w:rsidRPr="00AC6A05">
        <w:rPr>
          <w:b/>
        </w:rPr>
        <w:t>Pardavėjui</w:t>
      </w:r>
      <w:r w:rsidRPr="00AC6A05">
        <w:t xml:space="preserve"> pateikus raštišką prašymą.</w:t>
      </w:r>
    </w:p>
    <w:p w:rsidR="00AC6A05" w:rsidRPr="00AC6A05" w:rsidRDefault="00AC6A05" w:rsidP="00AC6A05">
      <w:pPr>
        <w:jc w:val="both"/>
      </w:pPr>
      <w:r w:rsidRPr="00AC6A05">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AC6A05" w:rsidRPr="00AC6A05" w:rsidRDefault="00AC6A05" w:rsidP="00AC6A05">
      <w:pPr>
        <w:tabs>
          <w:tab w:val="left" w:pos="-360"/>
          <w:tab w:val="left" w:pos="0"/>
          <w:tab w:val="left" w:pos="1701"/>
        </w:tabs>
        <w:jc w:val="both"/>
      </w:pPr>
      <w:r w:rsidRPr="00AC6A05">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AC6A05" w:rsidRPr="00AC6A05" w:rsidRDefault="00AC6A05" w:rsidP="00AC6A05">
      <w:pPr>
        <w:jc w:val="both"/>
      </w:pPr>
      <w:r w:rsidRPr="00AC6A05">
        <w:t>12.8. Sutartis gali būti pratęsta Sutarties specialiojoje dalyje nustatytomis sąlygomis.</w:t>
      </w:r>
    </w:p>
    <w:p w:rsidR="00AC6A05" w:rsidRPr="00AC6A05" w:rsidRDefault="00AC6A05" w:rsidP="00AC6A05">
      <w:pPr>
        <w:jc w:val="both"/>
      </w:pPr>
      <w:r w:rsidRPr="00AC6A05">
        <w:t xml:space="preserve">12.9. Esant poreikiui, </w:t>
      </w:r>
      <w:r w:rsidRPr="00AC6A05">
        <w:rPr>
          <w:b/>
        </w:rPr>
        <w:t>Pirkėjas</w:t>
      </w:r>
      <w:r w:rsidRPr="00AC6A05">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C6A05">
        <w:t>uose</w:t>
      </w:r>
      <w:proofErr w:type="spellEnd"/>
      <w:r w:rsidRPr="00AC6A05">
        <w:t>) nenurodytas, tačiau su pirkimo objektu susijusias prekes</w:t>
      </w:r>
      <w:r w:rsidRPr="00AC6A05">
        <w:rPr>
          <w:b/>
        </w:rPr>
        <w:t xml:space="preserve"> Pardavėjas</w:t>
      </w:r>
      <w:r w:rsidRPr="00AC6A05">
        <w:t xml:space="preserve"> gali tiekti tik ne didesnėmis nei užsakymo dieną </w:t>
      </w:r>
      <w:r w:rsidRPr="00AC6A05">
        <w:rPr>
          <w:b/>
        </w:rPr>
        <w:t xml:space="preserve">Pardavėjo </w:t>
      </w:r>
      <w:r w:rsidRPr="00AC6A05">
        <w:t xml:space="preserve">prekybos vietoje, kataloge ar interneto svetainėje nurodytomis galiojančiomis šių prekių kainomis arba, jei tokios kainos neskelbiamos, </w:t>
      </w:r>
      <w:r w:rsidRPr="00AC6A05">
        <w:rPr>
          <w:b/>
        </w:rPr>
        <w:t>Pardavėjo</w:t>
      </w:r>
      <w:r w:rsidRPr="00AC6A05">
        <w:t xml:space="preserve"> pasiūlytomis, konkurencingomis ir rinką atitinkančiomis kainomis. Esant poreikiui įsigyti Sutartyje ir jos priede (-</w:t>
      </w:r>
      <w:proofErr w:type="spellStart"/>
      <w:r w:rsidRPr="00AC6A05">
        <w:t>uose</w:t>
      </w:r>
      <w:proofErr w:type="spellEnd"/>
      <w:r w:rsidRPr="00AC6A05">
        <w:t xml:space="preserve">) nenurodytų, tačiau su pirkimo objektu susijusių prekių </w:t>
      </w:r>
      <w:r w:rsidRPr="00AC6A05">
        <w:rPr>
          <w:b/>
        </w:rPr>
        <w:t>Pirkėjas</w:t>
      </w:r>
      <w:r w:rsidRPr="00AC6A05">
        <w:t xml:space="preserve"> ir </w:t>
      </w:r>
      <w:r w:rsidRPr="00AC6A05">
        <w:rPr>
          <w:b/>
        </w:rPr>
        <w:t>Pardavėjas</w:t>
      </w:r>
      <w:r w:rsidRPr="00AC6A05">
        <w:t xml:space="preserve"> sudaro papildomą rašytinį susitarimą, kurio sąlygos privalo būti analogiškos Sutarties sąlygoms, atitinkamai jas pritaikant prie naujai perkamų prekių </w:t>
      </w:r>
      <w:r w:rsidRPr="00AC6A05">
        <w:rPr>
          <w:i/>
        </w:rPr>
        <w:t>(jei spec. dalyje nurodyta, kad ši sąlyga taikoma)</w:t>
      </w:r>
      <w:r w:rsidRPr="00AC6A05">
        <w:t xml:space="preserve">. </w:t>
      </w:r>
    </w:p>
    <w:p w:rsidR="00AC6A05" w:rsidRPr="00AC6A05" w:rsidRDefault="00AC6A05" w:rsidP="00AC6A05">
      <w:pPr>
        <w:jc w:val="both"/>
      </w:pPr>
      <w:r w:rsidRPr="00AC6A05">
        <w:t>12.10. Sutarties specialiojoje dalyje numatyta Sutarties galiojimo termino pabaiga nereiškia Šalių prievolių pagal Sutartį pabaigos ir neatleidžia Šalių nuo civilinės atsakomybės už Sutarties pažeidimą.</w:t>
      </w:r>
    </w:p>
    <w:p w:rsidR="00AC6A05" w:rsidRPr="00AC6A05" w:rsidRDefault="00AC6A05" w:rsidP="00AC6A05">
      <w:pPr>
        <w:jc w:val="both"/>
        <w:rPr>
          <w:b/>
        </w:rPr>
      </w:pPr>
    </w:p>
    <w:p w:rsidR="00AC6A05" w:rsidRPr="00AC6A05" w:rsidRDefault="00AC6A05" w:rsidP="00AC6A05">
      <w:pPr>
        <w:ind w:right="125"/>
        <w:jc w:val="both"/>
        <w:rPr>
          <w:b/>
          <w:bCs/>
        </w:rPr>
      </w:pPr>
      <w:r w:rsidRPr="00AC6A05">
        <w:rPr>
          <w:b/>
          <w:bCs/>
        </w:rPr>
        <w:t>13. Susirašinėjimas</w:t>
      </w:r>
    </w:p>
    <w:p w:rsidR="00AC6A05" w:rsidRPr="00AC6A05" w:rsidRDefault="00AC6A05" w:rsidP="00AC6A05">
      <w:pPr>
        <w:ind w:right="125"/>
        <w:jc w:val="both"/>
      </w:pPr>
      <w:r w:rsidRPr="00AC6A05">
        <w:t xml:space="preserve">13.1. </w:t>
      </w:r>
      <w:r w:rsidRPr="00AC6A05">
        <w:rPr>
          <w:b/>
        </w:rPr>
        <w:t>Pirkėjo</w:t>
      </w:r>
      <w:r w:rsidRPr="00AC6A05">
        <w:t xml:space="preserve"> ir </w:t>
      </w:r>
      <w:r w:rsidRPr="00AC6A05">
        <w:rPr>
          <w:b/>
        </w:rPr>
        <w:t>Pardavėjo</w:t>
      </w:r>
      <w:r w:rsidRPr="00AC6A05">
        <w:t xml:space="preserve"> vienas kitam siunčiami pranešimai lietuvių/anglų (</w:t>
      </w:r>
      <w:r w:rsidRPr="00AC6A05">
        <w:rPr>
          <w:i/>
        </w:rPr>
        <w:t>taikoma, jeigu sutartis sudaroma anglų kalba</w:t>
      </w:r>
      <w:r w:rsidRPr="00AC6A05">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C6A05" w:rsidRPr="00AC6A05" w:rsidRDefault="00AC6A05" w:rsidP="00AC6A05">
      <w:pPr>
        <w:jc w:val="both"/>
      </w:pPr>
      <w:r w:rsidRPr="00AC6A05">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C6A05" w:rsidRPr="00AC6A05" w:rsidRDefault="00AC6A05" w:rsidP="00AC6A05">
      <w:pPr>
        <w:jc w:val="both"/>
        <w:rPr>
          <w:b/>
        </w:rPr>
      </w:pPr>
    </w:p>
    <w:p w:rsidR="00AC6A05" w:rsidRPr="00AC6A05" w:rsidRDefault="00AC6A05" w:rsidP="00AC6A05">
      <w:pPr>
        <w:jc w:val="both"/>
        <w:rPr>
          <w:b/>
          <w:bCs/>
          <w:lang w:eastAsia="en-US"/>
        </w:rPr>
      </w:pPr>
      <w:r w:rsidRPr="00AC6A05">
        <w:rPr>
          <w:b/>
        </w:rPr>
        <w:t xml:space="preserve">14. </w:t>
      </w:r>
      <w:r w:rsidRPr="00AC6A05">
        <w:rPr>
          <w:b/>
          <w:bCs/>
          <w:lang w:eastAsia="en-US"/>
        </w:rPr>
        <w:t>Informacijos konfidencialumas ir asmens duomenys</w:t>
      </w:r>
    </w:p>
    <w:p w:rsidR="00AC6A05" w:rsidRPr="00AC6A05" w:rsidRDefault="00AC6A05" w:rsidP="00AC6A05">
      <w:pPr>
        <w:jc w:val="both"/>
      </w:pPr>
      <w:r w:rsidRPr="00AC6A05">
        <w:lastRenderedPageBreak/>
        <w:t xml:space="preserve">14.1. Šalys privalo užtikrinti, kad informacija, kurią jos perduoda viena kitai, bus naudojama tik vykdant Sutartį ir nebus naudojama tokiu būdu, kuris pakenktų informaciją perdavusiai Šaliai. </w:t>
      </w:r>
    </w:p>
    <w:p w:rsidR="00AC6A05" w:rsidRPr="00AC6A05" w:rsidRDefault="00AC6A05" w:rsidP="00AC6A05">
      <w:pPr>
        <w:jc w:val="both"/>
      </w:pPr>
      <w:r w:rsidRPr="00AC6A05">
        <w:t xml:space="preserve">14.2. Šalys įsipareigoja užtikrinti visos joms žinomos ir (ar) patikėtos informacijos slaptumą Sutarties galiojimo metu ir pasibaigus Sutarties galiojimo laikotarpiui ar ją nutraukus. </w:t>
      </w:r>
    </w:p>
    <w:p w:rsidR="00AC6A05" w:rsidRPr="00AC6A05" w:rsidRDefault="00AC6A05" w:rsidP="00AC6A05">
      <w:pPr>
        <w:jc w:val="both"/>
      </w:pPr>
      <w:r w:rsidRPr="00AC6A05">
        <w:rPr>
          <w:bCs/>
        </w:rPr>
        <w:t>14.3.</w:t>
      </w:r>
      <w:r w:rsidRPr="00AC6A05">
        <w:rPr>
          <w:b/>
          <w:bCs/>
        </w:rPr>
        <w:t xml:space="preserve"> Pardavėjas</w:t>
      </w:r>
      <w:r w:rsidRPr="00AC6A05">
        <w:t xml:space="preserve"> įsipareigoja be </w:t>
      </w:r>
      <w:r w:rsidRPr="00AC6A05">
        <w:rPr>
          <w:b/>
          <w:bCs/>
        </w:rPr>
        <w:t>Pirkėjo</w:t>
      </w:r>
      <w:r w:rsidRPr="00AC6A05">
        <w:t xml:space="preserve"> išankstinio rašytinio sutikimo nenaudoti </w:t>
      </w:r>
      <w:r w:rsidRPr="00AC6A05">
        <w:rPr>
          <w:b/>
        </w:rPr>
        <w:t>Pirkėjo</w:t>
      </w:r>
      <w:r w:rsidRPr="00AC6A05">
        <w:t xml:space="preserve"> jam pateiktos informacijos nei savo, nei bet kokių trečiųjų asmenų naudai, neatskleisti tokios informacijos kitiems asmenims, išskyrus Lietuvos Respublikos teisės aktuose ir Sutartyje numatytus atvejus.</w:t>
      </w:r>
    </w:p>
    <w:p w:rsidR="00AC6A05" w:rsidRPr="00AC6A05" w:rsidRDefault="00AC6A05" w:rsidP="00AC6A05">
      <w:pPr>
        <w:jc w:val="both"/>
      </w:pPr>
      <w:r w:rsidRPr="00AC6A05">
        <w:t xml:space="preserve">14.4. Sutartyje ir jos prieduose nurodyti asmens duomenys (vardai, pavardės, pareigos, el. paštas, ar telefono numeris) gali būti naudojami tik nustatant Šalių, </w:t>
      </w:r>
      <w:r w:rsidRPr="00AC6A05">
        <w:rPr>
          <w:b/>
        </w:rPr>
        <w:t>Mokėtojo</w:t>
      </w:r>
      <w:r w:rsidRPr="00AC6A05">
        <w:t xml:space="preserve"> ar </w:t>
      </w:r>
      <w:r w:rsidRPr="00AC6A05">
        <w:rPr>
          <w:b/>
        </w:rPr>
        <w:t>Gavėjo</w:t>
      </w:r>
      <w:r w:rsidRPr="00AC6A05">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AC6A05" w:rsidRPr="00AC6A05" w:rsidRDefault="00AC6A05" w:rsidP="00AC6A05">
      <w:pPr>
        <w:jc w:val="both"/>
      </w:pPr>
      <w:r w:rsidRPr="00AC6A05">
        <w:t xml:space="preserve">14.5. Sutarties šalys užtikrina, kad su asmens duomenimis tvarkomais vykdant Sutartį susipažins tik tie asmenys, kuriems tai yra būtina vykdant įsipareigojimus pagal Sutartį. </w:t>
      </w:r>
    </w:p>
    <w:p w:rsidR="00AC6A05" w:rsidRPr="00AC6A05" w:rsidRDefault="00AC6A05" w:rsidP="00AC6A05">
      <w:pPr>
        <w:jc w:val="both"/>
      </w:pPr>
      <w:r w:rsidRPr="00AC6A05">
        <w:t xml:space="preserve">14.6. Sutartyje ir jos prieduose nurodyti asmens duomenys be atskiro kitos Šalies sutikimo negali būti perduoti tretiesiems asmenims, išskyrus </w:t>
      </w:r>
      <w:r w:rsidRPr="00AC6A05">
        <w:rPr>
          <w:b/>
        </w:rPr>
        <w:t>Pardavėjo</w:t>
      </w:r>
      <w:r w:rsidRPr="00AC6A05">
        <w:t xml:space="preserve"> įvardintus subtiekėjus, </w:t>
      </w:r>
      <w:r w:rsidRPr="00AC6A05">
        <w:rPr>
          <w:b/>
        </w:rPr>
        <w:t>Mokėtoją</w:t>
      </w:r>
      <w:r w:rsidRPr="00AC6A05">
        <w:t xml:space="preserve"> ir </w:t>
      </w:r>
      <w:r w:rsidRPr="00AC6A05">
        <w:rPr>
          <w:b/>
        </w:rPr>
        <w:t>Gavėją</w:t>
      </w:r>
      <w:r w:rsidRPr="00AC6A05">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AC6A05" w:rsidRPr="00AC6A05" w:rsidRDefault="00AC6A05" w:rsidP="00AC6A05">
      <w:pPr>
        <w:jc w:val="both"/>
      </w:pPr>
      <w:r w:rsidRPr="00AC6A05">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AC6A05" w:rsidRPr="00AC6A05" w:rsidRDefault="00AC6A05" w:rsidP="00AC6A05">
      <w:pPr>
        <w:jc w:val="both"/>
      </w:pPr>
      <w:r w:rsidRPr="00AC6A05">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C6A05" w:rsidRPr="00AC6A05" w:rsidRDefault="00AC6A05" w:rsidP="00AC6A05">
      <w:pPr>
        <w:jc w:val="both"/>
      </w:pPr>
      <w:r w:rsidRPr="00AC6A05">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AC6A05" w:rsidRPr="00AC6A05" w:rsidRDefault="00AC6A05" w:rsidP="00AC6A05">
      <w:pPr>
        <w:jc w:val="both"/>
      </w:pPr>
      <w:r w:rsidRPr="00AC6A05">
        <w:t>14.10. Šalys neatlygina viena kitos patirtų išlaidų ir nuostolių dėl asmens duomenų tvarkymo įsipareigojimų pagal šią Sutartį vykdymo.</w:t>
      </w:r>
    </w:p>
    <w:p w:rsidR="00AC6A05" w:rsidRPr="00AC6A05" w:rsidRDefault="00AC6A05" w:rsidP="00AC6A05">
      <w:pPr>
        <w:jc w:val="both"/>
      </w:pPr>
      <w:r w:rsidRPr="00AC6A05">
        <w:t xml:space="preserve">14.11. Pažeidęs Sutarties bendrosios dalies 14.3 punkte numatytą įsipareigojimą </w:t>
      </w:r>
      <w:r w:rsidRPr="00AC6A05">
        <w:rPr>
          <w:b/>
        </w:rPr>
        <w:t xml:space="preserve">Pardavėjas </w:t>
      </w:r>
      <w:r w:rsidRPr="00AC6A05">
        <w:t>privalo</w:t>
      </w:r>
      <w:r w:rsidRPr="00AC6A05">
        <w:rPr>
          <w:b/>
        </w:rPr>
        <w:t xml:space="preserve"> Pirkėjui </w:t>
      </w:r>
      <w:r w:rsidRPr="00AC6A05">
        <w:t>sumokėti 10 proc. dydžio maksimalios Sutarties vertės/pasiūlymo kainos be PVM Šalių iš anksto sutartų minimalių nuostolių dydžio sumą ir atlyginti kitus dėl tokio pažeidimo padarytus nuostolius.</w:t>
      </w:r>
    </w:p>
    <w:p w:rsidR="00AC6A05" w:rsidRPr="00AC6A05" w:rsidRDefault="00AC6A05" w:rsidP="00AC6A05">
      <w:pPr>
        <w:jc w:val="both"/>
        <w:rPr>
          <w:b/>
        </w:rPr>
      </w:pPr>
    </w:p>
    <w:p w:rsidR="00AC6A05" w:rsidRPr="00AC6A05" w:rsidRDefault="00AC6A05" w:rsidP="00AC6A05">
      <w:pPr>
        <w:jc w:val="both"/>
        <w:rPr>
          <w:b/>
        </w:rPr>
      </w:pPr>
      <w:r w:rsidRPr="00AC6A05">
        <w:rPr>
          <w:b/>
        </w:rPr>
        <w:t>15. Baigiamosios nuostatos</w:t>
      </w:r>
    </w:p>
    <w:p w:rsidR="00AC6A05" w:rsidRPr="00AC6A05" w:rsidRDefault="00AC6A05" w:rsidP="00AC6A05">
      <w:pPr>
        <w:jc w:val="both"/>
      </w:pPr>
      <w:r w:rsidRPr="00AC6A05">
        <w:t>15.1. Sutartis sudaryta lietuvių/anglų, lietuvių ir anglų kalba dviem/keturiais egzemplioriais (po vieną/du kiekvienai Šaliai) (</w:t>
      </w:r>
      <w:r w:rsidRPr="00AC6A05">
        <w:rPr>
          <w:i/>
        </w:rPr>
        <w:t>taikoma priklausomai nuo to</w:t>
      </w:r>
      <w:r w:rsidRPr="00AC6A05">
        <w:t xml:space="preserve"> </w:t>
      </w:r>
      <w:r w:rsidRPr="00AC6A05">
        <w:rPr>
          <w:i/>
        </w:rPr>
        <w:t>kokiomis kalbomis bus sudaroma sutartis</w:t>
      </w:r>
      <w:r w:rsidRPr="00AC6A05">
        <w:t xml:space="preserve">). Abu tekstai autentiški ir turi vienodą teisinę galią. Atsiradus </w:t>
      </w:r>
      <w:proofErr w:type="spellStart"/>
      <w:r w:rsidRPr="00AC6A05">
        <w:t>neatitikimams</w:t>
      </w:r>
      <w:proofErr w:type="spellEnd"/>
      <w:r w:rsidRPr="00AC6A05">
        <w:t xml:space="preserve"> tarp tekstų lietuvių ir anglų kalbomis, pirmenybė teikiama tekstui anglų kalba (taikoma, jeigu sutartis sudaroma su užsienio pardavėju </w:t>
      </w:r>
      <w:r w:rsidRPr="00AC6A05">
        <w:rPr>
          <w:i/>
        </w:rPr>
        <w:t xml:space="preserve">lietuvių ir anglų kalba </w:t>
      </w:r>
      <w:r w:rsidRPr="00AC6A05">
        <w:t>).</w:t>
      </w:r>
    </w:p>
    <w:p w:rsidR="00AC6A05" w:rsidRPr="00AC6A05" w:rsidRDefault="00AC6A05" w:rsidP="00AC6A05">
      <w:pPr>
        <w:jc w:val="both"/>
      </w:pPr>
      <w:r w:rsidRPr="00AC6A05">
        <w:t xml:space="preserve">15.2. Šią Sutartį sudaro Sutarties bendroji ir specialioji dalys bei Sutarties priedas (-ai). Visi šios Sutarties priedai yra neatskiriama Sutarties dalis. </w:t>
      </w:r>
    </w:p>
    <w:p w:rsidR="00AC6A05" w:rsidRPr="00AC6A05" w:rsidRDefault="00AC6A05" w:rsidP="00AC6A05">
      <w:pPr>
        <w:jc w:val="both"/>
      </w:pPr>
      <w:r w:rsidRPr="00AC6A05">
        <w:t>15.3. Nė viena iš Šalių neturi teisės perduoti trečiajam asmeniui teisių ir įsipareigojimų pagal šią Sutartį be išankstinio raštiško kitos Šalies sutikimo.</w:t>
      </w:r>
    </w:p>
    <w:p w:rsidR="00AC6A05" w:rsidRPr="00AC6A05" w:rsidRDefault="00AC6A05" w:rsidP="00AC6A05">
      <w:pPr>
        <w:jc w:val="both"/>
      </w:pPr>
      <w:r w:rsidRPr="00AC6A05">
        <w:t xml:space="preserve">15.4. Pažeidęs šios sutarties dalies 15.3 punkte nurodytą įpareigojimą </w:t>
      </w:r>
      <w:r w:rsidRPr="00AC6A05">
        <w:rPr>
          <w:b/>
        </w:rPr>
        <w:t>Pardavėjas</w:t>
      </w:r>
      <w:r w:rsidRPr="00AC6A05">
        <w:t xml:space="preserve"> moka </w:t>
      </w:r>
      <w:r w:rsidRPr="00AC6A05">
        <w:rPr>
          <w:b/>
        </w:rPr>
        <w:t xml:space="preserve">Pirkėjui </w:t>
      </w:r>
      <w:r w:rsidRPr="00AC6A05">
        <w:t>5 proc. maksimalios Sutarties/pasiūlymo</w:t>
      </w:r>
      <w:r w:rsidRPr="00AC6A05">
        <w:rPr>
          <w:b/>
        </w:rPr>
        <w:t xml:space="preserve"> </w:t>
      </w:r>
      <w:r w:rsidRPr="00AC6A05">
        <w:t>kainos be PVM dydžio šalių iš anksto sutartų minimalių nuostolių sumą, jeigu Sutarties specialiojoje dalyje nenustatyta kitaip.</w:t>
      </w:r>
    </w:p>
    <w:p w:rsidR="00AC6A05" w:rsidRPr="00AC6A05" w:rsidRDefault="00AC6A05" w:rsidP="00AC6A05">
      <w:pPr>
        <w:jc w:val="both"/>
      </w:pPr>
      <w:r w:rsidRPr="00AC6A05">
        <w:lastRenderedPageBreak/>
        <w:t xml:space="preserve">15.5. </w:t>
      </w:r>
      <w:r w:rsidRPr="00AC6A05">
        <w:rPr>
          <w:b/>
        </w:rPr>
        <w:t>Pardavėjas</w:t>
      </w:r>
      <w:r w:rsidRPr="00AC6A05">
        <w:t xml:space="preserve"> garantuoja, kad turi visas Sutarties įvykdymui reikalingas licencijas. </w:t>
      </w:r>
      <w:r w:rsidRPr="00AC6A05">
        <w:rPr>
          <w:b/>
        </w:rPr>
        <w:t>Pardavėjas</w:t>
      </w:r>
      <w:r w:rsidRPr="00AC6A05">
        <w:t xml:space="preserve"> įsipareigoja atlyginti nuostolius, jeigu būtų pateikta pretenzijų ar iškelta bylų dėl patentų ar licencijų pažeidimų, kylančių iš Sutarties ar padarytų ją vykdant. </w:t>
      </w:r>
    </w:p>
    <w:p w:rsidR="00AC6A05" w:rsidRPr="00AC6A05" w:rsidRDefault="00AC6A05" w:rsidP="00AC6A05">
      <w:pPr>
        <w:tabs>
          <w:tab w:val="left" w:pos="-360"/>
          <w:tab w:val="left" w:pos="0"/>
          <w:tab w:val="left" w:pos="1701"/>
        </w:tabs>
        <w:jc w:val="both"/>
        <w:rPr>
          <w:highlight w:val="yellow"/>
        </w:rPr>
      </w:pPr>
      <w:r w:rsidRPr="00AC6A05">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C6A05" w:rsidRPr="00AC6A05" w:rsidRDefault="00AC6A05" w:rsidP="00AC6A05">
      <w:pPr>
        <w:jc w:val="both"/>
        <w:rPr>
          <w:bCs/>
          <w:color w:val="000000"/>
        </w:rPr>
      </w:pPr>
      <w:r w:rsidRPr="00AC6A05">
        <w:rPr>
          <w:color w:val="000000"/>
        </w:rPr>
        <w:t xml:space="preserve">15.7. </w:t>
      </w:r>
      <w:r w:rsidRPr="00AC6A05">
        <w:rPr>
          <w:bCs/>
          <w:color w:val="000000"/>
        </w:rPr>
        <w:t>Sutarties vykdymas gali būti aiškinamas Šalių raštišku sutarimu nekeičiant Sutarties sąlygų.</w:t>
      </w:r>
    </w:p>
    <w:p w:rsidR="00AC6A05" w:rsidRPr="00AC6A05" w:rsidRDefault="00AC6A05" w:rsidP="00AC6A05">
      <w:pPr>
        <w:jc w:val="both"/>
        <w:rPr>
          <w:color w:val="000000"/>
        </w:rPr>
      </w:pPr>
      <w:r w:rsidRPr="00AC6A05">
        <w:rPr>
          <w:bCs/>
          <w:color w:val="000000"/>
        </w:rPr>
        <w:t xml:space="preserve">15.8. </w:t>
      </w:r>
      <w:r w:rsidRPr="00AC6A05">
        <w:rPr>
          <w:color w:val="000000"/>
        </w:rPr>
        <w:t>Subtiekėjo (-ų)/</w:t>
      </w:r>
      <w:proofErr w:type="spellStart"/>
      <w:r w:rsidRPr="00AC6A05">
        <w:rPr>
          <w:color w:val="000000"/>
        </w:rPr>
        <w:t>subteikėjo</w:t>
      </w:r>
      <w:proofErr w:type="spellEnd"/>
      <w:r w:rsidRPr="00AC6A05">
        <w:rPr>
          <w:color w:val="000000"/>
        </w:rPr>
        <w:t xml:space="preserve"> pavadinimas, jo (-ų) vykdomų sutartinių įsipareigojimų dalis yra nurodyti Sutarties specialiojoje dalyje.</w:t>
      </w:r>
    </w:p>
    <w:p w:rsidR="00AC6A05" w:rsidRPr="00AC6A05" w:rsidRDefault="00AC6A05" w:rsidP="00AC6A05">
      <w:pPr>
        <w:jc w:val="both"/>
        <w:rPr>
          <w:color w:val="000000"/>
        </w:rPr>
      </w:pPr>
      <w:r w:rsidRPr="00AC6A05">
        <w:rPr>
          <w:color w:val="000000"/>
        </w:rPr>
        <w:t xml:space="preserve">15.9. Sutarties vykdymo metu </w:t>
      </w:r>
      <w:r w:rsidRPr="00AC6A05">
        <w:t>Sutartyje nurodytas (-i) subtiekėjas (-ai)/</w:t>
      </w:r>
      <w:proofErr w:type="spellStart"/>
      <w:r w:rsidRPr="00AC6A05">
        <w:t>subteikėjas</w:t>
      </w:r>
      <w:proofErr w:type="spellEnd"/>
      <w:r w:rsidRPr="00AC6A05">
        <w:t xml:space="preserve"> (-ai) gali būti keičiamas (-i) kitu (-</w:t>
      </w:r>
      <w:proofErr w:type="spellStart"/>
      <w:r w:rsidRPr="00AC6A05">
        <w:t>ais</w:t>
      </w:r>
      <w:proofErr w:type="spellEnd"/>
      <w:r w:rsidRPr="00AC6A05">
        <w:t>) subtiekėju (-</w:t>
      </w:r>
      <w:proofErr w:type="spellStart"/>
      <w:r w:rsidRPr="00AC6A05">
        <w:t>ais</w:t>
      </w:r>
      <w:proofErr w:type="spellEnd"/>
      <w:r w:rsidRPr="00AC6A05">
        <w:t>)/</w:t>
      </w:r>
      <w:proofErr w:type="spellStart"/>
      <w:r w:rsidRPr="00AC6A05">
        <w:t>subteikėju</w:t>
      </w:r>
      <w:proofErr w:type="spellEnd"/>
      <w:r w:rsidRPr="00AC6A05">
        <w:t xml:space="preserve"> (-</w:t>
      </w:r>
      <w:proofErr w:type="spellStart"/>
      <w:r w:rsidRPr="00AC6A05">
        <w:t>ais</w:t>
      </w:r>
      <w:proofErr w:type="spellEnd"/>
      <w:r w:rsidRPr="00AC6A05">
        <w:t xml:space="preserve">) dėl objektyvių aplinkybių, kurių </w:t>
      </w:r>
      <w:r w:rsidRPr="00AC6A05">
        <w:rPr>
          <w:b/>
        </w:rPr>
        <w:t xml:space="preserve">Pardavėjui </w:t>
      </w:r>
      <w:r w:rsidRPr="00AC6A05">
        <w:t xml:space="preserve">nebuvo galima numatyti paraiškos/pasiūlymo pateikimo momentu. Sutartyje nustatyto subtiekėjo (-ų)/ </w:t>
      </w:r>
      <w:proofErr w:type="spellStart"/>
      <w:r w:rsidRPr="00AC6A05">
        <w:t>subteikėjo</w:t>
      </w:r>
      <w:proofErr w:type="spellEnd"/>
      <w:r w:rsidRPr="00AC6A05">
        <w:t xml:space="preserve"> (-ų) keitimas kitu galimas tik iš anksto raštu suderinus su </w:t>
      </w:r>
      <w:r w:rsidRPr="00AC6A05">
        <w:rPr>
          <w:b/>
        </w:rPr>
        <w:t>Pirkėju</w:t>
      </w:r>
      <w:r w:rsidRPr="00AC6A05">
        <w:t xml:space="preserve">.  Prašymas dėl Sutartyje nustatyto subtiekėjo (ų)/ </w:t>
      </w:r>
      <w:proofErr w:type="spellStart"/>
      <w:r w:rsidRPr="00AC6A05">
        <w:t>subteikėjo</w:t>
      </w:r>
      <w:proofErr w:type="spellEnd"/>
      <w:r w:rsidRPr="00AC6A05">
        <w:t xml:space="preserve"> (-ų) keitimo kitu </w:t>
      </w:r>
      <w:r w:rsidRPr="00AC6A05">
        <w:rPr>
          <w:b/>
        </w:rPr>
        <w:t xml:space="preserve">Pirkėjui </w:t>
      </w:r>
      <w:r w:rsidRPr="00AC6A05">
        <w:t>pateikiamas raštu, nurodant tokio keitimo priežastis, kartu pateikiant pagrindžiančius dokumentus, kad naujas subtiekėjas (-ai)/</w:t>
      </w:r>
      <w:proofErr w:type="spellStart"/>
      <w:r w:rsidRPr="00AC6A05">
        <w:t>subteikėjas</w:t>
      </w:r>
      <w:proofErr w:type="spellEnd"/>
      <w:r w:rsidRPr="00AC6A05">
        <w:t xml:space="preserve"> (ai) atitinka visus subtiekėjui (-</w:t>
      </w:r>
      <w:proofErr w:type="spellStart"/>
      <w:r w:rsidRPr="00AC6A05">
        <w:t>ams</w:t>
      </w:r>
      <w:proofErr w:type="spellEnd"/>
      <w:r w:rsidRPr="00AC6A05">
        <w:t>)/</w:t>
      </w:r>
      <w:proofErr w:type="spellStart"/>
      <w:r w:rsidRPr="00AC6A05">
        <w:t>subteikėjui</w:t>
      </w:r>
      <w:proofErr w:type="spellEnd"/>
      <w:r w:rsidRPr="00AC6A05">
        <w:t xml:space="preserve"> (-</w:t>
      </w:r>
      <w:proofErr w:type="spellStart"/>
      <w:r w:rsidRPr="00AC6A05">
        <w:t>ams</w:t>
      </w:r>
      <w:proofErr w:type="spellEnd"/>
      <w:r w:rsidRPr="00AC6A05">
        <w:t xml:space="preserve">)  viešojo pirkimo, kurio pagrindu pasirašyta ši Sutartis, dokumentuose nustatytus reikalavimus, o </w:t>
      </w:r>
      <w:r w:rsidRPr="00AC6A05">
        <w:rPr>
          <w:b/>
        </w:rPr>
        <w:t xml:space="preserve">Pardavėjas </w:t>
      </w:r>
      <w:r w:rsidRPr="00AC6A05">
        <w:t xml:space="preserve">dėl subtiekėjo pasikeitimo neprarado pirkimo dokumentuose nustatytos minimalios kvalifikacijos. </w:t>
      </w:r>
      <w:r w:rsidRPr="00AC6A05">
        <w:rPr>
          <w:color w:val="000000"/>
        </w:rPr>
        <w:t>Sutartyje nustatyto subtiekėjo (-ų)/</w:t>
      </w:r>
      <w:proofErr w:type="spellStart"/>
      <w:r w:rsidRPr="00AC6A05">
        <w:rPr>
          <w:color w:val="000000"/>
        </w:rPr>
        <w:t>subteikėjo</w:t>
      </w:r>
      <w:proofErr w:type="spellEnd"/>
      <w:r w:rsidRPr="00AC6A05">
        <w:rPr>
          <w:color w:val="000000"/>
        </w:rPr>
        <w:t xml:space="preserve"> (-ų) pakeitimas kitu subtiekėju (-</w:t>
      </w:r>
      <w:proofErr w:type="spellStart"/>
      <w:r w:rsidRPr="00AC6A05">
        <w:rPr>
          <w:color w:val="000000"/>
        </w:rPr>
        <w:t>ais</w:t>
      </w:r>
      <w:proofErr w:type="spellEnd"/>
      <w:r w:rsidRPr="00AC6A05">
        <w:rPr>
          <w:color w:val="000000"/>
        </w:rPr>
        <w:t xml:space="preserve">)/ </w:t>
      </w:r>
      <w:proofErr w:type="spellStart"/>
      <w:r w:rsidRPr="00AC6A05">
        <w:rPr>
          <w:color w:val="000000"/>
        </w:rPr>
        <w:t>subteikėju</w:t>
      </w:r>
      <w:proofErr w:type="spellEnd"/>
      <w:r w:rsidRPr="00AC6A05">
        <w:rPr>
          <w:color w:val="000000"/>
        </w:rPr>
        <w:t xml:space="preserve"> (-</w:t>
      </w:r>
      <w:proofErr w:type="spellStart"/>
      <w:r w:rsidRPr="00AC6A05">
        <w:rPr>
          <w:color w:val="000000"/>
        </w:rPr>
        <w:t>ais</w:t>
      </w:r>
      <w:proofErr w:type="spellEnd"/>
      <w:r w:rsidRPr="00AC6A05">
        <w:rPr>
          <w:color w:val="000000"/>
        </w:rPr>
        <w:t>) įforminamas rašytiniu Sutarties pakeitimu (</w:t>
      </w:r>
      <w:r w:rsidRPr="00AC6A05">
        <w:rPr>
          <w:i/>
          <w:color w:val="000000"/>
        </w:rPr>
        <w:t>taikoma, jei Pardavėjas juos numato pasitelkti</w:t>
      </w:r>
      <w:r w:rsidRPr="00AC6A05">
        <w:rPr>
          <w:color w:val="000000"/>
        </w:rPr>
        <w:t>).</w:t>
      </w:r>
    </w:p>
    <w:p w:rsidR="00AC6A05" w:rsidRPr="00AC6A05" w:rsidRDefault="00AC6A05" w:rsidP="00AC6A05">
      <w:pPr>
        <w:jc w:val="both"/>
      </w:pPr>
      <w:r w:rsidRPr="00AC6A05">
        <w:t>15.10.</w:t>
      </w:r>
      <w:r w:rsidRPr="00AC6A05">
        <w:rPr>
          <w:b/>
        </w:rPr>
        <w:t xml:space="preserve"> Pardavėjo </w:t>
      </w:r>
      <w:r w:rsidRPr="00AC6A05">
        <w:t>paskirtas asmuo/asmenys, kurie atstovauja</w:t>
      </w:r>
      <w:r w:rsidRPr="00AC6A05">
        <w:rPr>
          <w:b/>
        </w:rPr>
        <w:t xml:space="preserve"> Pardavėjui</w:t>
      </w:r>
      <w:r w:rsidRPr="00AC6A05">
        <w:t>,</w:t>
      </w:r>
      <w:r w:rsidRPr="00AC6A05">
        <w:rPr>
          <w:b/>
        </w:rPr>
        <w:t xml:space="preserve"> </w:t>
      </w:r>
      <w:r w:rsidRPr="00AC6A05">
        <w:t>priiminėja ir tvirtina</w:t>
      </w:r>
      <w:r w:rsidRPr="00AC6A05">
        <w:rPr>
          <w:b/>
        </w:rPr>
        <w:t xml:space="preserve"> Pirkėjo </w:t>
      </w:r>
      <w:r w:rsidRPr="00AC6A05">
        <w:t xml:space="preserve">teikiamus prekių užsakymus, tiekiamų prekių sąmatą, dalyvauja susitikimuose su </w:t>
      </w:r>
      <w:r w:rsidRPr="00AC6A05">
        <w:rPr>
          <w:b/>
        </w:rPr>
        <w:t xml:space="preserve">Pirkėju </w:t>
      </w:r>
      <w:r w:rsidRPr="00AC6A05">
        <w:t xml:space="preserve">ir atlieka kitus veiksmus, būtinus tinkamam šios Sutarties vykdymui yra nurodyti Sutarties specialiojoje dalyje. </w:t>
      </w:r>
    </w:p>
    <w:p w:rsidR="00AC6A05" w:rsidRPr="00AC6A05" w:rsidRDefault="00AC6A05" w:rsidP="00AC6A05">
      <w:pPr>
        <w:jc w:val="both"/>
      </w:pPr>
      <w:r w:rsidRPr="00AC6A05">
        <w:t xml:space="preserve">15.11. </w:t>
      </w:r>
      <w:r w:rsidRPr="00AC6A05">
        <w:rPr>
          <w:b/>
        </w:rPr>
        <w:t xml:space="preserve">Pirkėjo </w:t>
      </w:r>
      <w:r w:rsidRPr="00AC6A05">
        <w:t>paskirti asmuo/asmenys, kurie atstovauja</w:t>
      </w:r>
      <w:r w:rsidRPr="00AC6A05">
        <w:rPr>
          <w:b/>
        </w:rPr>
        <w:t xml:space="preserve"> Pirkėjui, </w:t>
      </w:r>
      <w:r w:rsidRPr="00AC6A05">
        <w:t>teikia</w:t>
      </w:r>
      <w:r w:rsidRPr="00AC6A05">
        <w:rPr>
          <w:b/>
        </w:rPr>
        <w:t xml:space="preserve"> Pardavėjui </w:t>
      </w:r>
      <w:r w:rsidRPr="00AC6A05">
        <w:t>prekių užsakymus, prekių sąmatą, dalyvauja susitikimuose su</w:t>
      </w:r>
      <w:r w:rsidRPr="00AC6A05">
        <w:rPr>
          <w:b/>
        </w:rPr>
        <w:t xml:space="preserve"> Pardavėju </w:t>
      </w:r>
      <w:r w:rsidRPr="00AC6A05">
        <w:t xml:space="preserve">ir atlieka kitus veiksmus, būtinus tinkamam šios Sutarties vykdymui, yra nurodyti Sutarties specialiojoje dalyje. </w:t>
      </w:r>
    </w:p>
    <w:p w:rsidR="00AC6A05" w:rsidRPr="00AC6A05" w:rsidRDefault="00AC6A05" w:rsidP="00AC6A05">
      <w:pPr>
        <w:jc w:val="both"/>
      </w:pPr>
    </w:p>
    <w:p w:rsidR="00AC6A05" w:rsidRPr="00AC6A05" w:rsidRDefault="00AC6A05" w:rsidP="00AC6A05">
      <w:pPr>
        <w:jc w:val="both"/>
      </w:pPr>
    </w:p>
    <w:p w:rsidR="00AC6A05" w:rsidRPr="00AC6A05" w:rsidRDefault="00AC6A05" w:rsidP="00AC6A05">
      <w:pPr>
        <w:suppressAutoHyphens/>
        <w:jc w:val="both"/>
        <w:rPr>
          <w:rFonts w:eastAsia="Arial"/>
          <w:b/>
          <w:lang w:eastAsia="ar-SA"/>
        </w:rPr>
      </w:pPr>
      <w:r w:rsidRPr="00AC6A05">
        <w:rPr>
          <w:rFonts w:eastAsia="Arial"/>
          <w:b/>
          <w:lang w:eastAsia="ar-SA"/>
        </w:rPr>
        <w:t>PIRKĖJAS</w:t>
      </w:r>
      <w:r w:rsidRPr="00AC6A05">
        <w:rPr>
          <w:rFonts w:eastAsia="Arial"/>
          <w:b/>
          <w:lang w:eastAsia="ar-SA"/>
        </w:rPr>
        <w:tab/>
      </w:r>
      <w:r w:rsidRPr="00AC6A05">
        <w:rPr>
          <w:rFonts w:eastAsia="Arial"/>
          <w:b/>
          <w:lang w:eastAsia="ar-SA"/>
        </w:rPr>
        <w:tab/>
      </w:r>
      <w:r w:rsidRPr="00AC6A05">
        <w:rPr>
          <w:rFonts w:eastAsia="Arial"/>
          <w:b/>
          <w:lang w:eastAsia="ar-SA"/>
        </w:rPr>
        <w:tab/>
      </w:r>
      <w:r w:rsidRPr="00AC6A05">
        <w:rPr>
          <w:rFonts w:eastAsia="Arial"/>
          <w:b/>
          <w:lang w:eastAsia="ar-SA"/>
        </w:rPr>
        <w:tab/>
      </w:r>
      <w:r w:rsidRPr="00AC6A05">
        <w:rPr>
          <w:rFonts w:eastAsia="Arial"/>
          <w:b/>
          <w:lang w:eastAsia="ar-SA"/>
        </w:rPr>
        <w:tab/>
      </w:r>
      <w:r w:rsidRPr="00AC6A05">
        <w:rPr>
          <w:rFonts w:eastAsia="Arial"/>
          <w:b/>
          <w:lang w:eastAsia="ar-SA"/>
        </w:rPr>
        <w:tab/>
      </w:r>
      <w:r w:rsidRPr="00AC6A05">
        <w:rPr>
          <w:rFonts w:eastAsia="Arial"/>
          <w:b/>
          <w:lang w:eastAsia="ar-SA"/>
        </w:rPr>
        <w:tab/>
      </w:r>
      <w:r w:rsidRPr="00AC6A05">
        <w:rPr>
          <w:rFonts w:eastAsia="Arial"/>
          <w:b/>
          <w:lang w:eastAsia="ar-SA"/>
        </w:rPr>
        <w:tab/>
      </w:r>
      <w:r w:rsidRPr="00AC6A05">
        <w:rPr>
          <w:rFonts w:eastAsia="Arial"/>
          <w:b/>
          <w:lang w:eastAsia="ar-SA"/>
        </w:rPr>
        <w:tab/>
        <w:t>PARDAVĖJAS</w:t>
      </w:r>
    </w:p>
    <w:p w:rsidR="00AC6A05" w:rsidRPr="00AC6A05" w:rsidRDefault="00AC6A05" w:rsidP="00AC6A05">
      <w:pPr>
        <w:suppressAutoHyphens/>
        <w:jc w:val="both"/>
        <w:rPr>
          <w:rFonts w:ascii="TimesLT" w:eastAsia="Arial" w:hAnsi="TimesLT"/>
          <w:b/>
          <w:sz w:val="20"/>
          <w:szCs w:val="20"/>
          <w:lang w:val="en-GB" w:eastAsia="ar-SA"/>
        </w:rPr>
      </w:pPr>
    </w:p>
    <w:p w:rsidR="00AC6A05" w:rsidRPr="00AC6A05" w:rsidRDefault="00AC6A05" w:rsidP="00AC6A05">
      <w:pPr>
        <w:suppressAutoHyphens/>
        <w:jc w:val="both"/>
        <w:rPr>
          <w:rFonts w:ascii="TimesLT" w:eastAsia="Arial" w:hAnsi="TimesLT"/>
          <w:b/>
          <w:sz w:val="20"/>
          <w:szCs w:val="20"/>
          <w:lang w:val="en-GB" w:eastAsia="ar-SA"/>
        </w:rPr>
      </w:pPr>
    </w:p>
    <w:p w:rsidR="00AC6A05" w:rsidRPr="00AC6A05" w:rsidRDefault="00AC6A05" w:rsidP="00AC6A05">
      <w:pPr>
        <w:suppressAutoHyphens/>
        <w:jc w:val="both"/>
        <w:rPr>
          <w:rFonts w:ascii="TimesLT" w:eastAsia="Arial" w:hAnsi="TimesLT"/>
          <w:sz w:val="20"/>
          <w:szCs w:val="20"/>
          <w:lang w:val="en-GB" w:eastAsia="ar-SA"/>
        </w:rPr>
      </w:pPr>
      <w:r w:rsidRPr="00AC6A05">
        <w:rPr>
          <w:rFonts w:ascii="TimesLT" w:eastAsia="Arial" w:hAnsi="TimesLT"/>
          <w:sz w:val="20"/>
          <w:szCs w:val="20"/>
          <w:lang w:val="en-GB" w:eastAsia="ar-SA"/>
        </w:rPr>
        <w:t xml:space="preserve">A.V. </w:t>
      </w:r>
    </w:p>
    <w:p w:rsidR="00BA20F6" w:rsidRDefault="00BA20F6" w:rsidP="00646DC6">
      <w:pPr>
        <w:jc w:val="both"/>
      </w:pPr>
    </w:p>
    <w:p w:rsidR="00BA20F6" w:rsidRDefault="00BA20F6"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AC6A05" w:rsidRDefault="00AC6A05"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Pr="00BA20F6" w:rsidRDefault="00BA20F6" w:rsidP="00BA20F6">
      <w:pPr>
        <w:ind w:firstLine="4536"/>
        <w:rPr>
          <w:rFonts w:eastAsia="Calibri"/>
          <w:lang w:eastAsia="en-US"/>
        </w:rPr>
      </w:pPr>
      <w:r w:rsidRPr="00BA20F6">
        <w:rPr>
          <w:rFonts w:eastAsia="Calibri"/>
          <w:lang w:eastAsia="en-US"/>
        </w:rPr>
        <w:t>20</w:t>
      </w:r>
      <w:r>
        <w:rPr>
          <w:rFonts w:eastAsia="Calibri"/>
          <w:lang w:eastAsia="en-US"/>
        </w:rPr>
        <w:t>2</w:t>
      </w:r>
      <w:r w:rsidR="00AC6A05">
        <w:rPr>
          <w:rFonts w:eastAsia="Calibri"/>
          <w:lang w:eastAsia="en-US"/>
        </w:rPr>
        <w:t>4</w:t>
      </w:r>
      <w:r w:rsidRPr="00BA20F6">
        <w:rPr>
          <w:rFonts w:eastAsia="Calibri"/>
          <w:lang w:eastAsia="en-US"/>
        </w:rPr>
        <w:t xml:space="preserve"> m. ........................ d.</w:t>
      </w:r>
      <w:r w:rsidR="00AC6A05">
        <w:rPr>
          <w:rFonts w:eastAsia="Calibri"/>
          <w:lang w:eastAsia="en-US"/>
        </w:rPr>
        <w:t xml:space="preserve"> S</w:t>
      </w:r>
      <w:r w:rsidRPr="00BA20F6">
        <w:rPr>
          <w:rFonts w:eastAsia="Calibri"/>
          <w:lang w:eastAsia="en-US"/>
        </w:rPr>
        <w:t xml:space="preserve">utarties Nr. </w:t>
      </w:r>
    </w:p>
    <w:p w:rsidR="00BA20F6" w:rsidRPr="00BA20F6" w:rsidRDefault="00BA20F6" w:rsidP="00BA20F6">
      <w:pPr>
        <w:ind w:firstLine="4536"/>
        <w:rPr>
          <w:rFonts w:eastAsia="Calibri"/>
          <w:lang w:eastAsia="en-US"/>
        </w:rPr>
      </w:pPr>
      <w:r w:rsidRPr="00BA20F6">
        <w:rPr>
          <w:rFonts w:eastAsia="Calibri"/>
          <w:lang w:eastAsia="en-US"/>
        </w:rPr>
        <w:t>2 priedas</w:t>
      </w:r>
    </w:p>
    <w:p w:rsidR="00BA20F6" w:rsidRPr="00BA20F6" w:rsidRDefault="00BA20F6" w:rsidP="00BA20F6">
      <w:pPr>
        <w:spacing w:after="200" w:line="276" w:lineRule="auto"/>
        <w:rPr>
          <w:rFonts w:ascii="Calibri" w:eastAsia="Calibri" w:hAnsi="Calibri"/>
          <w:sz w:val="22"/>
          <w:szCs w:val="22"/>
          <w:lang w:eastAsia="en-US"/>
        </w:rPr>
      </w:pPr>
    </w:p>
    <w:tbl>
      <w:tblPr>
        <w:tblW w:w="9426" w:type="dxa"/>
        <w:tblInd w:w="93" w:type="dxa"/>
        <w:tblLook w:val="04A0" w:firstRow="1" w:lastRow="0" w:firstColumn="1" w:lastColumn="0" w:noHBand="0" w:noVBand="1"/>
      </w:tblPr>
      <w:tblGrid>
        <w:gridCol w:w="4160"/>
        <w:gridCol w:w="2740"/>
        <w:gridCol w:w="2526"/>
      </w:tblGrid>
      <w:tr w:rsidR="00BA20F6" w:rsidRPr="00BA20F6" w:rsidTr="0068761C">
        <w:trPr>
          <w:trHeight w:val="312"/>
        </w:trPr>
        <w:tc>
          <w:tcPr>
            <w:tcW w:w="9426" w:type="dxa"/>
            <w:gridSpan w:val="3"/>
            <w:tcBorders>
              <w:top w:val="nil"/>
              <w:left w:val="nil"/>
              <w:bottom w:val="nil"/>
              <w:right w:val="nil"/>
            </w:tcBorders>
            <w:shd w:val="clear" w:color="auto" w:fill="auto"/>
            <w:noWrap/>
            <w:vAlign w:val="bottom"/>
            <w:hideMark/>
          </w:tcPr>
          <w:p w:rsidR="00BA20F6" w:rsidRPr="00BA20F6" w:rsidRDefault="00BA20F6" w:rsidP="00BA20F6">
            <w:pPr>
              <w:jc w:val="center"/>
              <w:rPr>
                <w:b/>
                <w:bCs/>
              </w:rPr>
            </w:pPr>
            <w:r w:rsidRPr="00BA20F6">
              <w:rPr>
                <w:b/>
                <w:bCs/>
              </w:rPr>
              <w:t xml:space="preserve">PREKIŲ </w:t>
            </w:r>
            <w:r>
              <w:rPr>
                <w:b/>
                <w:bCs/>
              </w:rPr>
              <w:t xml:space="preserve">TIEKIMO </w:t>
            </w:r>
            <w:r w:rsidRPr="00BA20F6">
              <w:rPr>
                <w:b/>
                <w:bCs/>
              </w:rPr>
              <w:t xml:space="preserve">UŽSAKYMAS NR.    </w:t>
            </w:r>
            <w:r w:rsidRPr="00BA20F6">
              <w:rPr>
                <w:bCs/>
                <w:i/>
              </w:rPr>
              <w:t>(Forma)</w:t>
            </w:r>
          </w:p>
        </w:tc>
      </w:tr>
      <w:tr w:rsidR="00BA20F6" w:rsidRPr="00BA20F6" w:rsidTr="0068761C">
        <w:trPr>
          <w:trHeight w:val="312"/>
        </w:trPr>
        <w:tc>
          <w:tcPr>
            <w:tcW w:w="4160" w:type="dxa"/>
            <w:tcBorders>
              <w:top w:val="nil"/>
              <w:left w:val="nil"/>
              <w:bottom w:val="nil"/>
              <w:right w:val="nil"/>
            </w:tcBorders>
            <w:shd w:val="clear" w:color="auto" w:fill="auto"/>
            <w:noWrap/>
            <w:vAlign w:val="bottom"/>
            <w:hideMark/>
          </w:tcPr>
          <w:p w:rsidR="00BA20F6" w:rsidRPr="00BA20F6" w:rsidRDefault="00BA20F6" w:rsidP="00BA20F6">
            <w:pPr>
              <w:jc w:val="center"/>
              <w:rPr>
                <w:b/>
                <w:bCs/>
              </w:rPr>
            </w:pPr>
          </w:p>
        </w:tc>
        <w:tc>
          <w:tcPr>
            <w:tcW w:w="2740" w:type="dxa"/>
            <w:tcBorders>
              <w:top w:val="nil"/>
              <w:left w:val="nil"/>
              <w:bottom w:val="nil"/>
              <w:right w:val="nil"/>
            </w:tcBorders>
            <w:shd w:val="clear" w:color="auto" w:fill="auto"/>
            <w:noWrap/>
            <w:vAlign w:val="bottom"/>
            <w:hideMark/>
          </w:tcPr>
          <w:p w:rsidR="00BA20F6" w:rsidRPr="00BA20F6" w:rsidRDefault="00BA20F6" w:rsidP="00BA20F6">
            <w:pPr>
              <w:jc w:val="center"/>
              <w:rPr>
                <w:b/>
                <w:bCs/>
              </w:rPr>
            </w:pPr>
          </w:p>
        </w:tc>
        <w:tc>
          <w:tcPr>
            <w:tcW w:w="2526" w:type="dxa"/>
            <w:tcBorders>
              <w:top w:val="nil"/>
              <w:left w:val="nil"/>
              <w:bottom w:val="nil"/>
              <w:right w:val="nil"/>
            </w:tcBorders>
            <w:shd w:val="clear" w:color="auto" w:fill="auto"/>
            <w:noWrap/>
            <w:vAlign w:val="bottom"/>
            <w:hideMark/>
          </w:tcPr>
          <w:p w:rsidR="00BA20F6" w:rsidRPr="00BA20F6" w:rsidRDefault="00BA20F6" w:rsidP="00BA20F6">
            <w:pPr>
              <w:jc w:val="center"/>
              <w:rPr>
                <w:b/>
                <w:bCs/>
              </w:rPr>
            </w:pPr>
          </w:p>
        </w:tc>
      </w:tr>
      <w:tr w:rsidR="00BA20F6" w:rsidRPr="00BA20F6" w:rsidTr="0068761C">
        <w:trPr>
          <w:trHeight w:val="312"/>
        </w:trPr>
        <w:tc>
          <w:tcPr>
            <w:tcW w:w="9426" w:type="dxa"/>
            <w:gridSpan w:val="3"/>
            <w:tcBorders>
              <w:top w:val="nil"/>
              <w:left w:val="nil"/>
              <w:bottom w:val="nil"/>
              <w:right w:val="nil"/>
            </w:tcBorders>
            <w:shd w:val="clear" w:color="auto" w:fill="auto"/>
            <w:noWrap/>
            <w:vAlign w:val="bottom"/>
            <w:hideMark/>
          </w:tcPr>
          <w:p w:rsidR="00BA20F6" w:rsidRPr="00BA20F6" w:rsidRDefault="00BA20F6" w:rsidP="00BA20F6">
            <w:pPr>
              <w:jc w:val="center"/>
              <w:rPr>
                <w:bCs/>
              </w:rPr>
            </w:pPr>
            <w:r w:rsidRPr="00BA20F6">
              <w:rPr>
                <w:bCs/>
              </w:rPr>
              <w:t xml:space="preserve">VYKDANT ___________________ SUTARTĮ NR. </w:t>
            </w:r>
          </w:p>
          <w:p w:rsidR="00BA20F6" w:rsidRPr="00BA20F6" w:rsidRDefault="00BA20F6" w:rsidP="00BA20F6">
            <w:pPr>
              <w:jc w:val="both"/>
              <w:rPr>
                <w:bCs/>
                <w:i/>
                <w:sz w:val="20"/>
                <w:szCs w:val="20"/>
              </w:rPr>
            </w:pPr>
            <w:r w:rsidRPr="00BA20F6">
              <w:rPr>
                <w:b/>
                <w:bCs/>
              </w:rPr>
              <w:t xml:space="preserve">                                                             </w:t>
            </w:r>
            <w:r w:rsidRPr="00BA20F6">
              <w:rPr>
                <w:bCs/>
                <w:i/>
                <w:sz w:val="20"/>
                <w:szCs w:val="20"/>
              </w:rPr>
              <w:t xml:space="preserve">(Sutarties data)   </w:t>
            </w:r>
          </w:p>
        </w:tc>
      </w:tr>
      <w:tr w:rsidR="00BA20F6" w:rsidRPr="00BA20F6" w:rsidTr="0068761C">
        <w:trPr>
          <w:trHeight w:val="312"/>
        </w:trPr>
        <w:tc>
          <w:tcPr>
            <w:tcW w:w="4160" w:type="dxa"/>
            <w:tcBorders>
              <w:top w:val="nil"/>
              <w:left w:val="nil"/>
              <w:bottom w:val="nil"/>
              <w:right w:val="nil"/>
            </w:tcBorders>
            <w:shd w:val="clear" w:color="auto" w:fill="auto"/>
            <w:noWrap/>
            <w:vAlign w:val="bottom"/>
            <w:hideMark/>
          </w:tcPr>
          <w:p w:rsidR="00BA20F6" w:rsidRPr="00BA20F6" w:rsidRDefault="00BA20F6" w:rsidP="00BA20F6">
            <w:pPr>
              <w:jc w:val="center"/>
              <w:rPr>
                <w:b/>
                <w:bCs/>
              </w:rPr>
            </w:pPr>
          </w:p>
        </w:tc>
        <w:tc>
          <w:tcPr>
            <w:tcW w:w="2740" w:type="dxa"/>
            <w:tcBorders>
              <w:top w:val="nil"/>
              <w:left w:val="nil"/>
              <w:bottom w:val="nil"/>
              <w:right w:val="nil"/>
            </w:tcBorders>
            <w:shd w:val="clear" w:color="auto" w:fill="auto"/>
            <w:noWrap/>
            <w:vAlign w:val="bottom"/>
            <w:hideMark/>
          </w:tcPr>
          <w:p w:rsidR="00BA20F6" w:rsidRPr="00BA20F6" w:rsidRDefault="00BA20F6" w:rsidP="00BA20F6">
            <w:pPr>
              <w:jc w:val="center"/>
              <w:rPr>
                <w:b/>
                <w:bCs/>
              </w:rPr>
            </w:pPr>
          </w:p>
        </w:tc>
        <w:tc>
          <w:tcPr>
            <w:tcW w:w="2526" w:type="dxa"/>
            <w:tcBorders>
              <w:top w:val="nil"/>
              <w:left w:val="nil"/>
              <w:bottom w:val="nil"/>
              <w:right w:val="nil"/>
            </w:tcBorders>
            <w:shd w:val="clear" w:color="auto" w:fill="auto"/>
            <w:noWrap/>
            <w:vAlign w:val="bottom"/>
            <w:hideMark/>
          </w:tcPr>
          <w:p w:rsidR="00BA20F6" w:rsidRPr="00BA20F6" w:rsidRDefault="00BA20F6" w:rsidP="00BA20F6">
            <w:pPr>
              <w:jc w:val="center"/>
              <w:rPr>
                <w:b/>
                <w:bCs/>
              </w:rPr>
            </w:pPr>
          </w:p>
        </w:tc>
      </w:tr>
      <w:tr w:rsidR="00BA20F6" w:rsidRPr="00BA20F6" w:rsidTr="0068761C">
        <w:trPr>
          <w:trHeight w:val="312"/>
        </w:trPr>
        <w:tc>
          <w:tcPr>
            <w:tcW w:w="9426" w:type="dxa"/>
            <w:gridSpan w:val="3"/>
            <w:tcBorders>
              <w:top w:val="nil"/>
              <w:left w:val="nil"/>
              <w:right w:val="nil"/>
            </w:tcBorders>
            <w:shd w:val="clear" w:color="auto" w:fill="auto"/>
            <w:noWrap/>
            <w:vAlign w:val="bottom"/>
            <w:hideMark/>
          </w:tcPr>
          <w:p w:rsidR="00BA20F6" w:rsidRPr="00BA20F6" w:rsidRDefault="00BA20F6" w:rsidP="00BA20F6">
            <w:pPr>
              <w:jc w:val="center"/>
              <w:rPr>
                <w:b/>
                <w:bCs/>
              </w:rPr>
            </w:pPr>
            <w:r w:rsidRPr="00BA20F6">
              <w:rPr>
                <w:b/>
                <w:bCs/>
              </w:rPr>
              <w:t>20__ m. __________ d.</w:t>
            </w:r>
          </w:p>
          <w:p w:rsidR="00BA20F6" w:rsidRPr="00BA20F6" w:rsidRDefault="00BA20F6" w:rsidP="00BA20F6">
            <w:pPr>
              <w:jc w:val="both"/>
              <w:rPr>
                <w:bCs/>
                <w:i/>
                <w:sz w:val="20"/>
                <w:szCs w:val="20"/>
              </w:rPr>
            </w:pPr>
            <w:r w:rsidRPr="00BA20F6">
              <w:rPr>
                <w:b/>
                <w:bCs/>
              </w:rPr>
              <w:t xml:space="preserve">                                                       </w:t>
            </w:r>
            <w:r w:rsidRPr="00BA20F6">
              <w:rPr>
                <w:bCs/>
                <w:i/>
                <w:sz w:val="20"/>
                <w:szCs w:val="20"/>
              </w:rPr>
              <w:t>(užsakymo pateikimo data)</w:t>
            </w:r>
          </w:p>
          <w:p w:rsidR="00BA20F6" w:rsidRPr="00BA20F6" w:rsidRDefault="00BA20F6" w:rsidP="00BA20F6">
            <w:pPr>
              <w:jc w:val="both"/>
              <w:rPr>
                <w:bCs/>
                <w:i/>
                <w:sz w:val="20"/>
                <w:szCs w:val="20"/>
              </w:rPr>
            </w:pPr>
          </w:p>
          <w:p w:rsidR="00BA20F6" w:rsidRPr="00BA20F6" w:rsidRDefault="00BA20F6" w:rsidP="00BA20F6">
            <w:pPr>
              <w:jc w:val="both"/>
              <w:rPr>
                <w:b/>
                <w:bCs/>
                <w:i/>
              </w:rPr>
            </w:pPr>
          </w:p>
          <w:p w:rsidR="00BA20F6" w:rsidRPr="00BA20F6" w:rsidRDefault="00BA20F6" w:rsidP="00BA20F6">
            <w:pPr>
              <w:jc w:val="both"/>
              <w:rPr>
                <w:b/>
                <w:bCs/>
                <w:i/>
              </w:rPr>
            </w:pPr>
          </w:p>
        </w:tc>
      </w:tr>
      <w:tr w:rsidR="00BA20F6" w:rsidRPr="00BA20F6" w:rsidTr="0068761C">
        <w:trPr>
          <w:trHeight w:val="264"/>
        </w:trPr>
        <w:tc>
          <w:tcPr>
            <w:tcW w:w="4160" w:type="dxa"/>
            <w:tcBorders>
              <w:top w:val="nil"/>
              <w:left w:val="nil"/>
              <w:bottom w:val="single" w:sz="4" w:space="0" w:color="auto"/>
              <w:right w:val="nil"/>
            </w:tcBorders>
            <w:shd w:val="clear" w:color="auto" w:fill="auto"/>
            <w:noWrap/>
            <w:vAlign w:val="bottom"/>
            <w:hideMark/>
          </w:tcPr>
          <w:p w:rsidR="00BA20F6" w:rsidRPr="00BA20F6" w:rsidRDefault="00BA20F6" w:rsidP="00BA20F6">
            <w:pPr>
              <w:rPr>
                <w:sz w:val="20"/>
                <w:szCs w:val="20"/>
              </w:rPr>
            </w:pPr>
          </w:p>
        </w:tc>
        <w:tc>
          <w:tcPr>
            <w:tcW w:w="2740" w:type="dxa"/>
            <w:tcBorders>
              <w:top w:val="nil"/>
              <w:left w:val="nil"/>
              <w:bottom w:val="single" w:sz="4" w:space="0" w:color="auto"/>
              <w:right w:val="nil"/>
            </w:tcBorders>
            <w:shd w:val="clear" w:color="auto" w:fill="auto"/>
            <w:noWrap/>
            <w:vAlign w:val="bottom"/>
            <w:hideMark/>
          </w:tcPr>
          <w:p w:rsidR="00BA20F6" w:rsidRPr="00BA20F6" w:rsidRDefault="00BA20F6" w:rsidP="00BA20F6">
            <w:pPr>
              <w:rPr>
                <w:sz w:val="20"/>
                <w:szCs w:val="20"/>
              </w:rPr>
            </w:pPr>
          </w:p>
        </w:tc>
        <w:tc>
          <w:tcPr>
            <w:tcW w:w="2526" w:type="dxa"/>
            <w:tcBorders>
              <w:top w:val="nil"/>
              <w:left w:val="nil"/>
              <w:bottom w:val="single" w:sz="4" w:space="0" w:color="auto"/>
              <w:right w:val="nil"/>
            </w:tcBorders>
            <w:shd w:val="clear" w:color="auto" w:fill="auto"/>
            <w:noWrap/>
            <w:vAlign w:val="bottom"/>
            <w:hideMark/>
          </w:tcPr>
          <w:p w:rsidR="00BA20F6" w:rsidRPr="00BA20F6" w:rsidRDefault="00BA20F6" w:rsidP="00BA20F6">
            <w:pPr>
              <w:rPr>
                <w:sz w:val="20"/>
                <w:szCs w:val="20"/>
              </w:rPr>
            </w:pPr>
          </w:p>
        </w:tc>
      </w:tr>
      <w:tr w:rsidR="00BA20F6" w:rsidRPr="00BA20F6" w:rsidTr="0068761C">
        <w:trPr>
          <w:trHeight w:val="276"/>
        </w:trPr>
        <w:tc>
          <w:tcPr>
            <w:tcW w:w="4160" w:type="dxa"/>
            <w:tcBorders>
              <w:top w:val="single" w:sz="4" w:space="0" w:color="auto"/>
              <w:left w:val="single" w:sz="4" w:space="0" w:color="auto"/>
              <w:bottom w:val="single" w:sz="4" w:space="0" w:color="auto"/>
              <w:right w:val="nil"/>
            </w:tcBorders>
            <w:shd w:val="clear" w:color="auto" w:fill="auto"/>
            <w:hideMark/>
          </w:tcPr>
          <w:p w:rsidR="00BA20F6" w:rsidRPr="00BA20F6" w:rsidRDefault="00BA20F6" w:rsidP="00BA20F6">
            <w:pPr>
              <w:jc w:val="center"/>
              <w:rPr>
                <w:i/>
                <w:sz w:val="22"/>
                <w:szCs w:val="22"/>
              </w:rPr>
            </w:pPr>
            <w:r w:rsidRPr="00BA20F6">
              <w:rPr>
                <w:sz w:val="22"/>
                <w:szCs w:val="22"/>
              </w:rPr>
              <w:t>Pristatymo vieta ir laikas</w:t>
            </w:r>
          </w:p>
          <w:p w:rsidR="00BA20F6" w:rsidRPr="00BA20F6" w:rsidRDefault="00BA20F6" w:rsidP="00BA20F6">
            <w:pPr>
              <w:jc w:val="center"/>
              <w:rPr>
                <w:i/>
                <w:sz w:val="22"/>
                <w:szCs w:val="22"/>
              </w:rPr>
            </w:pPr>
            <w:r w:rsidRPr="00BA20F6">
              <w:rPr>
                <w:i/>
                <w:sz w:val="22"/>
                <w:szCs w:val="22"/>
              </w:rPr>
              <w:t xml:space="preserve"> (tikslus adresas ir data)</w:t>
            </w:r>
          </w:p>
          <w:p w:rsidR="00BA20F6" w:rsidRPr="00BA20F6" w:rsidRDefault="00BA20F6" w:rsidP="00BA20F6">
            <w:pPr>
              <w:jc w:val="center"/>
              <w:rPr>
                <w:i/>
                <w:sz w:val="22"/>
                <w:szCs w:val="22"/>
              </w:rPr>
            </w:pP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0F6" w:rsidRPr="00BA20F6" w:rsidRDefault="00BA20F6" w:rsidP="00BA20F6">
            <w:pPr>
              <w:jc w:val="center"/>
              <w:rPr>
                <w:sz w:val="20"/>
                <w:szCs w:val="20"/>
              </w:rPr>
            </w:pPr>
            <w:r w:rsidRPr="00BA20F6">
              <w:rPr>
                <w:sz w:val="20"/>
                <w:szCs w:val="20"/>
              </w:rPr>
              <w:t>Produkto pavadinimas, markė</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rsidR="00BA20F6" w:rsidRPr="00BA20F6" w:rsidRDefault="00BA20F6" w:rsidP="00BA20F6">
            <w:pPr>
              <w:jc w:val="center"/>
              <w:rPr>
                <w:sz w:val="20"/>
                <w:szCs w:val="20"/>
              </w:rPr>
            </w:pPr>
            <w:r w:rsidRPr="00BA20F6">
              <w:rPr>
                <w:sz w:val="20"/>
                <w:szCs w:val="20"/>
              </w:rPr>
              <w:t xml:space="preserve">Kiekis, </w:t>
            </w:r>
          </w:p>
          <w:p w:rsidR="00BA20F6" w:rsidRPr="00BA20F6" w:rsidRDefault="00BA20F6" w:rsidP="00BA20F6">
            <w:pPr>
              <w:jc w:val="center"/>
              <w:rPr>
                <w:b/>
                <w:sz w:val="20"/>
                <w:szCs w:val="20"/>
              </w:rPr>
            </w:pPr>
            <w:r w:rsidRPr="00BA20F6">
              <w:rPr>
                <w:b/>
                <w:sz w:val="20"/>
                <w:szCs w:val="20"/>
              </w:rPr>
              <w:t>tonomis</w:t>
            </w:r>
          </w:p>
        </w:tc>
      </w:tr>
      <w:tr w:rsidR="00BA20F6" w:rsidRPr="00BA20F6" w:rsidTr="0068761C">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20F6" w:rsidRPr="00BA20F6" w:rsidRDefault="00BA20F6" w:rsidP="00BA20F6"/>
        </w:tc>
        <w:tc>
          <w:tcPr>
            <w:tcW w:w="2740" w:type="dxa"/>
            <w:tcBorders>
              <w:top w:val="single" w:sz="4" w:space="0" w:color="auto"/>
              <w:left w:val="nil"/>
              <w:bottom w:val="single" w:sz="4" w:space="0" w:color="auto"/>
              <w:right w:val="nil"/>
            </w:tcBorders>
            <w:shd w:val="clear" w:color="auto" w:fill="auto"/>
            <w:noWrap/>
            <w:vAlign w:val="bottom"/>
            <w:hideMark/>
          </w:tcPr>
          <w:p w:rsidR="00BA20F6" w:rsidRPr="00BA20F6" w:rsidRDefault="00BA20F6" w:rsidP="00BA20F6">
            <w:pPr>
              <w:jc w:val="center"/>
            </w:pPr>
            <w:r w:rsidRPr="00BA20F6">
              <w:t> </w:t>
            </w:r>
          </w:p>
        </w:tc>
        <w:tc>
          <w:tcPr>
            <w:tcW w:w="2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0F6" w:rsidRPr="00BA20F6" w:rsidRDefault="00BA20F6" w:rsidP="00BA20F6">
            <w:r w:rsidRPr="00BA20F6">
              <w:t> </w:t>
            </w:r>
          </w:p>
        </w:tc>
      </w:tr>
      <w:tr w:rsidR="00BA20F6" w:rsidRPr="00BA20F6" w:rsidTr="0068761C">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20F6" w:rsidRPr="00BA20F6" w:rsidRDefault="00BA20F6" w:rsidP="00BA20F6"/>
        </w:tc>
        <w:tc>
          <w:tcPr>
            <w:tcW w:w="2740" w:type="dxa"/>
            <w:tcBorders>
              <w:top w:val="single" w:sz="4" w:space="0" w:color="auto"/>
              <w:left w:val="nil"/>
              <w:bottom w:val="single" w:sz="4" w:space="0" w:color="auto"/>
              <w:right w:val="nil"/>
            </w:tcBorders>
            <w:shd w:val="clear" w:color="auto" w:fill="auto"/>
            <w:vAlign w:val="center"/>
            <w:hideMark/>
          </w:tcPr>
          <w:p w:rsidR="00BA20F6" w:rsidRPr="00BA20F6" w:rsidRDefault="00BA20F6" w:rsidP="00BA20F6">
            <w:pPr>
              <w:jc w:val="center"/>
              <w:rPr>
                <w:sz w:val="22"/>
                <w:szCs w:val="22"/>
              </w:rPr>
            </w:pPr>
            <w:r w:rsidRPr="00BA20F6">
              <w:rPr>
                <w:sz w:val="22"/>
                <w:szCs w:val="22"/>
              </w:rPr>
              <w:t>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0F6" w:rsidRPr="00BA20F6" w:rsidRDefault="00BA20F6" w:rsidP="00BA20F6">
            <w:pPr>
              <w:jc w:val="center"/>
            </w:pPr>
            <w:r w:rsidRPr="00BA20F6">
              <w:t> </w:t>
            </w:r>
          </w:p>
        </w:tc>
      </w:tr>
      <w:tr w:rsidR="00BA20F6" w:rsidRPr="00BA20F6" w:rsidTr="0068761C">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20F6" w:rsidRPr="00BA20F6" w:rsidRDefault="00BA20F6" w:rsidP="00BA20F6"/>
        </w:tc>
        <w:tc>
          <w:tcPr>
            <w:tcW w:w="2740" w:type="dxa"/>
            <w:tcBorders>
              <w:top w:val="single" w:sz="4" w:space="0" w:color="auto"/>
              <w:left w:val="nil"/>
              <w:bottom w:val="single" w:sz="4" w:space="0" w:color="auto"/>
              <w:right w:val="nil"/>
            </w:tcBorders>
            <w:shd w:val="clear" w:color="auto" w:fill="auto"/>
            <w:vAlign w:val="center"/>
            <w:hideMark/>
          </w:tcPr>
          <w:p w:rsidR="00BA20F6" w:rsidRPr="00BA20F6" w:rsidRDefault="00BA20F6" w:rsidP="00BA20F6">
            <w:pPr>
              <w:jc w:val="center"/>
              <w:rPr>
                <w:sz w:val="22"/>
                <w:szCs w:val="22"/>
              </w:rPr>
            </w:pPr>
            <w:r w:rsidRPr="00BA20F6">
              <w:rPr>
                <w:sz w:val="22"/>
                <w:szCs w:val="22"/>
              </w:rPr>
              <w:t>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0F6" w:rsidRPr="00BA20F6" w:rsidRDefault="00BA20F6" w:rsidP="00BA20F6">
            <w:pPr>
              <w:jc w:val="center"/>
            </w:pPr>
            <w:r w:rsidRPr="00BA20F6">
              <w:t> </w:t>
            </w:r>
          </w:p>
        </w:tc>
      </w:tr>
      <w:tr w:rsidR="00BA20F6" w:rsidRPr="00BA20F6" w:rsidTr="0068761C">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20F6" w:rsidRPr="00BA20F6" w:rsidRDefault="00BA20F6" w:rsidP="00BA20F6">
            <w:pPr>
              <w:rPr>
                <w:b/>
                <w:bCs/>
              </w:rPr>
            </w:pPr>
          </w:p>
        </w:tc>
        <w:tc>
          <w:tcPr>
            <w:tcW w:w="2740" w:type="dxa"/>
            <w:tcBorders>
              <w:top w:val="single" w:sz="4" w:space="0" w:color="auto"/>
              <w:left w:val="nil"/>
              <w:bottom w:val="single" w:sz="4" w:space="0" w:color="auto"/>
              <w:right w:val="nil"/>
            </w:tcBorders>
            <w:shd w:val="clear" w:color="auto" w:fill="auto"/>
            <w:vAlign w:val="center"/>
            <w:hideMark/>
          </w:tcPr>
          <w:p w:rsidR="00BA20F6" w:rsidRPr="00BA20F6" w:rsidRDefault="00BA20F6" w:rsidP="00BA20F6">
            <w:pPr>
              <w:jc w:val="center"/>
              <w:rPr>
                <w:sz w:val="22"/>
                <w:szCs w:val="22"/>
              </w:rPr>
            </w:pPr>
            <w:r w:rsidRPr="00BA20F6">
              <w:rPr>
                <w:sz w:val="22"/>
                <w:szCs w:val="22"/>
              </w:rPr>
              <w:t>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0F6" w:rsidRPr="00BA20F6" w:rsidRDefault="00BA20F6" w:rsidP="00BA20F6">
            <w:pPr>
              <w:jc w:val="center"/>
            </w:pPr>
            <w:r w:rsidRPr="00BA20F6">
              <w:t> </w:t>
            </w:r>
          </w:p>
        </w:tc>
      </w:tr>
      <w:tr w:rsidR="00BA20F6" w:rsidRPr="00BA20F6" w:rsidTr="0068761C">
        <w:trPr>
          <w:trHeight w:val="312"/>
        </w:trPr>
        <w:tc>
          <w:tcPr>
            <w:tcW w:w="4160" w:type="dxa"/>
            <w:tcBorders>
              <w:top w:val="nil"/>
              <w:left w:val="single" w:sz="4" w:space="0" w:color="auto"/>
              <w:bottom w:val="single" w:sz="4" w:space="0" w:color="auto"/>
              <w:right w:val="single" w:sz="4" w:space="0" w:color="auto"/>
            </w:tcBorders>
            <w:shd w:val="clear" w:color="auto" w:fill="auto"/>
            <w:noWrap/>
            <w:vAlign w:val="bottom"/>
          </w:tcPr>
          <w:p w:rsidR="00BA20F6" w:rsidRPr="00BA20F6" w:rsidRDefault="00BA20F6" w:rsidP="00BA20F6"/>
        </w:tc>
        <w:tc>
          <w:tcPr>
            <w:tcW w:w="2740" w:type="dxa"/>
            <w:tcBorders>
              <w:top w:val="nil"/>
              <w:left w:val="nil"/>
              <w:bottom w:val="single" w:sz="4" w:space="0" w:color="auto"/>
              <w:right w:val="single" w:sz="4" w:space="0" w:color="auto"/>
            </w:tcBorders>
            <w:shd w:val="clear" w:color="auto" w:fill="auto"/>
            <w:vAlign w:val="center"/>
            <w:hideMark/>
          </w:tcPr>
          <w:p w:rsidR="00BA20F6" w:rsidRPr="00BA20F6" w:rsidRDefault="00BA20F6" w:rsidP="00BA20F6">
            <w:pPr>
              <w:jc w:val="center"/>
              <w:rPr>
                <w:sz w:val="20"/>
                <w:szCs w:val="20"/>
              </w:rPr>
            </w:pPr>
            <w:r w:rsidRPr="00BA20F6">
              <w:rPr>
                <w:sz w:val="20"/>
                <w:szCs w:val="20"/>
              </w:rPr>
              <w:t> </w:t>
            </w:r>
          </w:p>
        </w:tc>
        <w:tc>
          <w:tcPr>
            <w:tcW w:w="2526" w:type="dxa"/>
            <w:tcBorders>
              <w:top w:val="nil"/>
              <w:left w:val="nil"/>
              <w:bottom w:val="single" w:sz="4" w:space="0" w:color="auto"/>
              <w:right w:val="single" w:sz="4" w:space="0" w:color="auto"/>
            </w:tcBorders>
            <w:shd w:val="clear" w:color="auto" w:fill="auto"/>
            <w:noWrap/>
            <w:hideMark/>
          </w:tcPr>
          <w:p w:rsidR="00BA20F6" w:rsidRPr="00BA20F6" w:rsidRDefault="00BA20F6" w:rsidP="00BA20F6">
            <w:pPr>
              <w:jc w:val="center"/>
            </w:pPr>
            <w:r w:rsidRPr="00BA20F6">
              <w:t> </w:t>
            </w:r>
          </w:p>
        </w:tc>
      </w:tr>
      <w:tr w:rsidR="00BA20F6" w:rsidRPr="00BA20F6" w:rsidTr="0068761C">
        <w:trPr>
          <w:trHeight w:val="312"/>
        </w:trPr>
        <w:tc>
          <w:tcPr>
            <w:tcW w:w="4160" w:type="dxa"/>
            <w:tcBorders>
              <w:top w:val="nil"/>
              <w:left w:val="nil"/>
              <w:bottom w:val="nil"/>
              <w:right w:val="nil"/>
            </w:tcBorders>
            <w:shd w:val="clear" w:color="000000" w:fill="FFFFFF"/>
            <w:noWrap/>
            <w:vAlign w:val="bottom"/>
            <w:hideMark/>
          </w:tcPr>
          <w:p w:rsidR="00BA20F6" w:rsidRPr="00BA20F6" w:rsidRDefault="00BA20F6" w:rsidP="00BA20F6">
            <w:r w:rsidRPr="00BA20F6">
              <w:t> </w:t>
            </w:r>
          </w:p>
        </w:tc>
        <w:tc>
          <w:tcPr>
            <w:tcW w:w="2740" w:type="dxa"/>
            <w:tcBorders>
              <w:top w:val="nil"/>
              <w:left w:val="nil"/>
              <w:bottom w:val="nil"/>
              <w:right w:val="nil"/>
            </w:tcBorders>
            <w:shd w:val="clear" w:color="auto" w:fill="auto"/>
            <w:vAlign w:val="center"/>
            <w:hideMark/>
          </w:tcPr>
          <w:p w:rsidR="00BA20F6" w:rsidRPr="00BA20F6" w:rsidRDefault="00BA20F6" w:rsidP="00BA20F6">
            <w:pPr>
              <w:jc w:val="center"/>
              <w:rPr>
                <w:sz w:val="20"/>
                <w:szCs w:val="20"/>
              </w:rPr>
            </w:pPr>
          </w:p>
        </w:tc>
        <w:tc>
          <w:tcPr>
            <w:tcW w:w="2526" w:type="dxa"/>
            <w:tcBorders>
              <w:top w:val="nil"/>
              <w:left w:val="nil"/>
              <w:bottom w:val="nil"/>
              <w:right w:val="nil"/>
            </w:tcBorders>
            <w:shd w:val="clear" w:color="auto" w:fill="auto"/>
            <w:noWrap/>
            <w:hideMark/>
          </w:tcPr>
          <w:p w:rsidR="00BA20F6" w:rsidRPr="00BA20F6" w:rsidRDefault="00BA20F6" w:rsidP="00BA20F6">
            <w:pPr>
              <w:jc w:val="center"/>
            </w:pPr>
          </w:p>
        </w:tc>
      </w:tr>
      <w:tr w:rsidR="00BA20F6" w:rsidRPr="00BA20F6" w:rsidTr="0068761C">
        <w:trPr>
          <w:trHeight w:val="312"/>
        </w:trPr>
        <w:tc>
          <w:tcPr>
            <w:tcW w:w="4160" w:type="dxa"/>
            <w:tcBorders>
              <w:top w:val="nil"/>
              <w:left w:val="nil"/>
              <w:bottom w:val="nil"/>
              <w:right w:val="nil"/>
            </w:tcBorders>
            <w:shd w:val="clear" w:color="auto" w:fill="auto"/>
            <w:noWrap/>
            <w:vAlign w:val="bottom"/>
            <w:hideMark/>
          </w:tcPr>
          <w:p w:rsidR="00BA20F6" w:rsidRPr="00BA20F6" w:rsidRDefault="00BA20F6" w:rsidP="00BA20F6"/>
        </w:tc>
        <w:tc>
          <w:tcPr>
            <w:tcW w:w="2740" w:type="dxa"/>
            <w:tcBorders>
              <w:top w:val="nil"/>
              <w:left w:val="nil"/>
              <w:bottom w:val="nil"/>
              <w:right w:val="nil"/>
            </w:tcBorders>
            <w:shd w:val="clear" w:color="auto" w:fill="auto"/>
            <w:vAlign w:val="center"/>
            <w:hideMark/>
          </w:tcPr>
          <w:p w:rsidR="00BA20F6" w:rsidRPr="00BA20F6" w:rsidRDefault="00BA20F6" w:rsidP="00BA20F6">
            <w:pPr>
              <w:jc w:val="center"/>
              <w:rPr>
                <w:sz w:val="20"/>
                <w:szCs w:val="20"/>
              </w:rPr>
            </w:pPr>
          </w:p>
        </w:tc>
        <w:tc>
          <w:tcPr>
            <w:tcW w:w="2526" w:type="dxa"/>
            <w:tcBorders>
              <w:top w:val="nil"/>
              <w:left w:val="nil"/>
              <w:bottom w:val="nil"/>
              <w:right w:val="nil"/>
            </w:tcBorders>
            <w:shd w:val="clear" w:color="auto" w:fill="auto"/>
            <w:noWrap/>
            <w:hideMark/>
          </w:tcPr>
          <w:p w:rsidR="00BA20F6" w:rsidRPr="00BA20F6" w:rsidRDefault="00BA20F6" w:rsidP="00BA20F6">
            <w:pPr>
              <w:jc w:val="center"/>
            </w:pPr>
          </w:p>
        </w:tc>
      </w:tr>
      <w:tr w:rsidR="00BA20F6" w:rsidRPr="00BA20F6" w:rsidTr="0068761C">
        <w:trPr>
          <w:trHeight w:val="276"/>
        </w:trPr>
        <w:tc>
          <w:tcPr>
            <w:tcW w:w="9426" w:type="dxa"/>
            <w:gridSpan w:val="3"/>
            <w:tcBorders>
              <w:top w:val="nil"/>
              <w:left w:val="nil"/>
              <w:bottom w:val="nil"/>
              <w:right w:val="nil"/>
            </w:tcBorders>
            <w:shd w:val="clear" w:color="auto" w:fill="auto"/>
            <w:noWrap/>
            <w:vAlign w:val="bottom"/>
          </w:tcPr>
          <w:p w:rsidR="00BA20F6" w:rsidRPr="00BA20F6" w:rsidRDefault="00BA20F6" w:rsidP="00BA20F6">
            <w:pPr>
              <w:rPr>
                <w:b/>
                <w:bCs/>
                <w:color w:val="FF0000"/>
                <w:sz w:val="22"/>
                <w:szCs w:val="22"/>
              </w:rPr>
            </w:pPr>
          </w:p>
        </w:tc>
      </w:tr>
      <w:tr w:rsidR="00BA20F6" w:rsidRPr="00BA20F6" w:rsidTr="0068761C">
        <w:trPr>
          <w:trHeight w:val="276"/>
        </w:trPr>
        <w:tc>
          <w:tcPr>
            <w:tcW w:w="4160" w:type="dxa"/>
            <w:tcBorders>
              <w:top w:val="nil"/>
              <w:left w:val="nil"/>
              <w:bottom w:val="nil"/>
              <w:right w:val="nil"/>
            </w:tcBorders>
            <w:shd w:val="clear" w:color="auto" w:fill="auto"/>
            <w:noWrap/>
            <w:vAlign w:val="bottom"/>
            <w:hideMark/>
          </w:tcPr>
          <w:p w:rsidR="00BA20F6" w:rsidRPr="00BA20F6" w:rsidRDefault="00BA20F6" w:rsidP="00BA20F6">
            <w:pPr>
              <w:rPr>
                <w:color w:val="FF0000"/>
                <w:sz w:val="22"/>
                <w:szCs w:val="22"/>
              </w:rPr>
            </w:pPr>
          </w:p>
        </w:tc>
        <w:tc>
          <w:tcPr>
            <w:tcW w:w="2740" w:type="dxa"/>
            <w:tcBorders>
              <w:top w:val="nil"/>
              <w:left w:val="nil"/>
              <w:bottom w:val="nil"/>
              <w:right w:val="nil"/>
            </w:tcBorders>
            <w:shd w:val="clear" w:color="auto" w:fill="auto"/>
            <w:noWrap/>
            <w:vAlign w:val="bottom"/>
            <w:hideMark/>
          </w:tcPr>
          <w:p w:rsidR="00BA20F6" w:rsidRPr="00BA20F6" w:rsidRDefault="00BA20F6" w:rsidP="00BA20F6">
            <w:pPr>
              <w:rPr>
                <w:sz w:val="20"/>
                <w:szCs w:val="20"/>
              </w:rPr>
            </w:pPr>
          </w:p>
        </w:tc>
        <w:tc>
          <w:tcPr>
            <w:tcW w:w="2526" w:type="dxa"/>
            <w:tcBorders>
              <w:top w:val="nil"/>
              <w:left w:val="nil"/>
              <w:bottom w:val="nil"/>
              <w:right w:val="nil"/>
            </w:tcBorders>
            <w:shd w:val="clear" w:color="auto" w:fill="auto"/>
            <w:noWrap/>
            <w:vAlign w:val="bottom"/>
            <w:hideMark/>
          </w:tcPr>
          <w:p w:rsidR="00BA20F6" w:rsidRPr="00BA20F6" w:rsidRDefault="00BA20F6" w:rsidP="00BA20F6">
            <w:pPr>
              <w:rPr>
                <w:sz w:val="20"/>
                <w:szCs w:val="20"/>
              </w:rPr>
            </w:pPr>
          </w:p>
        </w:tc>
      </w:tr>
      <w:tr w:rsidR="00BA20F6" w:rsidRPr="00BA20F6" w:rsidTr="0068761C">
        <w:trPr>
          <w:trHeight w:val="276"/>
        </w:trPr>
        <w:tc>
          <w:tcPr>
            <w:tcW w:w="4160" w:type="dxa"/>
            <w:tcBorders>
              <w:top w:val="nil"/>
              <w:left w:val="nil"/>
              <w:bottom w:val="nil"/>
              <w:right w:val="nil"/>
            </w:tcBorders>
            <w:shd w:val="clear" w:color="auto" w:fill="auto"/>
            <w:noWrap/>
            <w:vAlign w:val="bottom"/>
            <w:hideMark/>
          </w:tcPr>
          <w:p w:rsidR="00BA20F6" w:rsidRPr="00BA20F6" w:rsidRDefault="00BA20F6" w:rsidP="00BA20F6">
            <w:pPr>
              <w:rPr>
                <w:sz w:val="22"/>
                <w:szCs w:val="22"/>
              </w:rPr>
            </w:pPr>
          </w:p>
        </w:tc>
        <w:tc>
          <w:tcPr>
            <w:tcW w:w="2740" w:type="dxa"/>
            <w:tcBorders>
              <w:top w:val="nil"/>
              <w:left w:val="nil"/>
              <w:bottom w:val="nil"/>
              <w:right w:val="nil"/>
            </w:tcBorders>
            <w:shd w:val="clear" w:color="auto" w:fill="auto"/>
            <w:noWrap/>
            <w:vAlign w:val="bottom"/>
            <w:hideMark/>
          </w:tcPr>
          <w:p w:rsidR="00BA20F6" w:rsidRPr="00BA20F6" w:rsidRDefault="00BA20F6" w:rsidP="00BA20F6">
            <w:pPr>
              <w:rPr>
                <w:sz w:val="20"/>
                <w:szCs w:val="20"/>
              </w:rPr>
            </w:pPr>
          </w:p>
        </w:tc>
        <w:tc>
          <w:tcPr>
            <w:tcW w:w="2526" w:type="dxa"/>
            <w:tcBorders>
              <w:top w:val="nil"/>
              <w:left w:val="nil"/>
              <w:bottom w:val="nil"/>
              <w:right w:val="nil"/>
            </w:tcBorders>
            <w:shd w:val="clear" w:color="auto" w:fill="auto"/>
            <w:noWrap/>
            <w:vAlign w:val="bottom"/>
            <w:hideMark/>
          </w:tcPr>
          <w:p w:rsidR="00BA20F6" w:rsidRPr="00BA20F6" w:rsidRDefault="00BA20F6" w:rsidP="00BA20F6">
            <w:pPr>
              <w:rPr>
                <w:sz w:val="20"/>
                <w:szCs w:val="20"/>
              </w:rPr>
            </w:pPr>
          </w:p>
        </w:tc>
      </w:tr>
      <w:tr w:rsidR="00BA20F6" w:rsidRPr="00BA20F6" w:rsidTr="0068761C">
        <w:trPr>
          <w:trHeight w:val="276"/>
        </w:trPr>
        <w:tc>
          <w:tcPr>
            <w:tcW w:w="4160" w:type="dxa"/>
            <w:tcBorders>
              <w:top w:val="nil"/>
              <w:left w:val="nil"/>
              <w:bottom w:val="nil"/>
              <w:right w:val="nil"/>
            </w:tcBorders>
            <w:shd w:val="clear" w:color="auto" w:fill="auto"/>
            <w:noWrap/>
            <w:vAlign w:val="bottom"/>
            <w:hideMark/>
          </w:tcPr>
          <w:p w:rsidR="00BA20F6" w:rsidRPr="00BA20F6" w:rsidRDefault="00BA20F6" w:rsidP="00BA20F6">
            <w:pPr>
              <w:rPr>
                <w:sz w:val="22"/>
                <w:szCs w:val="22"/>
              </w:rPr>
            </w:pPr>
            <w:r w:rsidRPr="00BA20F6">
              <w:rPr>
                <w:sz w:val="22"/>
                <w:szCs w:val="22"/>
              </w:rPr>
              <w:lastRenderedPageBreak/>
              <w:t>Rengėjas: _____________________</w:t>
            </w:r>
          </w:p>
        </w:tc>
        <w:tc>
          <w:tcPr>
            <w:tcW w:w="2740" w:type="dxa"/>
            <w:tcBorders>
              <w:top w:val="nil"/>
              <w:left w:val="nil"/>
              <w:bottom w:val="nil"/>
              <w:right w:val="nil"/>
            </w:tcBorders>
            <w:shd w:val="clear" w:color="auto" w:fill="auto"/>
            <w:noWrap/>
            <w:vAlign w:val="bottom"/>
            <w:hideMark/>
          </w:tcPr>
          <w:p w:rsidR="00BA20F6" w:rsidRPr="00BA20F6" w:rsidRDefault="00BA20F6" w:rsidP="00BA20F6">
            <w:pPr>
              <w:rPr>
                <w:sz w:val="20"/>
                <w:szCs w:val="20"/>
              </w:rPr>
            </w:pPr>
            <w:r w:rsidRPr="00BA20F6">
              <w:rPr>
                <w:sz w:val="20"/>
                <w:szCs w:val="20"/>
              </w:rPr>
              <w:t>______________________</w:t>
            </w:r>
          </w:p>
        </w:tc>
        <w:tc>
          <w:tcPr>
            <w:tcW w:w="2526" w:type="dxa"/>
            <w:tcBorders>
              <w:top w:val="nil"/>
              <w:left w:val="nil"/>
              <w:bottom w:val="nil"/>
              <w:right w:val="nil"/>
            </w:tcBorders>
            <w:shd w:val="clear" w:color="auto" w:fill="auto"/>
            <w:noWrap/>
            <w:vAlign w:val="bottom"/>
            <w:hideMark/>
          </w:tcPr>
          <w:p w:rsidR="00BA20F6" w:rsidRPr="00BA20F6" w:rsidRDefault="00BA20F6" w:rsidP="00BA20F6">
            <w:pPr>
              <w:jc w:val="both"/>
              <w:rPr>
                <w:sz w:val="22"/>
                <w:szCs w:val="22"/>
              </w:rPr>
            </w:pPr>
            <w:r w:rsidRPr="00BA20F6">
              <w:rPr>
                <w:sz w:val="22"/>
                <w:szCs w:val="22"/>
              </w:rPr>
              <w:t>_____________________</w:t>
            </w:r>
          </w:p>
        </w:tc>
      </w:tr>
      <w:tr w:rsidR="00BA20F6" w:rsidRPr="00BA20F6" w:rsidTr="0068761C">
        <w:trPr>
          <w:trHeight w:val="264"/>
        </w:trPr>
        <w:tc>
          <w:tcPr>
            <w:tcW w:w="4160" w:type="dxa"/>
            <w:tcBorders>
              <w:top w:val="nil"/>
              <w:left w:val="nil"/>
              <w:bottom w:val="nil"/>
              <w:right w:val="nil"/>
            </w:tcBorders>
            <w:shd w:val="clear" w:color="auto" w:fill="auto"/>
            <w:noWrap/>
            <w:vAlign w:val="bottom"/>
            <w:hideMark/>
          </w:tcPr>
          <w:p w:rsidR="00BA20F6" w:rsidRPr="00BA20F6" w:rsidRDefault="00BA20F6" w:rsidP="00BA20F6">
            <w:pPr>
              <w:rPr>
                <w:i/>
                <w:sz w:val="20"/>
                <w:szCs w:val="20"/>
              </w:rPr>
            </w:pPr>
            <w:r w:rsidRPr="00BA20F6">
              <w:rPr>
                <w:i/>
                <w:sz w:val="20"/>
                <w:szCs w:val="20"/>
              </w:rPr>
              <w:t xml:space="preserve">                          (pareigos)</w:t>
            </w:r>
          </w:p>
        </w:tc>
        <w:tc>
          <w:tcPr>
            <w:tcW w:w="2740" w:type="dxa"/>
            <w:tcBorders>
              <w:top w:val="nil"/>
              <w:left w:val="nil"/>
              <w:bottom w:val="nil"/>
              <w:right w:val="nil"/>
            </w:tcBorders>
            <w:shd w:val="clear" w:color="auto" w:fill="auto"/>
            <w:noWrap/>
            <w:vAlign w:val="bottom"/>
            <w:hideMark/>
          </w:tcPr>
          <w:p w:rsidR="00BA20F6" w:rsidRPr="00BA20F6" w:rsidRDefault="00BA20F6" w:rsidP="00BA20F6">
            <w:pPr>
              <w:rPr>
                <w:i/>
                <w:sz w:val="20"/>
                <w:szCs w:val="20"/>
              </w:rPr>
            </w:pPr>
            <w:r w:rsidRPr="00BA20F6">
              <w:rPr>
                <w:i/>
                <w:sz w:val="20"/>
                <w:szCs w:val="20"/>
              </w:rPr>
              <w:t xml:space="preserve">        (parašas)</w:t>
            </w:r>
          </w:p>
        </w:tc>
        <w:tc>
          <w:tcPr>
            <w:tcW w:w="2526" w:type="dxa"/>
            <w:tcBorders>
              <w:top w:val="nil"/>
              <w:left w:val="nil"/>
              <w:bottom w:val="nil"/>
              <w:right w:val="nil"/>
            </w:tcBorders>
            <w:shd w:val="clear" w:color="auto" w:fill="auto"/>
            <w:noWrap/>
            <w:vAlign w:val="bottom"/>
            <w:hideMark/>
          </w:tcPr>
          <w:p w:rsidR="00BA20F6" w:rsidRPr="00BA20F6" w:rsidRDefault="00BA20F6" w:rsidP="00BA20F6">
            <w:pPr>
              <w:rPr>
                <w:i/>
                <w:sz w:val="20"/>
                <w:szCs w:val="20"/>
              </w:rPr>
            </w:pPr>
            <w:r w:rsidRPr="00BA20F6">
              <w:rPr>
                <w:i/>
                <w:sz w:val="20"/>
                <w:szCs w:val="20"/>
              </w:rPr>
              <w:t xml:space="preserve">  (vardas pavardė)</w:t>
            </w:r>
          </w:p>
        </w:tc>
      </w:tr>
      <w:tr w:rsidR="00BA20F6" w:rsidRPr="00BA20F6" w:rsidTr="0068761C">
        <w:trPr>
          <w:trHeight w:val="264"/>
        </w:trPr>
        <w:tc>
          <w:tcPr>
            <w:tcW w:w="4160" w:type="dxa"/>
            <w:tcBorders>
              <w:top w:val="nil"/>
              <w:left w:val="nil"/>
              <w:bottom w:val="nil"/>
              <w:right w:val="nil"/>
            </w:tcBorders>
            <w:shd w:val="clear" w:color="auto" w:fill="auto"/>
            <w:noWrap/>
            <w:vAlign w:val="bottom"/>
            <w:hideMark/>
          </w:tcPr>
          <w:p w:rsidR="00BA20F6" w:rsidRPr="00BA20F6" w:rsidRDefault="00BA20F6" w:rsidP="00BA20F6">
            <w:pPr>
              <w:rPr>
                <w:sz w:val="20"/>
                <w:szCs w:val="20"/>
              </w:rPr>
            </w:pPr>
          </w:p>
        </w:tc>
        <w:tc>
          <w:tcPr>
            <w:tcW w:w="2740" w:type="dxa"/>
            <w:tcBorders>
              <w:top w:val="nil"/>
              <w:left w:val="nil"/>
              <w:bottom w:val="nil"/>
              <w:right w:val="nil"/>
            </w:tcBorders>
            <w:shd w:val="clear" w:color="auto" w:fill="auto"/>
            <w:noWrap/>
            <w:vAlign w:val="bottom"/>
            <w:hideMark/>
          </w:tcPr>
          <w:p w:rsidR="00BA20F6" w:rsidRPr="00BA20F6" w:rsidRDefault="00BA20F6" w:rsidP="00BA20F6">
            <w:pPr>
              <w:rPr>
                <w:sz w:val="20"/>
                <w:szCs w:val="20"/>
              </w:rPr>
            </w:pPr>
          </w:p>
        </w:tc>
        <w:tc>
          <w:tcPr>
            <w:tcW w:w="2526" w:type="dxa"/>
            <w:tcBorders>
              <w:top w:val="nil"/>
              <w:left w:val="nil"/>
              <w:bottom w:val="nil"/>
              <w:right w:val="nil"/>
            </w:tcBorders>
            <w:shd w:val="clear" w:color="auto" w:fill="auto"/>
            <w:noWrap/>
            <w:vAlign w:val="bottom"/>
            <w:hideMark/>
          </w:tcPr>
          <w:p w:rsidR="00BA20F6" w:rsidRPr="00BA20F6" w:rsidRDefault="00BA20F6" w:rsidP="00BA20F6">
            <w:pPr>
              <w:rPr>
                <w:sz w:val="20"/>
                <w:szCs w:val="20"/>
              </w:rPr>
            </w:pPr>
          </w:p>
        </w:tc>
      </w:tr>
    </w:tbl>
    <w:p w:rsidR="00BA20F6" w:rsidRPr="00BA20F6" w:rsidRDefault="00BA20F6" w:rsidP="00BA20F6">
      <w:pPr>
        <w:pBdr>
          <w:bottom w:val="single" w:sz="12" w:space="1" w:color="auto"/>
        </w:pBdr>
        <w:spacing w:after="200" w:line="276" w:lineRule="auto"/>
        <w:rPr>
          <w:rFonts w:ascii="Calibri" w:eastAsia="Calibri" w:hAnsi="Calibri"/>
          <w:sz w:val="22"/>
          <w:szCs w:val="22"/>
          <w:lang w:eastAsia="en-US"/>
        </w:rPr>
      </w:pPr>
    </w:p>
    <w:p w:rsidR="00BA20F6" w:rsidRPr="00BA20F6" w:rsidRDefault="00BA20F6" w:rsidP="00BA20F6">
      <w:pPr>
        <w:spacing w:after="200" w:line="276" w:lineRule="auto"/>
        <w:rPr>
          <w:rFonts w:ascii="Calibri" w:eastAsia="Calibri" w:hAnsi="Calibri"/>
          <w:sz w:val="22"/>
          <w:szCs w:val="22"/>
          <w:lang w:eastAsia="en-US"/>
        </w:rPr>
      </w:pPr>
    </w:p>
    <w:tbl>
      <w:tblPr>
        <w:tblW w:w="0" w:type="auto"/>
        <w:tblLook w:val="04A0" w:firstRow="1" w:lastRow="0" w:firstColumn="1" w:lastColumn="0" w:noHBand="0" w:noVBand="1"/>
      </w:tblPr>
      <w:tblGrid>
        <w:gridCol w:w="3372"/>
        <w:gridCol w:w="2406"/>
        <w:gridCol w:w="3372"/>
      </w:tblGrid>
      <w:tr w:rsidR="00BA20F6" w:rsidRPr="00BA20F6" w:rsidTr="0068761C">
        <w:tc>
          <w:tcPr>
            <w:tcW w:w="3372" w:type="dxa"/>
            <w:shd w:val="clear" w:color="auto" w:fill="auto"/>
          </w:tcPr>
          <w:p w:rsidR="00BA20F6" w:rsidRPr="00BA20F6" w:rsidRDefault="00BA20F6" w:rsidP="00BA20F6">
            <w:pPr>
              <w:suppressAutoHyphens/>
              <w:jc w:val="both"/>
              <w:rPr>
                <w:b/>
                <w:lang w:eastAsia="en-US"/>
              </w:rPr>
            </w:pPr>
            <w:r w:rsidRPr="00BA20F6">
              <w:rPr>
                <w:b/>
                <w:lang w:eastAsia="en-US"/>
              </w:rPr>
              <w:t>PIRKĖJAS</w:t>
            </w:r>
          </w:p>
        </w:tc>
        <w:tc>
          <w:tcPr>
            <w:tcW w:w="2406" w:type="dxa"/>
            <w:shd w:val="clear" w:color="auto" w:fill="auto"/>
          </w:tcPr>
          <w:p w:rsidR="00BA20F6" w:rsidRPr="00BA20F6" w:rsidRDefault="00BA20F6" w:rsidP="00BA20F6">
            <w:pPr>
              <w:suppressAutoHyphens/>
              <w:jc w:val="both"/>
              <w:rPr>
                <w:b/>
                <w:lang w:eastAsia="en-US"/>
              </w:rPr>
            </w:pPr>
          </w:p>
        </w:tc>
        <w:tc>
          <w:tcPr>
            <w:tcW w:w="3372" w:type="dxa"/>
            <w:shd w:val="clear" w:color="auto" w:fill="auto"/>
          </w:tcPr>
          <w:p w:rsidR="00BA20F6" w:rsidRPr="00BA20F6" w:rsidRDefault="00BA20F6" w:rsidP="00BA20F6">
            <w:pPr>
              <w:suppressAutoHyphens/>
              <w:jc w:val="both"/>
              <w:rPr>
                <w:b/>
                <w:lang w:eastAsia="en-US"/>
              </w:rPr>
            </w:pPr>
            <w:r w:rsidRPr="00BA20F6">
              <w:rPr>
                <w:b/>
                <w:lang w:eastAsia="en-US"/>
              </w:rPr>
              <w:t>PARDAVĖJAS</w:t>
            </w:r>
          </w:p>
        </w:tc>
      </w:tr>
    </w:tbl>
    <w:p w:rsidR="00BA20F6" w:rsidRPr="00BA20F6" w:rsidRDefault="00BA20F6" w:rsidP="00BA20F6">
      <w:pPr>
        <w:suppressAutoHyphens/>
        <w:jc w:val="both"/>
        <w:rPr>
          <w:b/>
          <w:sz w:val="20"/>
          <w:szCs w:val="20"/>
          <w:lang w:eastAsia="en-US"/>
        </w:rPr>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BA20F6" w:rsidRDefault="00BA20F6" w:rsidP="00646DC6">
      <w:pPr>
        <w:jc w:val="both"/>
      </w:pPr>
    </w:p>
    <w:p w:rsidR="008D07F9" w:rsidRDefault="008D07F9" w:rsidP="00646DC6">
      <w:pPr>
        <w:jc w:val="both"/>
      </w:pPr>
    </w:p>
    <w:p w:rsidR="008D07F9" w:rsidRDefault="008D07F9" w:rsidP="00646DC6">
      <w:pPr>
        <w:jc w:val="both"/>
      </w:pPr>
    </w:p>
    <w:p w:rsidR="008D07F9" w:rsidRDefault="008D07F9" w:rsidP="00646DC6">
      <w:pPr>
        <w:jc w:val="both"/>
      </w:pPr>
    </w:p>
    <w:p w:rsidR="008D07F9" w:rsidRDefault="008D07F9" w:rsidP="00646DC6">
      <w:pPr>
        <w:jc w:val="both"/>
      </w:pPr>
    </w:p>
    <w:p w:rsidR="008D07F9" w:rsidRDefault="008D07F9" w:rsidP="00646DC6">
      <w:pPr>
        <w:jc w:val="both"/>
      </w:pPr>
    </w:p>
    <w:p w:rsidR="008D07F9" w:rsidRDefault="008D07F9" w:rsidP="00646DC6">
      <w:pPr>
        <w:jc w:val="both"/>
      </w:pPr>
    </w:p>
    <w:p w:rsidR="008D07F9" w:rsidRPr="008D07F9" w:rsidRDefault="008D07F9" w:rsidP="008D07F9">
      <w:pPr>
        <w:ind w:firstLine="4820"/>
        <w:rPr>
          <w:lang w:eastAsia="zh-CN"/>
        </w:rPr>
      </w:pPr>
      <w:r w:rsidRPr="008D07F9">
        <w:rPr>
          <w:lang w:eastAsia="zh-CN"/>
        </w:rPr>
        <w:t>20</w:t>
      </w:r>
      <w:r>
        <w:rPr>
          <w:lang w:eastAsia="zh-CN"/>
        </w:rPr>
        <w:t>21</w:t>
      </w:r>
      <w:r w:rsidRPr="008D07F9">
        <w:rPr>
          <w:lang w:eastAsia="zh-CN"/>
        </w:rPr>
        <w:t xml:space="preserve"> m. .............................. d. </w:t>
      </w:r>
    </w:p>
    <w:p w:rsidR="00AC6A05" w:rsidRPr="00BA20F6" w:rsidRDefault="00AC6A05" w:rsidP="00AC6A05">
      <w:pPr>
        <w:ind w:firstLine="4536"/>
        <w:rPr>
          <w:rFonts w:eastAsia="Calibri"/>
          <w:lang w:eastAsia="en-US"/>
        </w:rPr>
      </w:pPr>
      <w:r w:rsidRPr="00BA20F6">
        <w:rPr>
          <w:rFonts w:eastAsia="Calibri"/>
          <w:lang w:eastAsia="en-US"/>
        </w:rPr>
        <w:t>20</w:t>
      </w:r>
      <w:r>
        <w:rPr>
          <w:rFonts w:eastAsia="Calibri"/>
          <w:lang w:eastAsia="en-US"/>
        </w:rPr>
        <w:t>24</w:t>
      </w:r>
      <w:r w:rsidRPr="00BA20F6">
        <w:rPr>
          <w:rFonts w:eastAsia="Calibri"/>
          <w:lang w:eastAsia="en-US"/>
        </w:rPr>
        <w:t xml:space="preserve"> m. ........................ d.</w:t>
      </w:r>
      <w:r>
        <w:rPr>
          <w:rFonts w:eastAsia="Calibri"/>
          <w:lang w:eastAsia="en-US"/>
        </w:rPr>
        <w:t xml:space="preserve"> S</w:t>
      </w:r>
      <w:r w:rsidRPr="00BA20F6">
        <w:rPr>
          <w:rFonts w:eastAsia="Calibri"/>
          <w:lang w:eastAsia="en-US"/>
        </w:rPr>
        <w:t xml:space="preserve">utarties Nr. </w:t>
      </w:r>
    </w:p>
    <w:p w:rsidR="00AC6A05" w:rsidRPr="00BA20F6" w:rsidRDefault="00AC6A05" w:rsidP="00AC6A05">
      <w:pPr>
        <w:ind w:firstLine="4536"/>
        <w:rPr>
          <w:rFonts w:eastAsia="Calibri"/>
          <w:lang w:eastAsia="en-US"/>
        </w:rPr>
      </w:pPr>
      <w:r>
        <w:rPr>
          <w:rFonts w:eastAsia="Calibri"/>
          <w:lang w:eastAsia="en-US"/>
        </w:rPr>
        <w:t>3</w:t>
      </w:r>
      <w:r w:rsidRPr="00BA20F6">
        <w:rPr>
          <w:rFonts w:eastAsia="Calibri"/>
          <w:lang w:eastAsia="en-US"/>
        </w:rPr>
        <w:t xml:space="preserve"> priedas</w:t>
      </w:r>
    </w:p>
    <w:p w:rsidR="008D07F9" w:rsidRPr="008D07F9" w:rsidRDefault="008D07F9" w:rsidP="008D07F9"/>
    <w:p w:rsidR="008D07F9" w:rsidRPr="008D07F9" w:rsidRDefault="008D07F9" w:rsidP="008D07F9"/>
    <w:p w:rsidR="008D07F9" w:rsidRPr="008D07F9" w:rsidRDefault="008D07F9" w:rsidP="008D07F9">
      <w:pPr>
        <w:ind w:right="-993"/>
        <w:jc w:val="center"/>
        <w:rPr>
          <w:b/>
          <w:lang w:eastAsia="en-US"/>
        </w:rPr>
      </w:pPr>
      <w:r w:rsidRPr="008D07F9">
        <w:rPr>
          <w:b/>
          <w:lang w:eastAsia="en-US"/>
        </w:rPr>
        <w:t>KODIFIKAVIMUI REIKALINGOS DOKUMENTŲ FORMOS</w:t>
      </w:r>
    </w:p>
    <w:p w:rsidR="008D07F9" w:rsidRPr="008D07F9" w:rsidRDefault="008D07F9" w:rsidP="008D07F9">
      <w:pPr>
        <w:ind w:right="-993"/>
        <w:jc w:val="center"/>
        <w:rPr>
          <w:b/>
          <w:lang w:eastAsia="en-US"/>
        </w:rPr>
      </w:pPr>
    </w:p>
    <w:p w:rsidR="008D07F9" w:rsidRPr="008D07F9" w:rsidRDefault="008D07F9" w:rsidP="008D07F9">
      <w:pPr>
        <w:ind w:right="-993"/>
        <w:jc w:val="center"/>
        <w:rPr>
          <w:b/>
          <w:lang w:eastAsia="en-US"/>
        </w:rPr>
      </w:pPr>
    </w:p>
    <w:p w:rsidR="008D07F9" w:rsidRPr="008D07F9" w:rsidRDefault="008D07F9" w:rsidP="008D07F9">
      <w:pPr>
        <w:ind w:right="-993"/>
        <w:jc w:val="center"/>
        <w:rPr>
          <w:b/>
          <w:lang w:eastAsia="en-US"/>
        </w:rPr>
      </w:pPr>
    </w:p>
    <w:p w:rsidR="008D07F9" w:rsidRPr="008D07F9" w:rsidRDefault="008D07F9" w:rsidP="008D07F9">
      <w:pPr>
        <w:ind w:right="-993"/>
        <w:jc w:val="center"/>
        <w:outlineLvl w:val="0"/>
        <w:rPr>
          <w:b/>
          <w:lang w:eastAsia="en-US"/>
        </w:rPr>
      </w:pPr>
      <w:r w:rsidRPr="008D07F9">
        <w:rPr>
          <w:b/>
          <w:lang w:eastAsia="en-US"/>
        </w:rPr>
        <w:t>Kodifikuotinų materialinių vertybių sąrašas</w:t>
      </w:r>
    </w:p>
    <w:p w:rsidR="008D07F9" w:rsidRPr="008D07F9" w:rsidRDefault="008D07F9" w:rsidP="008D07F9">
      <w:pPr>
        <w:ind w:right="-993"/>
        <w:jc w:val="center"/>
        <w:rPr>
          <w:b/>
          <w:lang w:eastAsia="en-US"/>
        </w:rPr>
      </w:pPr>
    </w:p>
    <w:p w:rsidR="008D07F9" w:rsidRPr="008D07F9" w:rsidRDefault="008D07F9" w:rsidP="008D07F9">
      <w:pPr>
        <w:ind w:right="-993"/>
        <w:jc w:val="center"/>
        <w:rPr>
          <w:b/>
          <w:lang w:eastAsia="en-US"/>
        </w:rPr>
      </w:pPr>
    </w:p>
    <w:p w:rsidR="008D07F9" w:rsidRPr="008D07F9" w:rsidRDefault="008D07F9" w:rsidP="008D07F9">
      <w:pPr>
        <w:ind w:right="-993"/>
        <w:jc w:val="center"/>
        <w:rPr>
          <w:b/>
          <w:lang w:eastAsia="en-US"/>
        </w:rPr>
      </w:pPr>
    </w:p>
    <w:p w:rsidR="008D07F9" w:rsidRPr="008D07F9" w:rsidRDefault="008D07F9" w:rsidP="008D07F9">
      <w:pPr>
        <w:rPr>
          <w:lang w:eastAsia="zh-CN"/>
        </w:rPr>
      </w:pPr>
      <w:r w:rsidRPr="008D07F9">
        <w:rPr>
          <w:lang w:eastAsia="zh-CN"/>
        </w:rPr>
        <w:t>Sąrašo pateikėjas ir data</w:t>
      </w:r>
      <w:r w:rsidRPr="008D07F9">
        <w:rPr>
          <w:lang w:eastAsia="zh-CN"/>
        </w:rPr>
        <w:tab/>
      </w:r>
      <w:r w:rsidRPr="008D07F9">
        <w:rPr>
          <w:lang w:eastAsia="zh-CN"/>
        </w:rPr>
        <w:tab/>
      </w:r>
      <w:r w:rsidRPr="008D07F9">
        <w:rPr>
          <w:lang w:eastAsia="zh-CN"/>
        </w:rPr>
        <w:tab/>
        <w:t>Pridedami dokumentai:</w:t>
      </w:r>
    </w:p>
    <w:p w:rsidR="008D07F9" w:rsidRPr="008D07F9" w:rsidRDefault="008D07F9" w:rsidP="008D07F9">
      <w:pPr>
        <w:rPr>
          <w:lang w:eastAsia="zh-CN"/>
        </w:rPr>
      </w:pPr>
      <w:r w:rsidRPr="008D07F9">
        <w:rPr>
          <w:lang w:eastAsia="zh-CN"/>
        </w:rPr>
        <w:t>Įsigijimo sutarties numeris: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1134"/>
        <w:gridCol w:w="1275"/>
        <w:gridCol w:w="1134"/>
        <w:gridCol w:w="1762"/>
        <w:gridCol w:w="992"/>
        <w:gridCol w:w="1499"/>
        <w:gridCol w:w="992"/>
      </w:tblGrid>
      <w:tr w:rsidR="008D07F9" w:rsidRPr="008D07F9" w:rsidTr="0068761C">
        <w:tc>
          <w:tcPr>
            <w:tcW w:w="675" w:type="dxa"/>
            <w:vAlign w:val="center"/>
          </w:tcPr>
          <w:p w:rsidR="008D07F9" w:rsidRPr="008D07F9" w:rsidRDefault="008D07F9" w:rsidP="008D07F9">
            <w:pPr>
              <w:framePr w:hSpace="180" w:wrap="around" w:vAnchor="text" w:hAnchor="page" w:x="1067" w:y="666"/>
              <w:jc w:val="center"/>
              <w:rPr>
                <w:lang w:eastAsia="zh-CN"/>
              </w:rPr>
            </w:pPr>
            <w:r w:rsidRPr="008D07F9">
              <w:rPr>
                <w:lang w:eastAsia="zh-CN"/>
              </w:rPr>
              <w:t>Eil. Nr.</w:t>
            </w:r>
          </w:p>
        </w:tc>
        <w:tc>
          <w:tcPr>
            <w:tcW w:w="993" w:type="dxa"/>
            <w:vAlign w:val="center"/>
          </w:tcPr>
          <w:p w:rsidR="008D07F9" w:rsidRPr="008D07F9" w:rsidRDefault="008D07F9" w:rsidP="008D07F9">
            <w:pPr>
              <w:framePr w:hSpace="180" w:wrap="around" w:vAnchor="text" w:hAnchor="page" w:x="1067" w:y="666"/>
              <w:ind w:hanging="108"/>
              <w:jc w:val="center"/>
              <w:rPr>
                <w:lang w:eastAsia="zh-CN"/>
              </w:rPr>
            </w:pPr>
            <w:r w:rsidRPr="008D07F9">
              <w:rPr>
                <w:lang w:eastAsia="zh-CN"/>
              </w:rPr>
              <w:t>Tiekėjas</w:t>
            </w:r>
          </w:p>
        </w:tc>
        <w:tc>
          <w:tcPr>
            <w:tcW w:w="1134" w:type="dxa"/>
            <w:vAlign w:val="center"/>
          </w:tcPr>
          <w:p w:rsidR="008D07F9" w:rsidRPr="008D07F9" w:rsidRDefault="008D07F9" w:rsidP="008D07F9">
            <w:pPr>
              <w:framePr w:hSpace="180" w:wrap="around" w:vAnchor="text" w:hAnchor="page" w:x="1067" w:y="666"/>
              <w:jc w:val="center"/>
              <w:rPr>
                <w:lang w:eastAsia="zh-CN"/>
              </w:rPr>
            </w:pPr>
            <w:r w:rsidRPr="008D07F9">
              <w:rPr>
                <w:lang w:eastAsia="zh-CN"/>
              </w:rPr>
              <w:t>NCAGE</w:t>
            </w:r>
          </w:p>
        </w:tc>
        <w:tc>
          <w:tcPr>
            <w:tcW w:w="1275" w:type="dxa"/>
            <w:vAlign w:val="center"/>
          </w:tcPr>
          <w:p w:rsidR="008D07F9" w:rsidRPr="008D07F9" w:rsidRDefault="008D07F9" w:rsidP="008D07F9">
            <w:pPr>
              <w:framePr w:hSpace="180" w:wrap="around" w:vAnchor="text" w:hAnchor="page" w:x="1067" w:y="666"/>
              <w:ind w:left="-108"/>
              <w:jc w:val="center"/>
              <w:rPr>
                <w:lang w:eastAsia="zh-CN"/>
              </w:rPr>
            </w:pPr>
            <w:r w:rsidRPr="008D07F9">
              <w:rPr>
                <w:lang w:eastAsia="zh-CN"/>
              </w:rPr>
              <w:t>Tikrasis gamintojas</w:t>
            </w:r>
          </w:p>
        </w:tc>
        <w:tc>
          <w:tcPr>
            <w:tcW w:w="1134" w:type="dxa"/>
            <w:vAlign w:val="center"/>
          </w:tcPr>
          <w:p w:rsidR="008D07F9" w:rsidRPr="008D07F9" w:rsidRDefault="008D07F9" w:rsidP="008D07F9">
            <w:pPr>
              <w:framePr w:hSpace="180" w:wrap="around" w:vAnchor="text" w:hAnchor="page" w:x="1067" w:y="666"/>
              <w:jc w:val="center"/>
              <w:rPr>
                <w:lang w:eastAsia="zh-CN"/>
              </w:rPr>
            </w:pPr>
            <w:r w:rsidRPr="008D07F9">
              <w:rPr>
                <w:lang w:eastAsia="zh-CN"/>
              </w:rPr>
              <w:t>NCAGE</w:t>
            </w:r>
          </w:p>
        </w:tc>
        <w:tc>
          <w:tcPr>
            <w:tcW w:w="1762" w:type="dxa"/>
            <w:vAlign w:val="center"/>
          </w:tcPr>
          <w:p w:rsidR="008D07F9" w:rsidRPr="008D07F9" w:rsidRDefault="008D07F9" w:rsidP="008D07F9">
            <w:pPr>
              <w:framePr w:hSpace="180" w:wrap="around" w:vAnchor="text" w:hAnchor="page" w:x="1067" w:y="666"/>
              <w:jc w:val="center"/>
              <w:rPr>
                <w:lang w:eastAsia="zh-CN"/>
              </w:rPr>
            </w:pPr>
            <w:r w:rsidRPr="008D07F9">
              <w:rPr>
                <w:lang w:eastAsia="zh-CN"/>
              </w:rPr>
              <w:t>Gamyklinis numeris ar kitas identifikavimo kodas</w:t>
            </w:r>
          </w:p>
        </w:tc>
        <w:tc>
          <w:tcPr>
            <w:tcW w:w="992" w:type="dxa"/>
            <w:vAlign w:val="center"/>
          </w:tcPr>
          <w:p w:rsidR="008D07F9" w:rsidRPr="008D07F9" w:rsidRDefault="008D07F9" w:rsidP="008D07F9">
            <w:pPr>
              <w:framePr w:hSpace="180" w:wrap="around" w:vAnchor="text" w:hAnchor="page" w:x="1067" w:y="666"/>
              <w:ind w:left="-108" w:firstLine="108"/>
              <w:jc w:val="center"/>
              <w:rPr>
                <w:lang w:eastAsia="zh-CN"/>
              </w:rPr>
            </w:pPr>
            <w:r w:rsidRPr="008D07F9">
              <w:rPr>
                <w:lang w:eastAsia="zh-CN"/>
              </w:rPr>
              <w:t xml:space="preserve">NSN kodas </w:t>
            </w:r>
          </w:p>
          <w:p w:rsidR="008D07F9" w:rsidRPr="008D07F9" w:rsidRDefault="008D07F9" w:rsidP="008D07F9">
            <w:pPr>
              <w:framePr w:hSpace="180" w:wrap="around" w:vAnchor="text" w:hAnchor="page" w:x="1067" w:y="666"/>
              <w:ind w:left="-108" w:right="-108"/>
              <w:jc w:val="center"/>
              <w:rPr>
                <w:lang w:eastAsia="zh-CN"/>
              </w:rPr>
            </w:pPr>
            <w:r w:rsidRPr="008D07F9">
              <w:rPr>
                <w:lang w:eastAsia="zh-CN"/>
              </w:rPr>
              <w:t>(jei žinomas)</w:t>
            </w:r>
          </w:p>
        </w:tc>
        <w:tc>
          <w:tcPr>
            <w:tcW w:w="1499" w:type="dxa"/>
            <w:vAlign w:val="center"/>
          </w:tcPr>
          <w:p w:rsidR="008D07F9" w:rsidRPr="008D07F9" w:rsidRDefault="008D07F9" w:rsidP="008D07F9">
            <w:pPr>
              <w:framePr w:hSpace="180" w:wrap="around" w:vAnchor="text" w:hAnchor="page" w:x="1067" w:y="666"/>
              <w:ind w:right="-108" w:hanging="27"/>
              <w:jc w:val="center"/>
              <w:rPr>
                <w:lang w:eastAsia="zh-CN"/>
              </w:rPr>
            </w:pPr>
            <w:r w:rsidRPr="008D07F9">
              <w:rPr>
                <w:lang w:eastAsia="zh-CN"/>
              </w:rPr>
              <w:t>Pavadinimas</w:t>
            </w:r>
          </w:p>
        </w:tc>
        <w:tc>
          <w:tcPr>
            <w:tcW w:w="992" w:type="dxa"/>
            <w:vAlign w:val="center"/>
          </w:tcPr>
          <w:p w:rsidR="008D07F9" w:rsidRPr="008D07F9" w:rsidRDefault="008D07F9" w:rsidP="008D07F9">
            <w:pPr>
              <w:framePr w:hSpace="180" w:wrap="around" w:vAnchor="text" w:hAnchor="page" w:x="1067" w:y="666"/>
              <w:jc w:val="center"/>
              <w:rPr>
                <w:lang w:eastAsia="zh-CN"/>
              </w:rPr>
            </w:pPr>
            <w:r w:rsidRPr="008D07F9">
              <w:rPr>
                <w:lang w:eastAsia="zh-CN"/>
              </w:rPr>
              <w:t>Kaina</w:t>
            </w:r>
          </w:p>
        </w:tc>
      </w:tr>
      <w:tr w:rsidR="008D07F9" w:rsidRPr="008D07F9" w:rsidTr="0068761C">
        <w:tc>
          <w:tcPr>
            <w:tcW w:w="675" w:type="dxa"/>
          </w:tcPr>
          <w:p w:rsidR="008D07F9" w:rsidRPr="008D07F9" w:rsidRDefault="008D07F9" w:rsidP="008D07F9">
            <w:pPr>
              <w:framePr w:hSpace="180" w:wrap="around" w:vAnchor="text" w:hAnchor="page" w:x="1067" w:y="666"/>
              <w:jc w:val="center"/>
              <w:rPr>
                <w:lang w:eastAsia="zh-CN"/>
              </w:rPr>
            </w:pPr>
            <w:r w:rsidRPr="008D07F9">
              <w:rPr>
                <w:lang w:eastAsia="zh-CN"/>
              </w:rPr>
              <w:t>1</w:t>
            </w:r>
          </w:p>
        </w:tc>
        <w:tc>
          <w:tcPr>
            <w:tcW w:w="993" w:type="dxa"/>
          </w:tcPr>
          <w:p w:rsidR="008D07F9" w:rsidRPr="008D07F9" w:rsidRDefault="008D07F9" w:rsidP="008D07F9">
            <w:pPr>
              <w:framePr w:hSpace="180" w:wrap="around" w:vAnchor="text" w:hAnchor="page" w:x="1067" w:y="666"/>
              <w:jc w:val="center"/>
              <w:rPr>
                <w:lang w:eastAsia="zh-CN"/>
              </w:rPr>
            </w:pPr>
            <w:r w:rsidRPr="008D07F9">
              <w:rPr>
                <w:lang w:eastAsia="zh-CN"/>
              </w:rPr>
              <w:t>2</w:t>
            </w:r>
          </w:p>
        </w:tc>
        <w:tc>
          <w:tcPr>
            <w:tcW w:w="1134" w:type="dxa"/>
          </w:tcPr>
          <w:p w:rsidR="008D07F9" w:rsidRPr="008D07F9" w:rsidRDefault="008D07F9" w:rsidP="008D07F9">
            <w:pPr>
              <w:framePr w:hSpace="180" w:wrap="around" w:vAnchor="text" w:hAnchor="page" w:x="1067" w:y="666"/>
              <w:jc w:val="center"/>
              <w:rPr>
                <w:lang w:eastAsia="zh-CN"/>
              </w:rPr>
            </w:pPr>
            <w:r w:rsidRPr="008D07F9">
              <w:rPr>
                <w:lang w:eastAsia="zh-CN"/>
              </w:rPr>
              <w:t>3</w:t>
            </w:r>
          </w:p>
        </w:tc>
        <w:tc>
          <w:tcPr>
            <w:tcW w:w="1275" w:type="dxa"/>
          </w:tcPr>
          <w:p w:rsidR="008D07F9" w:rsidRPr="008D07F9" w:rsidRDefault="008D07F9" w:rsidP="008D07F9">
            <w:pPr>
              <w:framePr w:hSpace="180" w:wrap="around" w:vAnchor="text" w:hAnchor="page" w:x="1067" w:y="666"/>
              <w:jc w:val="center"/>
              <w:rPr>
                <w:lang w:eastAsia="zh-CN"/>
              </w:rPr>
            </w:pPr>
            <w:r w:rsidRPr="008D07F9">
              <w:rPr>
                <w:lang w:eastAsia="zh-CN"/>
              </w:rPr>
              <w:t>4</w:t>
            </w:r>
          </w:p>
        </w:tc>
        <w:tc>
          <w:tcPr>
            <w:tcW w:w="1134" w:type="dxa"/>
          </w:tcPr>
          <w:p w:rsidR="008D07F9" w:rsidRPr="008D07F9" w:rsidRDefault="008D07F9" w:rsidP="008D07F9">
            <w:pPr>
              <w:framePr w:hSpace="180" w:wrap="around" w:vAnchor="text" w:hAnchor="page" w:x="1067" w:y="666"/>
              <w:jc w:val="center"/>
              <w:rPr>
                <w:lang w:eastAsia="zh-CN"/>
              </w:rPr>
            </w:pPr>
            <w:r w:rsidRPr="008D07F9">
              <w:rPr>
                <w:lang w:eastAsia="zh-CN"/>
              </w:rPr>
              <w:t>5</w:t>
            </w:r>
          </w:p>
        </w:tc>
        <w:tc>
          <w:tcPr>
            <w:tcW w:w="1762" w:type="dxa"/>
          </w:tcPr>
          <w:p w:rsidR="008D07F9" w:rsidRPr="008D07F9" w:rsidRDefault="008D07F9" w:rsidP="008D07F9">
            <w:pPr>
              <w:framePr w:hSpace="180" w:wrap="around" w:vAnchor="text" w:hAnchor="page" w:x="1067" w:y="666"/>
              <w:jc w:val="center"/>
              <w:rPr>
                <w:lang w:eastAsia="zh-CN"/>
              </w:rPr>
            </w:pPr>
            <w:r w:rsidRPr="008D07F9">
              <w:rPr>
                <w:lang w:eastAsia="zh-CN"/>
              </w:rPr>
              <w:t>6</w:t>
            </w:r>
          </w:p>
        </w:tc>
        <w:tc>
          <w:tcPr>
            <w:tcW w:w="992" w:type="dxa"/>
          </w:tcPr>
          <w:p w:rsidR="008D07F9" w:rsidRPr="008D07F9" w:rsidRDefault="008D07F9" w:rsidP="008D07F9">
            <w:pPr>
              <w:framePr w:hSpace="180" w:wrap="around" w:vAnchor="text" w:hAnchor="page" w:x="1067" w:y="666"/>
              <w:jc w:val="center"/>
              <w:rPr>
                <w:lang w:eastAsia="zh-CN"/>
              </w:rPr>
            </w:pPr>
            <w:r w:rsidRPr="008D07F9">
              <w:rPr>
                <w:lang w:eastAsia="zh-CN"/>
              </w:rPr>
              <w:t>7</w:t>
            </w:r>
          </w:p>
        </w:tc>
        <w:tc>
          <w:tcPr>
            <w:tcW w:w="1499" w:type="dxa"/>
          </w:tcPr>
          <w:p w:rsidR="008D07F9" w:rsidRPr="008D07F9" w:rsidRDefault="008D07F9" w:rsidP="008D07F9">
            <w:pPr>
              <w:framePr w:hSpace="180" w:wrap="around" w:vAnchor="text" w:hAnchor="page" w:x="1067" w:y="666"/>
              <w:jc w:val="center"/>
              <w:rPr>
                <w:lang w:eastAsia="zh-CN"/>
              </w:rPr>
            </w:pPr>
            <w:r w:rsidRPr="008D07F9">
              <w:rPr>
                <w:lang w:eastAsia="zh-CN"/>
              </w:rPr>
              <w:t>8</w:t>
            </w:r>
          </w:p>
        </w:tc>
        <w:tc>
          <w:tcPr>
            <w:tcW w:w="992" w:type="dxa"/>
          </w:tcPr>
          <w:p w:rsidR="008D07F9" w:rsidRPr="008D07F9" w:rsidRDefault="008D07F9" w:rsidP="008D07F9">
            <w:pPr>
              <w:framePr w:hSpace="180" w:wrap="around" w:vAnchor="text" w:hAnchor="page" w:x="1067" w:y="666"/>
              <w:jc w:val="center"/>
              <w:rPr>
                <w:lang w:eastAsia="zh-CN"/>
              </w:rPr>
            </w:pPr>
            <w:r w:rsidRPr="008D07F9">
              <w:rPr>
                <w:lang w:eastAsia="zh-CN"/>
              </w:rPr>
              <w:t>9</w:t>
            </w:r>
          </w:p>
        </w:tc>
      </w:tr>
      <w:tr w:rsidR="008D07F9" w:rsidRPr="008D07F9" w:rsidTr="0068761C">
        <w:tc>
          <w:tcPr>
            <w:tcW w:w="675" w:type="dxa"/>
          </w:tcPr>
          <w:p w:rsidR="008D07F9" w:rsidRPr="008D07F9" w:rsidRDefault="008D07F9" w:rsidP="008D07F9">
            <w:pPr>
              <w:framePr w:hSpace="180" w:wrap="around" w:vAnchor="text" w:hAnchor="page" w:x="1067" w:y="666"/>
              <w:jc w:val="center"/>
              <w:rPr>
                <w:lang w:eastAsia="zh-CN"/>
              </w:rPr>
            </w:pPr>
          </w:p>
        </w:tc>
        <w:tc>
          <w:tcPr>
            <w:tcW w:w="993" w:type="dxa"/>
          </w:tcPr>
          <w:p w:rsidR="008D07F9" w:rsidRPr="008D07F9" w:rsidRDefault="008D07F9" w:rsidP="008D07F9">
            <w:pPr>
              <w:framePr w:hSpace="180" w:wrap="around" w:vAnchor="text" w:hAnchor="page" w:x="1067" w:y="666"/>
              <w:jc w:val="center"/>
              <w:rPr>
                <w:lang w:eastAsia="zh-CN"/>
              </w:rPr>
            </w:pPr>
          </w:p>
        </w:tc>
        <w:tc>
          <w:tcPr>
            <w:tcW w:w="1134" w:type="dxa"/>
          </w:tcPr>
          <w:p w:rsidR="008D07F9" w:rsidRPr="008D07F9" w:rsidRDefault="008D07F9" w:rsidP="008D07F9">
            <w:pPr>
              <w:framePr w:hSpace="180" w:wrap="around" w:vAnchor="text" w:hAnchor="page" w:x="1067" w:y="666"/>
              <w:jc w:val="center"/>
              <w:rPr>
                <w:lang w:eastAsia="zh-CN"/>
              </w:rPr>
            </w:pPr>
          </w:p>
        </w:tc>
        <w:tc>
          <w:tcPr>
            <w:tcW w:w="1275" w:type="dxa"/>
          </w:tcPr>
          <w:p w:rsidR="008D07F9" w:rsidRPr="008D07F9" w:rsidRDefault="008D07F9" w:rsidP="008D07F9">
            <w:pPr>
              <w:framePr w:hSpace="180" w:wrap="around" w:vAnchor="text" w:hAnchor="page" w:x="1067" w:y="666"/>
              <w:jc w:val="center"/>
              <w:rPr>
                <w:lang w:eastAsia="zh-CN"/>
              </w:rPr>
            </w:pPr>
          </w:p>
        </w:tc>
        <w:tc>
          <w:tcPr>
            <w:tcW w:w="1134" w:type="dxa"/>
          </w:tcPr>
          <w:p w:rsidR="008D07F9" w:rsidRPr="008D07F9" w:rsidRDefault="008D07F9" w:rsidP="008D07F9">
            <w:pPr>
              <w:framePr w:hSpace="180" w:wrap="around" w:vAnchor="text" w:hAnchor="page" w:x="1067" w:y="666"/>
              <w:jc w:val="center"/>
              <w:rPr>
                <w:lang w:eastAsia="zh-CN"/>
              </w:rPr>
            </w:pPr>
          </w:p>
        </w:tc>
        <w:tc>
          <w:tcPr>
            <w:tcW w:w="1762" w:type="dxa"/>
          </w:tcPr>
          <w:p w:rsidR="008D07F9" w:rsidRPr="008D07F9" w:rsidRDefault="008D07F9" w:rsidP="008D07F9">
            <w:pPr>
              <w:framePr w:hSpace="180" w:wrap="around" w:vAnchor="text" w:hAnchor="page" w:x="1067" w:y="666"/>
              <w:ind w:right="-108"/>
              <w:jc w:val="center"/>
              <w:rPr>
                <w:lang w:eastAsia="zh-CN"/>
              </w:rPr>
            </w:pPr>
          </w:p>
        </w:tc>
        <w:tc>
          <w:tcPr>
            <w:tcW w:w="992" w:type="dxa"/>
          </w:tcPr>
          <w:p w:rsidR="008D07F9" w:rsidRPr="008D07F9" w:rsidRDefault="008D07F9" w:rsidP="008D07F9">
            <w:pPr>
              <w:framePr w:hSpace="180" w:wrap="around" w:vAnchor="text" w:hAnchor="page" w:x="1067" w:y="666"/>
              <w:jc w:val="center"/>
              <w:rPr>
                <w:lang w:eastAsia="zh-CN"/>
              </w:rPr>
            </w:pPr>
          </w:p>
        </w:tc>
        <w:tc>
          <w:tcPr>
            <w:tcW w:w="1499" w:type="dxa"/>
          </w:tcPr>
          <w:p w:rsidR="008D07F9" w:rsidRPr="008D07F9" w:rsidRDefault="008D07F9" w:rsidP="008D07F9">
            <w:pPr>
              <w:framePr w:hSpace="180" w:wrap="around" w:vAnchor="text" w:hAnchor="page" w:x="1067" w:y="666"/>
              <w:jc w:val="center"/>
              <w:rPr>
                <w:lang w:eastAsia="zh-CN"/>
              </w:rPr>
            </w:pPr>
          </w:p>
        </w:tc>
        <w:tc>
          <w:tcPr>
            <w:tcW w:w="992" w:type="dxa"/>
          </w:tcPr>
          <w:p w:rsidR="008D07F9" w:rsidRPr="008D07F9" w:rsidRDefault="008D07F9" w:rsidP="008D07F9">
            <w:pPr>
              <w:framePr w:hSpace="180" w:wrap="around" w:vAnchor="text" w:hAnchor="page" w:x="1067" w:y="666"/>
              <w:jc w:val="center"/>
              <w:rPr>
                <w:lang w:eastAsia="zh-CN"/>
              </w:rPr>
            </w:pPr>
          </w:p>
        </w:tc>
      </w:tr>
      <w:tr w:rsidR="008D07F9" w:rsidRPr="008D07F9" w:rsidTr="0068761C">
        <w:tc>
          <w:tcPr>
            <w:tcW w:w="675" w:type="dxa"/>
          </w:tcPr>
          <w:p w:rsidR="008D07F9" w:rsidRPr="008D07F9" w:rsidRDefault="008D07F9" w:rsidP="008D07F9">
            <w:pPr>
              <w:framePr w:hSpace="180" w:wrap="around" w:vAnchor="text" w:hAnchor="page" w:x="1067" w:y="666"/>
              <w:jc w:val="center"/>
              <w:rPr>
                <w:lang w:eastAsia="zh-CN"/>
              </w:rPr>
            </w:pPr>
          </w:p>
        </w:tc>
        <w:tc>
          <w:tcPr>
            <w:tcW w:w="993" w:type="dxa"/>
          </w:tcPr>
          <w:p w:rsidR="008D07F9" w:rsidRPr="008D07F9" w:rsidRDefault="008D07F9" w:rsidP="008D07F9">
            <w:pPr>
              <w:framePr w:hSpace="180" w:wrap="around" w:vAnchor="text" w:hAnchor="page" w:x="1067" w:y="666"/>
              <w:jc w:val="center"/>
              <w:rPr>
                <w:lang w:eastAsia="zh-CN"/>
              </w:rPr>
            </w:pPr>
          </w:p>
        </w:tc>
        <w:tc>
          <w:tcPr>
            <w:tcW w:w="1134" w:type="dxa"/>
          </w:tcPr>
          <w:p w:rsidR="008D07F9" w:rsidRPr="008D07F9" w:rsidRDefault="008D07F9" w:rsidP="008D07F9">
            <w:pPr>
              <w:framePr w:hSpace="180" w:wrap="around" w:vAnchor="text" w:hAnchor="page" w:x="1067" w:y="666"/>
              <w:jc w:val="center"/>
              <w:rPr>
                <w:lang w:eastAsia="zh-CN"/>
              </w:rPr>
            </w:pPr>
          </w:p>
        </w:tc>
        <w:tc>
          <w:tcPr>
            <w:tcW w:w="1275" w:type="dxa"/>
          </w:tcPr>
          <w:p w:rsidR="008D07F9" w:rsidRPr="008D07F9" w:rsidRDefault="008D07F9" w:rsidP="008D07F9">
            <w:pPr>
              <w:framePr w:hSpace="180" w:wrap="around" w:vAnchor="text" w:hAnchor="page" w:x="1067" w:y="666"/>
              <w:jc w:val="center"/>
              <w:rPr>
                <w:lang w:eastAsia="zh-CN"/>
              </w:rPr>
            </w:pPr>
          </w:p>
        </w:tc>
        <w:tc>
          <w:tcPr>
            <w:tcW w:w="1134" w:type="dxa"/>
          </w:tcPr>
          <w:p w:rsidR="008D07F9" w:rsidRPr="008D07F9" w:rsidRDefault="008D07F9" w:rsidP="008D07F9">
            <w:pPr>
              <w:framePr w:hSpace="180" w:wrap="around" w:vAnchor="text" w:hAnchor="page" w:x="1067" w:y="666"/>
              <w:jc w:val="center"/>
              <w:rPr>
                <w:lang w:eastAsia="zh-CN"/>
              </w:rPr>
            </w:pPr>
          </w:p>
        </w:tc>
        <w:tc>
          <w:tcPr>
            <w:tcW w:w="1762" w:type="dxa"/>
          </w:tcPr>
          <w:p w:rsidR="008D07F9" w:rsidRPr="008D07F9" w:rsidRDefault="008D07F9" w:rsidP="008D07F9">
            <w:pPr>
              <w:framePr w:hSpace="180" w:wrap="around" w:vAnchor="text" w:hAnchor="page" w:x="1067" w:y="666"/>
              <w:jc w:val="center"/>
              <w:rPr>
                <w:lang w:eastAsia="zh-CN"/>
              </w:rPr>
            </w:pPr>
          </w:p>
        </w:tc>
        <w:tc>
          <w:tcPr>
            <w:tcW w:w="992" w:type="dxa"/>
          </w:tcPr>
          <w:p w:rsidR="008D07F9" w:rsidRPr="008D07F9" w:rsidRDefault="008D07F9" w:rsidP="008D07F9">
            <w:pPr>
              <w:framePr w:hSpace="180" w:wrap="around" w:vAnchor="text" w:hAnchor="page" w:x="1067" w:y="666"/>
              <w:jc w:val="center"/>
              <w:rPr>
                <w:lang w:eastAsia="zh-CN"/>
              </w:rPr>
            </w:pPr>
          </w:p>
        </w:tc>
        <w:tc>
          <w:tcPr>
            <w:tcW w:w="1499" w:type="dxa"/>
          </w:tcPr>
          <w:p w:rsidR="008D07F9" w:rsidRPr="008D07F9" w:rsidRDefault="008D07F9" w:rsidP="008D07F9">
            <w:pPr>
              <w:framePr w:hSpace="180" w:wrap="around" w:vAnchor="text" w:hAnchor="page" w:x="1067" w:y="666"/>
              <w:jc w:val="center"/>
              <w:rPr>
                <w:lang w:eastAsia="zh-CN"/>
              </w:rPr>
            </w:pPr>
          </w:p>
        </w:tc>
        <w:tc>
          <w:tcPr>
            <w:tcW w:w="992" w:type="dxa"/>
          </w:tcPr>
          <w:p w:rsidR="008D07F9" w:rsidRPr="008D07F9" w:rsidRDefault="008D07F9" w:rsidP="008D07F9">
            <w:pPr>
              <w:framePr w:hSpace="180" w:wrap="around" w:vAnchor="text" w:hAnchor="page" w:x="1067" w:y="666"/>
              <w:jc w:val="center"/>
              <w:rPr>
                <w:lang w:eastAsia="zh-CN"/>
              </w:rPr>
            </w:pPr>
          </w:p>
        </w:tc>
      </w:tr>
      <w:tr w:rsidR="008D07F9" w:rsidRPr="008D07F9" w:rsidTr="0068761C">
        <w:tc>
          <w:tcPr>
            <w:tcW w:w="675" w:type="dxa"/>
          </w:tcPr>
          <w:p w:rsidR="008D07F9" w:rsidRPr="008D07F9" w:rsidRDefault="008D07F9" w:rsidP="008D07F9">
            <w:pPr>
              <w:framePr w:hSpace="180" w:wrap="around" w:vAnchor="text" w:hAnchor="page" w:x="1067" w:y="666"/>
              <w:jc w:val="center"/>
              <w:rPr>
                <w:lang w:eastAsia="zh-CN"/>
              </w:rPr>
            </w:pPr>
          </w:p>
        </w:tc>
        <w:tc>
          <w:tcPr>
            <w:tcW w:w="993" w:type="dxa"/>
          </w:tcPr>
          <w:p w:rsidR="008D07F9" w:rsidRPr="008D07F9" w:rsidRDefault="008D07F9" w:rsidP="008D07F9">
            <w:pPr>
              <w:framePr w:hSpace="180" w:wrap="around" w:vAnchor="text" w:hAnchor="page" w:x="1067" w:y="666"/>
              <w:jc w:val="center"/>
              <w:rPr>
                <w:lang w:eastAsia="zh-CN"/>
              </w:rPr>
            </w:pPr>
          </w:p>
        </w:tc>
        <w:tc>
          <w:tcPr>
            <w:tcW w:w="1134" w:type="dxa"/>
          </w:tcPr>
          <w:p w:rsidR="008D07F9" w:rsidRPr="008D07F9" w:rsidRDefault="008D07F9" w:rsidP="008D07F9">
            <w:pPr>
              <w:framePr w:hSpace="180" w:wrap="around" w:vAnchor="text" w:hAnchor="page" w:x="1067" w:y="666"/>
              <w:jc w:val="center"/>
              <w:rPr>
                <w:lang w:eastAsia="zh-CN"/>
              </w:rPr>
            </w:pPr>
          </w:p>
        </w:tc>
        <w:tc>
          <w:tcPr>
            <w:tcW w:w="1275" w:type="dxa"/>
          </w:tcPr>
          <w:p w:rsidR="008D07F9" w:rsidRPr="008D07F9" w:rsidRDefault="008D07F9" w:rsidP="008D07F9">
            <w:pPr>
              <w:framePr w:hSpace="180" w:wrap="around" w:vAnchor="text" w:hAnchor="page" w:x="1067" w:y="666"/>
              <w:jc w:val="center"/>
              <w:rPr>
                <w:lang w:eastAsia="zh-CN"/>
              </w:rPr>
            </w:pPr>
          </w:p>
        </w:tc>
        <w:tc>
          <w:tcPr>
            <w:tcW w:w="1134" w:type="dxa"/>
          </w:tcPr>
          <w:p w:rsidR="008D07F9" w:rsidRPr="008D07F9" w:rsidRDefault="008D07F9" w:rsidP="008D07F9">
            <w:pPr>
              <w:framePr w:hSpace="180" w:wrap="around" w:vAnchor="text" w:hAnchor="page" w:x="1067" w:y="666"/>
              <w:jc w:val="center"/>
              <w:rPr>
                <w:lang w:eastAsia="zh-CN"/>
              </w:rPr>
            </w:pPr>
          </w:p>
        </w:tc>
        <w:tc>
          <w:tcPr>
            <w:tcW w:w="1762" w:type="dxa"/>
          </w:tcPr>
          <w:p w:rsidR="008D07F9" w:rsidRPr="008D07F9" w:rsidRDefault="008D07F9" w:rsidP="008D07F9">
            <w:pPr>
              <w:framePr w:hSpace="180" w:wrap="around" w:vAnchor="text" w:hAnchor="page" w:x="1067" w:y="666"/>
              <w:jc w:val="center"/>
              <w:rPr>
                <w:lang w:eastAsia="zh-CN"/>
              </w:rPr>
            </w:pPr>
          </w:p>
        </w:tc>
        <w:tc>
          <w:tcPr>
            <w:tcW w:w="992" w:type="dxa"/>
          </w:tcPr>
          <w:p w:rsidR="008D07F9" w:rsidRPr="008D07F9" w:rsidRDefault="008D07F9" w:rsidP="008D07F9">
            <w:pPr>
              <w:framePr w:hSpace="180" w:wrap="around" w:vAnchor="text" w:hAnchor="page" w:x="1067" w:y="666"/>
              <w:jc w:val="center"/>
              <w:rPr>
                <w:lang w:eastAsia="zh-CN"/>
              </w:rPr>
            </w:pPr>
          </w:p>
        </w:tc>
        <w:tc>
          <w:tcPr>
            <w:tcW w:w="1499" w:type="dxa"/>
          </w:tcPr>
          <w:p w:rsidR="008D07F9" w:rsidRPr="008D07F9" w:rsidRDefault="008D07F9" w:rsidP="008D07F9">
            <w:pPr>
              <w:framePr w:hSpace="180" w:wrap="around" w:vAnchor="text" w:hAnchor="page" w:x="1067" w:y="666"/>
              <w:jc w:val="center"/>
              <w:rPr>
                <w:lang w:eastAsia="zh-CN"/>
              </w:rPr>
            </w:pPr>
          </w:p>
        </w:tc>
        <w:tc>
          <w:tcPr>
            <w:tcW w:w="992" w:type="dxa"/>
          </w:tcPr>
          <w:p w:rsidR="008D07F9" w:rsidRPr="008D07F9" w:rsidRDefault="008D07F9" w:rsidP="008D07F9">
            <w:pPr>
              <w:framePr w:hSpace="180" w:wrap="around" w:vAnchor="text" w:hAnchor="page" w:x="1067" w:y="666"/>
              <w:jc w:val="center"/>
              <w:rPr>
                <w:lang w:eastAsia="zh-CN"/>
              </w:rPr>
            </w:pPr>
          </w:p>
        </w:tc>
      </w:tr>
      <w:tr w:rsidR="008D07F9" w:rsidRPr="008D07F9" w:rsidTr="0068761C">
        <w:tc>
          <w:tcPr>
            <w:tcW w:w="675" w:type="dxa"/>
          </w:tcPr>
          <w:p w:rsidR="008D07F9" w:rsidRPr="008D07F9" w:rsidRDefault="008D07F9" w:rsidP="008D07F9">
            <w:pPr>
              <w:framePr w:hSpace="180" w:wrap="around" w:vAnchor="text" w:hAnchor="page" w:x="1067" w:y="666"/>
              <w:jc w:val="center"/>
              <w:rPr>
                <w:lang w:eastAsia="zh-CN"/>
              </w:rPr>
            </w:pPr>
          </w:p>
        </w:tc>
        <w:tc>
          <w:tcPr>
            <w:tcW w:w="993" w:type="dxa"/>
          </w:tcPr>
          <w:p w:rsidR="008D07F9" w:rsidRPr="008D07F9" w:rsidRDefault="008D07F9" w:rsidP="008D07F9">
            <w:pPr>
              <w:framePr w:hSpace="180" w:wrap="around" w:vAnchor="text" w:hAnchor="page" w:x="1067" w:y="666"/>
              <w:jc w:val="center"/>
              <w:rPr>
                <w:lang w:eastAsia="zh-CN"/>
              </w:rPr>
            </w:pPr>
          </w:p>
        </w:tc>
        <w:tc>
          <w:tcPr>
            <w:tcW w:w="1134" w:type="dxa"/>
          </w:tcPr>
          <w:p w:rsidR="008D07F9" w:rsidRPr="008D07F9" w:rsidRDefault="008D07F9" w:rsidP="008D07F9">
            <w:pPr>
              <w:framePr w:hSpace="180" w:wrap="around" w:vAnchor="text" w:hAnchor="page" w:x="1067" w:y="666"/>
              <w:jc w:val="center"/>
              <w:rPr>
                <w:lang w:eastAsia="zh-CN"/>
              </w:rPr>
            </w:pPr>
          </w:p>
        </w:tc>
        <w:tc>
          <w:tcPr>
            <w:tcW w:w="1275" w:type="dxa"/>
          </w:tcPr>
          <w:p w:rsidR="008D07F9" w:rsidRPr="008D07F9" w:rsidRDefault="008D07F9" w:rsidP="008D07F9">
            <w:pPr>
              <w:framePr w:hSpace="180" w:wrap="around" w:vAnchor="text" w:hAnchor="page" w:x="1067" w:y="666"/>
              <w:jc w:val="center"/>
              <w:rPr>
                <w:lang w:eastAsia="zh-CN"/>
              </w:rPr>
            </w:pPr>
          </w:p>
        </w:tc>
        <w:tc>
          <w:tcPr>
            <w:tcW w:w="1134" w:type="dxa"/>
          </w:tcPr>
          <w:p w:rsidR="008D07F9" w:rsidRPr="008D07F9" w:rsidRDefault="008D07F9" w:rsidP="008D07F9">
            <w:pPr>
              <w:framePr w:hSpace="180" w:wrap="around" w:vAnchor="text" w:hAnchor="page" w:x="1067" w:y="666"/>
              <w:jc w:val="center"/>
              <w:rPr>
                <w:lang w:eastAsia="zh-CN"/>
              </w:rPr>
            </w:pPr>
          </w:p>
        </w:tc>
        <w:tc>
          <w:tcPr>
            <w:tcW w:w="1762" w:type="dxa"/>
          </w:tcPr>
          <w:p w:rsidR="008D07F9" w:rsidRPr="008D07F9" w:rsidRDefault="008D07F9" w:rsidP="008D07F9">
            <w:pPr>
              <w:framePr w:hSpace="180" w:wrap="around" w:vAnchor="text" w:hAnchor="page" w:x="1067" w:y="666"/>
              <w:jc w:val="center"/>
              <w:rPr>
                <w:lang w:eastAsia="zh-CN"/>
              </w:rPr>
            </w:pPr>
          </w:p>
        </w:tc>
        <w:tc>
          <w:tcPr>
            <w:tcW w:w="992" w:type="dxa"/>
          </w:tcPr>
          <w:p w:rsidR="008D07F9" w:rsidRPr="008D07F9" w:rsidRDefault="008D07F9" w:rsidP="008D07F9">
            <w:pPr>
              <w:framePr w:hSpace="180" w:wrap="around" w:vAnchor="text" w:hAnchor="page" w:x="1067" w:y="666"/>
              <w:jc w:val="center"/>
              <w:rPr>
                <w:lang w:eastAsia="zh-CN"/>
              </w:rPr>
            </w:pPr>
          </w:p>
        </w:tc>
        <w:tc>
          <w:tcPr>
            <w:tcW w:w="1499" w:type="dxa"/>
          </w:tcPr>
          <w:p w:rsidR="008D07F9" w:rsidRPr="008D07F9" w:rsidRDefault="008D07F9" w:rsidP="008D07F9">
            <w:pPr>
              <w:framePr w:hSpace="180" w:wrap="around" w:vAnchor="text" w:hAnchor="page" w:x="1067" w:y="666"/>
              <w:jc w:val="center"/>
              <w:rPr>
                <w:lang w:eastAsia="zh-CN"/>
              </w:rPr>
            </w:pPr>
          </w:p>
        </w:tc>
        <w:tc>
          <w:tcPr>
            <w:tcW w:w="992" w:type="dxa"/>
          </w:tcPr>
          <w:p w:rsidR="008D07F9" w:rsidRPr="008D07F9" w:rsidRDefault="008D07F9" w:rsidP="008D07F9">
            <w:pPr>
              <w:framePr w:hSpace="180" w:wrap="around" w:vAnchor="text" w:hAnchor="page" w:x="1067" w:y="666"/>
              <w:jc w:val="center"/>
              <w:rPr>
                <w:lang w:eastAsia="zh-CN"/>
              </w:rPr>
            </w:pPr>
          </w:p>
        </w:tc>
      </w:tr>
    </w:tbl>
    <w:p w:rsidR="008D07F9" w:rsidRPr="008D07F9" w:rsidRDefault="008D07F9" w:rsidP="008D07F9">
      <w:pPr>
        <w:rPr>
          <w:lang w:eastAsia="zh-CN"/>
        </w:rPr>
      </w:pPr>
      <w:r w:rsidRPr="008D07F9">
        <w:rPr>
          <w:lang w:eastAsia="zh-CN"/>
        </w:rPr>
        <w:t>Sutarties pasirašymo data:</w:t>
      </w:r>
    </w:p>
    <w:p w:rsidR="008D07F9" w:rsidRPr="008D07F9" w:rsidRDefault="008D07F9" w:rsidP="008D07F9">
      <w:pPr>
        <w:rPr>
          <w:lang w:eastAsia="zh-CN"/>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i/>
          <w:snapToGrid w:val="0"/>
          <w:lang w:eastAsia="en-US"/>
        </w:rPr>
      </w:pPr>
      <w:r w:rsidRPr="008D07F9">
        <w:rPr>
          <w:b/>
          <w:i/>
          <w:snapToGrid w:val="0"/>
          <w:lang w:eastAsia="en-US"/>
        </w:rPr>
        <w:lastRenderedPageBreak/>
        <w:t>Kodifikuotinų materialinių vertybių sąrašo pildymo instrukcija</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D07F9">
        <w:rPr>
          <w:i/>
          <w:snapToGrid w:val="0"/>
          <w:lang w:eastAsia="en-US"/>
        </w:rPr>
        <w:t>Sąrašo pateikėjas ir data — įrašykite sąrašą teikiančią tarnybą ir šio sąrašo užpildymo datą.</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D07F9">
        <w:rPr>
          <w:i/>
          <w:snapToGrid w:val="0"/>
          <w:lang w:eastAsia="en-US"/>
        </w:rPr>
        <w:t>Sutarties pasirašymo data ir numeris — įrašykite sutarties, kurioje įtraukta dalis dėl kodifikavimo, datą ir sutarties numerį.</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D07F9">
        <w:rPr>
          <w:i/>
          <w:snapToGrid w:val="0"/>
          <w:lang w:eastAsia="en-US"/>
        </w:rPr>
        <w:t xml:space="preserve">Pridedami dokumentai – nurodykite, kokie dokumentai (ar elektroninės rinkmenos) pridedami (aprašymai, brėžiniai, kt.), dokumentų puslapių skaičių. </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D07F9">
        <w:rPr>
          <w:i/>
          <w:snapToGrid w:val="0"/>
          <w:lang w:eastAsia="en-US"/>
        </w:rPr>
        <w:t>2 – Nurodykite materialinių vertybių tiekėją (pardavėją).</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D07F9">
        <w:rPr>
          <w:i/>
          <w:snapToGrid w:val="0"/>
          <w:lang w:eastAsia="en-US"/>
        </w:rPr>
        <w:t>3 – Jei žinomas, įrašykite tiekėjo (pardavėjo) NCAGE kodą.</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D07F9">
        <w:rPr>
          <w:i/>
          <w:snapToGrid w:val="0"/>
          <w:lang w:eastAsia="en-US"/>
        </w:rPr>
        <w:t>4 – Jei tiekėjas (pardavėjas) nėra tikrasis materialinių vertybių gamintojas, nurodykite tikrąjį gamintoją.</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D07F9">
        <w:rPr>
          <w:i/>
          <w:snapToGrid w:val="0"/>
          <w:lang w:eastAsia="en-US"/>
        </w:rPr>
        <w:t>5 – Jei žinomas, įrašykite tikrojo gamintojo NCAGE kodą.</w:t>
      </w:r>
    </w:p>
    <w:p w:rsidR="008D07F9" w:rsidRPr="008D07F9" w:rsidRDefault="008D07F9" w:rsidP="008D07F9">
      <w:pPr>
        <w:jc w:val="both"/>
        <w:rPr>
          <w:i/>
          <w:lang w:eastAsia="zh-CN"/>
        </w:rPr>
      </w:pPr>
      <w:r w:rsidRPr="008D07F9">
        <w:rPr>
          <w:i/>
          <w:lang w:eastAsia="zh-CN"/>
        </w:rPr>
        <w:t xml:space="preserve">6 – Nurodykite tikrojo gamintojo suteiktą gamyklinį numerį (artikulą) ar kitą materialinę vertybę vienareikšmiškai identifikuojantį numerį. </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D07F9">
        <w:rPr>
          <w:i/>
          <w:snapToGrid w:val="0"/>
          <w:lang w:eastAsia="en-US"/>
        </w:rPr>
        <w:t>7 – Ši grafa pildoma, jei perkamos užsieninės materialinės vertybės ir žinomas NSN kodas.</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D07F9">
        <w:rPr>
          <w:i/>
          <w:snapToGrid w:val="0"/>
          <w:lang w:eastAsia="en-US"/>
        </w:rPr>
        <w:t>8 – Nurodykite gamintojo siūlomą materialinės vertybės pavadinimą.</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D07F9">
        <w:rPr>
          <w:i/>
          <w:snapToGrid w:val="0"/>
          <w:lang w:eastAsia="en-US"/>
        </w:rPr>
        <w:t>9 – Nurodykite materialinės vertybės kainą.</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snapToGrid w:val="0"/>
          <w:lang w:eastAsia="en-US"/>
        </w:rPr>
      </w:pPr>
      <w:r w:rsidRPr="008D07F9">
        <w:rPr>
          <w:b/>
          <w:snapToGrid w:val="0"/>
          <w:lang w:eastAsia="en-US"/>
        </w:rPr>
        <w:t>Informacija apie gamintoją arba tiekėją</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992"/>
        <w:gridCol w:w="1559"/>
        <w:gridCol w:w="993"/>
        <w:gridCol w:w="1134"/>
        <w:gridCol w:w="850"/>
        <w:gridCol w:w="1134"/>
        <w:gridCol w:w="1134"/>
        <w:gridCol w:w="992"/>
        <w:gridCol w:w="1276"/>
      </w:tblGrid>
      <w:tr w:rsidR="008D07F9" w:rsidRPr="008D07F9" w:rsidTr="0068761C">
        <w:tc>
          <w:tcPr>
            <w:tcW w:w="710" w:type="dxa"/>
            <w:vAlign w:val="center"/>
          </w:tcPr>
          <w:p w:rsidR="008D07F9" w:rsidRPr="008D07F9" w:rsidRDefault="008D07F9" w:rsidP="008D07F9">
            <w:pPr>
              <w:jc w:val="center"/>
              <w:rPr>
                <w:lang w:eastAsia="zh-CN"/>
              </w:rPr>
            </w:pPr>
            <w:r w:rsidRPr="008D07F9">
              <w:rPr>
                <w:lang w:eastAsia="zh-CN"/>
              </w:rPr>
              <w:t>Eil. Nr.</w:t>
            </w:r>
          </w:p>
        </w:tc>
        <w:tc>
          <w:tcPr>
            <w:tcW w:w="992" w:type="dxa"/>
            <w:vAlign w:val="center"/>
          </w:tcPr>
          <w:p w:rsidR="008D07F9" w:rsidRPr="008D07F9" w:rsidRDefault="008D07F9" w:rsidP="008D07F9">
            <w:pPr>
              <w:ind w:hanging="108"/>
              <w:jc w:val="center"/>
              <w:rPr>
                <w:lang w:eastAsia="zh-CN"/>
              </w:rPr>
            </w:pPr>
            <w:r w:rsidRPr="008D07F9">
              <w:rPr>
                <w:lang w:eastAsia="zh-CN"/>
              </w:rPr>
              <w:t>NCAGE</w:t>
            </w:r>
          </w:p>
        </w:tc>
        <w:tc>
          <w:tcPr>
            <w:tcW w:w="1559" w:type="dxa"/>
            <w:vAlign w:val="center"/>
          </w:tcPr>
          <w:p w:rsidR="008D07F9" w:rsidRPr="008D07F9" w:rsidRDefault="008D07F9" w:rsidP="008D07F9">
            <w:pPr>
              <w:ind w:right="-108" w:hanging="108"/>
              <w:jc w:val="center"/>
              <w:rPr>
                <w:lang w:eastAsia="zh-CN"/>
              </w:rPr>
            </w:pPr>
            <w:r w:rsidRPr="008D07F9">
              <w:rPr>
                <w:lang w:eastAsia="zh-CN"/>
              </w:rPr>
              <w:t>Pavadinimas</w:t>
            </w:r>
          </w:p>
        </w:tc>
        <w:tc>
          <w:tcPr>
            <w:tcW w:w="993" w:type="dxa"/>
            <w:vAlign w:val="center"/>
          </w:tcPr>
          <w:p w:rsidR="008D07F9" w:rsidRPr="008D07F9" w:rsidRDefault="008D07F9" w:rsidP="008D07F9">
            <w:pPr>
              <w:ind w:right="-108" w:hanging="108"/>
              <w:jc w:val="center"/>
              <w:rPr>
                <w:lang w:eastAsia="zh-CN"/>
              </w:rPr>
            </w:pPr>
            <w:r w:rsidRPr="008D07F9">
              <w:rPr>
                <w:lang w:eastAsia="zh-CN"/>
              </w:rPr>
              <w:t>Adresas</w:t>
            </w:r>
          </w:p>
        </w:tc>
        <w:tc>
          <w:tcPr>
            <w:tcW w:w="1134" w:type="dxa"/>
            <w:vAlign w:val="center"/>
          </w:tcPr>
          <w:p w:rsidR="008D07F9" w:rsidRPr="008D07F9" w:rsidRDefault="008D07F9" w:rsidP="008D07F9">
            <w:pPr>
              <w:ind w:left="34" w:right="-178" w:hanging="216"/>
              <w:jc w:val="center"/>
              <w:rPr>
                <w:lang w:eastAsia="zh-CN"/>
              </w:rPr>
            </w:pPr>
            <w:r w:rsidRPr="008D07F9">
              <w:rPr>
                <w:lang w:eastAsia="zh-CN"/>
              </w:rPr>
              <w:t xml:space="preserve">Telefono </w:t>
            </w:r>
          </w:p>
          <w:p w:rsidR="008D07F9" w:rsidRPr="008D07F9" w:rsidRDefault="008D07F9" w:rsidP="008D07F9">
            <w:pPr>
              <w:ind w:left="34" w:right="-178" w:hanging="216"/>
              <w:jc w:val="center"/>
              <w:rPr>
                <w:lang w:eastAsia="zh-CN"/>
              </w:rPr>
            </w:pPr>
            <w:r w:rsidRPr="008D07F9">
              <w:rPr>
                <w:lang w:eastAsia="zh-CN"/>
              </w:rPr>
              <w:t>Nr.</w:t>
            </w:r>
          </w:p>
        </w:tc>
        <w:tc>
          <w:tcPr>
            <w:tcW w:w="850" w:type="dxa"/>
            <w:vAlign w:val="center"/>
          </w:tcPr>
          <w:p w:rsidR="008D07F9" w:rsidRPr="008D07F9" w:rsidRDefault="008D07F9" w:rsidP="008D07F9">
            <w:pPr>
              <w:jc w:val="center"/>
              <w:rPr>
                <w:lang w:eastAsia="zh-CN"/>
              </w:rPr>
            </w:pPr>
            <w:r w:rsidRPr="008D07F9">
              <w:rPr>
                <w:lang w:eastAsia="zh-CN"/>
              </w:rPr>
              <w:t>Fakso Nr.</w:t>
            </w:r>
          </w:p>
        </w:tc>
        <w:tc>
          <w:tcPr>
            <w:tcW w:w="1134" w:type="dxa"/>
            <w:vAlign w:val="center"/>
          </w:tcPr>
          <w:p w:rsidR="008D07F9" w:rsidRPr="008D07F9" w:rsidRDefault="008D07F9" w:rsidP="008D07F9">
            <w:pPr>
              <w:jc w:val="center"/>
              <w:rPr>
                <w:lang w:eastAsia="zh-CN"/>
              </w:rPr>
            </w:pPr>
            <w:r w:rsidRPr="008D07F9">
              <w:rPr>
                <w:lang w:eastAsia="zh-CN"/>
              </w:rPr>
              <w:t>El. pašto adresas</w:t>
            </w:r>
          </w:p>
        </w:tc>
        <w:tc>
          <w:tcPr>
            <w:tcW w:w="1134" w:type="dxa"/>
            <w:vAlign w:val="center"/>
          </w:tcPr>
          <w:p w:rsidR="008D07F9" w:rsidRPr="008D07F9" w:rsidRDefault="008D07F9" w:rsidP="008D07F9">
            <w:pPr>
              <w:jc w:val="center"/>
              <w:rPr>
                <w:lang w:eastAsia="zh-CN"/>
              </w:rPr>
            </w:pPr>
            <w:r w:rsidRPr="008D07F9">
              <w:rPr>
                <w:lang w:eastAsia="zh-CN"/>
              </w:rPr>
              <w:t>Įmonės kodas</w:t>
            </w:r>
          </w:p>
        </w:tc>
        <w:tc>
          <w:tcPr>
            <w:tcW w:w="992" w:type="dxa"/>
            <w:vAlign w:val="center"/>
          </w:tcPr>
          <w:p w:rsidR="008D07F9" w:rsidRPr="008D07F9" w:rsidRDefault="008D07F9" w:rsidP="008D07F9">
            <w:pPr>
              <w:ind w:right="-108" w:hanging="108"/>
              <w:jc w:val="center"/>
              <w:rPr>
                <w:lang w:eastAsia="zh-CN"/>
              </w:rPr>
            </w:pPr>
            <w:r w:rsidRPr="008D07F9">
              <w:rPr>
                <w:lang w:eastAsia="zh-CN"/>
              </w:rPr>
              <w:t>Tiekėjas</w:t>
            </w:r>
          </w:p>
        </w:tc>
        <w:tc>
          <w:tcPr>
            <w:tcW w:w="1276" w:type="dxa"/>
            <w:vAlign w:val="center"/>
          </w:tcPr>
          <w:p w:rsidR="008D07F9" w:rsidRPr="008D07F9" w:rsidRDefault="008D07F9" w:rsidP="008D07F9">
            <w:pPr>
              <w:ind w:right="-108" w:hanging="108"/>
              <w:jc w:val="center"/>
              <w:rPr>
                <w:lang w:eastAsia="zh-CN"/>
              </w:rPr>
            </w:pPr>
            <w:r w:rsidRPr="008D07F9">
              <w:rPr>
                <w:lang w:eastAsia="zh-CN"/>
              </w:rPr>
              <w:t>Gamintojas</w:t>
            </w:r>
          </w:p>
        </w:tc>
      </w:tr>
      <w:tr w:rsidR="008D07F9" w:rsidRPr="008D07F9" w:rsidTr="0068761C">
        <w:tc>
          <w:tcPr>
            <w:tcW w:w="710" w:type="dxa"/>
          </w:tcPr>
          <w:p w:rsidR="008D07F9" w:rsidRPr="008D07F9" w:rsidRDefault="008D07F9" w:rsidP="008D07F9">
            <w:pPr>
              <w:jc w:val="center"/>
              <w:rPr>
                <w:lang w:eastAsia="zh-CN"/>
              </w:rPr>
            </w:pPr>
            <w:r w:rsidRPr="008D07F9">
              <w:rPr>
                <w:lang w:eastAsia="zh-CN"/>
              </w:rPr>
              <w:t>1</w:t>
            </w:r>
          </w:p>
        </w:tc>
        <w:tc>
          <w:tcPr>
            <w:tcW w:w="992" w:type="dxa"/>
          </w:tcPr>
          <w:p w:rsidR="008D07F9" w:rsidRPr="008D07F9" w:rsidRDefault="008D07F9" w:rsidP="008D07F9">
            <w:pPr>
              <w:jc w:val="center"/>
              <w:rPr>
                <w:lang w:eastAsia="zh-CN"/>
              </w:rPr>
            </w:pPr>
            <w:r w:rsidRPr="008D07F9">
              <w:rPr>
                <w:lang w:eastAsia="zh-CN"/>
              </w:rPr>
              <w:t>2</w:t>
            </w:r>
          </w:p>
        </w:tc>
        <w:tc>
          <w:tcPr>
            <w:tcW w:w="1559" w:type="dxa"/>
          </w:tcPr>
          <w:p w:rsidR="008D07F9" w:rsidRPr="008D07F9" w:rsidRDefault="008D07F9" w:rsidP="008D07F9">
            <w:pPr>
              <w:jc w:val="center"/>
              <w:rPr>
                <w:lang w:eastAsia="zh-CN"/>
              </w:rPr>
            </w:pPr>
            <w:r w:rsidRPr="008D07F9">
              <w:rPr>
                <w:lang w:eastAsia="zh-CN"/>
              </w:rPr>
              <w:t>3</w:t>
            </w:r>
          </w:p>
        </w:tc>
        <w:tc>
          <w:tcPr>
            <w:tcW w:w="993" w:type="dxa"/>
          </w:tcPr>
          <w:p w:rsidR="008D07F9" w:rsidRPr="008D07F9" w:rsidRDefault="008D07F9" w:rsidP="008D07F9">
            <w:pPr>
              <w:jc w:val="center"/>
              <w:rPr>
                <w:lang w:eastAsia="zh-CN"/>
              </w:rPr>
            </w:pPr>
            <w:r w:rsidRPr="008D07F9">
              <w:rPr>
                <w:lang w:eastAsia="zh-CN"/>
              </w:rPr>
              <w:t>4</w:t>
            </w:r>
          </w:p>
        </w:tc>
        <w:tc>
          <w:tcPr>
            <w:tcW w:w="1134" w:type="dxa"/>
          </w:tcPr>
          <w:p w:rsidR="008D07F9" w:rsidRPr="008D07F9" w:rsidRDefault="008D07F9" w:rsidP="008D07F9">
            <w:pPr>
              <w:jc w:val="center"/>
              <w:rPr>
                <w:lang w:eastAsia="zh-CN"/>
              </w:rPr>
            </w:pPr>
            <w:r w:rsidRPr="008D07F9">
              <w:rPr>
                <w:lang w:eastAsia="zh-CN"/>
              </w:rPr>
              <w:t>5</w:t>
            </w:r>
          </w:p>
        </w:tc>
        <w:tc>
          <w:tcPr>
            <w:tcW w:w="850" w:type="dxa"/>
          </w:tcPr>
          <w:p w:rsidR="008D07F9" w:rsidRPr="008D07F9" w:rsidRDefault="008D07F9" w:rsidP="008D07F9">
            <w:pPr>
              <w:jc w:val="center"/>
              <w:rPr>
                <w:lang w:eastAsia="zh-CN"/>
              </w:rPr>
            </w:pPr>
            <w:r w:rsidRPr="008D07F9">
              <w:rPr>
                <w:lang w:eastAsia="zh-CN"/>
              </w:rPr>
              <w:t>6</w:t>
            </w:r>
          </w:p>
        </w:tc>
        <w:tc>
          <w:tcPr>
            <w:tcW w:w="1134" w:type="dxa"/>
          </w:tcPr>
          <w:p w:rsidR="008D07F9" w:rsidRPr="008D07F9" w:rsidRDefault="008D07F9" w:rsidP="008D07F9">
            <w:pPr>
              <w:jc w:val="center"/>
              <w:rPr>
                <w:lang w:eastAsia="zh-CN"/>
              </w:rPr>
            </w:pPr>
            <w:r w:rsidRPr="008D07F9">
              <w:rPr>
                <w:lang w:eastAsia="zh-CN"/>
              </w:rPr>
              <w:t>7</w:t>
            </w:r>
          </w:p>
        </w:tc>
        <w:tc>
          <w:tcPr>
            <w:tcW w:w="1134" w:type="dxa"/>
          </w:tcPr>
          <w:p w:rsidR="008D07F9" w:rsidRPr="008D07F9" w:rsidRDefault="008D07F9" w:rsidP="008D07F9">
            <w:pPr>
              <w:jc w:val="center"/>
              <w:rPr>
                <w:lang w:eastAsia="zh-CN"/>
              </w:rPr>
            </w:pPr>
            <w:r w:rsidRPr="008D07F9">
              <w:rPr>
                <w:lang w:eastAsia="zh-CN"/>
              </w:rPr>
              <w:t>8</w:t>
            </w:r>
          </w:p>
        </w:tc>
        <w:tc>
          <w:tcPr>
            <w:tcW w:w="992" w:type="dxa"/>
          </w:tcPr>
          <w:p w:rsidR="008D07F9" w:rsidRPr="008D07F9" w:rsidRDefault="008D07F9" w:rsidP="008D07F9">
            <w:pPr>
              <w:jc w:val="center"/>
              <w:rPr>
                <w:lang w:eastAsia="zh-CN"/>
              </w:rPr>
            </w:pPr>
            <w:r w:rsidRPr="008D07F9">
              <w:rPr>
                <w:lang w:eastAsia="zh-CN"/>
              </w:rPr>
              <w:t>9</w:t>
            </w:r>
          </w:p>
        </w:tc>
        <w:tc>
          <w:tcPr>
            <w:tcW w:w="1276" w:type="dxa"/>
          </w:tcPr>
          <w:p w:rsidR="008D07F9" w:rsidRPr="008D07F9" w:rsidRDefault="008D07F9" w:rsidP="008D07F9">
            <w:pPr>
              <w:jc w:val="center"/>
              <w:rPr>
                <w:lang w:eastAsia="zh-CN"/>
              </w:rPr>
            </w:pPr>
            <w:r w:rsidRPr="008D07F9">
              <w:rPr>
                <w:lang w:eastAsia="zh-CN"/>
              </w:rPr>
              <w:t>10</w:t>
            </w:r>
          </w:p>
        </w:tc>
      </w:tr>
      <w:tr w:rsidR="008D07F9" w:rsidRPr="008D07F9" w:rsidTr="0068761C">
        <w:tc>
          <w:tcPr>
            <w:tcW w:w="710" w:type="dxa"/>
          </w:tcPr>
          <w:p w:rsidR="008D07F9" w:rsidRPr="008D07F9" w:rsidRDefault="008D07F9" w:rsidP="008D07F9">
            <w:pPr>
              <w:jc w:val="center"/>
              <w:rPr>
                <w:lang w:eastAsia="zh-CN"/>
              </w:rPr>
            </w:pPr>
          </w:p>
        </w:tc>
        <w:tc>
          <w:tcPr>
            <w:tcW w:w="992" w:type="dxa"/>
          </w:tcPr>
          <w:p w:rsidR="008D07F9" w:rsidRPr="008D07F9" w:rsidRDefault="008D07F9" w:rsidP="008D07F9">
            <w:pPr>
              <w:jc w:val="center"/>
              <w:rPr>
                <w:lang w:eastAsia="zh-CN"/>
              </w:rPr>
            </w:pPr>
          </w:p>
        </w:tc>
        <w:tc>
          <w:tcPr>
            <w:tcW w:w="1559" w:type="dxa"/>
          </w:tcPr>
          <w:p w:rsidR="008D07F9" w:rsidRPr="008D07F9" w:rsidRDefault="008D07F9" w:rsidP="008D07F9">
            <w:pPr>
              <w:jc w:val="center"/>
              <w:rPr>
                <w:lang w:eastAsia="zh-CN"/>
              </w:rPr>
            </w:pPr>
          </w:p>
        </w:tc>
        <w:tc>
          <w:tcPr>
            <w:tcW w:w="993" w:type="dxa"/>
          </w:tcPr>
          <w:p w:rsidR="008D07F9" w:rsidRPr="008D07F9" w:rsidRDefault="008D07F9" w:rsidP="008D07F9">
            <w:pPr>
              <w:jc w:val="center"/>
              <w:rPr>
                <w:lang w:eastAsia="zh-CN"/>
              </w:rPr>
            </w:pPr>
          </w:p>
        </w:tc>
        <w:tc>
          <w:tcPr>
            <w:tcW w:w="1134" w:type="dxa"/>
          </w:tcPr>
          <w:p w:rsidR="008D07F9" w:rsidRPr="008D07F9" w:rsidRDefault="008D07F9" w:rsidP="008D07F9">
            <w:pPr>
              <w:jc w:val="center"/>
              <w:rPr>
                <w:lang w:eastAsia="zh-CN"/>
              </w:rPr>
            </w:pPr>
          </w:p>
        </w:tc>
        <w:tc>
          <w:tcPr>
            <w:tcW w:w="850" w:type="dxa"/>
          </w:tcPr>
          <w:p w:rsidR="008D07F9" w:rsidRPr="008D07F9" w:rsidRDefault="008D07F9" w:rsidP="008D07F9">
            <w:pPr>
              <w:jc w:val="center"/>
              <w:rPr>
                <w:lang w:eastAsia="zh-CN"/>
              </w:rPr>
            </w:pPr>
          </w:p>
        </w:tc>
        <w:tc>
          <w:tcPr>
            <w:tcW w:w="1134" w:type="dxa"/>
          </w:tcPr>
          <w:p w:rsidR="008D07F9" w:rsidRPr="008D07F9" w:rsidRDefault="008D07F9" w:rsidP="008D07F9">
            <w:pPr>
              <w:jc w:val="center"/>
              <w:rPr>
                <w:lang w:eastAsia="zh-CN"/>
              </w:rPr>
            </w:pPr>
          </w:p>
        </w:tc>
        <w:tc>
          <w:tcPr>
            <w:tcW w:w="1134" w:type="dxa"/>
          </w:tcPr>
          <w:p w:rsidR="008D07F9" w:rsidRPr="008D07F9" w:rsidRDefault="008D07F9" w:rsidP="008D07F9">
            <w:pPr>
              <w:jc w:val="center"/>
              <w:rPr>
                <w:lang w:eastAsia="zh-CN"/>
              </w:rPr>
            </w:pPr>
          </w:p>
        </w:tc>
        <w:tc>
          <w:tcPr>
            <w:tcW w:w="992" w:type="dxa"/>
          </w:tcPr>
          <w:p w:rsidR="008D07F9" w:rsidRPr="008D07F9" w:rsidRDefault="008D07F9" w:rsidP="008D07F9">
            <w:pPr>
              <w:jc w:val="center"/>
              <w:rPr>
                <w:lang w:eastAsia="zh-CN"/>
              </w:rPr>
            </w:pPr>
          </w:p>
        </w:tc>
        <w:tc>
          <w:tcPr>
            <w:tcW w:w="1276" w:type="dxa"/>
          </w:tcPr>
          <w:p w:rsidR="008D07F9" w:rsidRPr="008D07F9" w:rsidRDefault="008D07F9" w:rsidP="008D07F9">
            <w:pPr>
              <w:jc w:val="center"/>
              <w:rPr>
                <w:lang w:eastAsia="zh-CN"/>
              </w:rPr>
            </w:pPr>
          </w:p>
        </w:tc>
      </w:tr>
      <w:tr w:rsidR="008D07F9" w:rsidRPr="008D07F9" w:rsidTr="0068761C">
        <w:tc>
          <w:tcPr>
            <w:tcW w:w="710" w:type="dxa"/>
          </w:tcPr>
          <w:p w:rsidR="008D07F9" w:rsidRPr="008D07F9" w:rsidRDefault="008D07F9" w:rsidP="008D07F9">
            <w:pPr>
              <w:jc w:val="center"/>
              <w:rPr>
                <w:lang w:eastAsia="zh-CN"/>
              </w:rPr>
            </w:pPr>
          </w:p>
        </w:tc>
        <w:tc>
          <w:tcPr>
            <w:tcW w:w="992" w:type="dxa"/>
          </w:tcPr>
          <w:p w:rsidR="008D07F9" w:rsidRPr="008D07F9" w:rsidRDefault="008D07F9" w:rsidP="008D07F9">
            <w:pPr>
              <w:jc w:val="center"/>
              <w:rPr>
                <w:lang w:eastAsia="zh-CN"/>
              </w:rPr>
            </w:pPr>
          </w:p>
        </w:tc>
        <w:tc>
          <w:tcPr>
            <w:tcW w:w="1559" w:type="dxa"/>
          </w:tcPr>
          <w:p w:rsidR="008D07F9" w:rsidRPr="008D07F9" w:rsidRDefault="008D07F9" w:rsidP="008D07F9">
            <w:pPr>
              <w:jc w:val="center"/>
              <w:rPr>
                <w:lang w:eastAsia="zh-CN"/>
              </w:rPr>
            </w:pPr>
          </w:p>
        </w:tc>
        <w:tc>
          <w:tcPr>
            <w:tcW w:w="993" w:type="dxa"/>
          </w:tcPr>
          <w:p w:rsidR="008D07F9" w:rsidRPr="008D07F9" w:rsidRDefault="008D07F9" w:rsidP="008D07F9">
            <w:pPr>
              <w:jc w:val="center"/>
              <w:rPr>
                <w:lang w:eastAsia="zh-CN"/>
              </w:rPr>
            </w:pPr>
          </w:p>
        </w:tc>
        <w:tc>
          <w:tcPr>
            <w:tcW w:w="1134" w:type="dxa"/>
          </w:tcPr>
          <w:p w:rsidR="008D07F9" w:rsidRPr="008D07F9" w:rsidRDefault="008D07F9" w:rsidP="008D07F9">
            <w:pPr>
              <w:jc w:val="center"/>
              <w:rPr>
                <w:lang w:eastAsia="zh-CN"/>
              </w:rPr>
            </w:pPr>
          </w:p>
        </w:tc>
        <w:tc>
          <w:tcPr>
            <w:tcW w:w="850" w:type="dxa"/>
          </w:tcPr>
          <w:p w:rsidR="008D07F9" w:rsidRPr="008D07F9" w:rsidRDefault="008D07F9" w:rsidP="008D07F9">
            <w:pPr>
              <w:jc w:val="center"/>
              <w:rPr>
                <w:lang w:eastAsia="zh-CN"/>
              </w:rPr>
            </w:pPr>
          </w:p>
        </w:tc>
        <w:tc>
          <w:tcPr>
            <w:tcW w:w="1134" w:type="dxa"/>
          </w:tcPr>
          <w:p w:rsidR="008D07F9" w:rsidRPr="008D07F9" w:rsidRDefault="008D07F9" w:rsidP="008D07F9">
            <w:pPr>
              <w:jc w:val="center"/>
              <w:rPr>
                <w:lang w:eastAsia="zh-CN"/>
              </w:rPr>
            </w:pPr>
          </w:p>
        </w:tc>
        <w:tc>
          <w:tcPr>
            <w:tcW w:w="1134" w:type="dxa"/>
          </w:tcPr>
          <w:p w:rsidR="008D07F9" w:rsidRPr="008D07F9" w:rsidRDefault="008D07F9" w:rsidP="008D07F9">
            <w:pPr>
              <w:jc w:val="center"/>
              <w:rPr>
                <w:lang w:eastAsia="zh-CN"/>
              </w:rPr>
            </w:pPr>
          </w:p>
        </w:tc>
        <w:tc>
          <w:tcPr>
            <w:tcW w:w="992" w:type="dxa"/>
          </w:tcPr>
          <w:p w:rsidR="008D07F9" w:rsidRPr="008D07F9" w:rsidRDefault="008D07F9" w:rsidP="008D07F9">
            <w:pPr>
              <w:jc w:val="center"/>
              <w:rPr>
                <w:lang w:eastAsia="zh-CN"/>
              </w:rPr>
            </w:pPr>
          </w:p>
        </w:tc>
        <w:tc>
          <w:tcPr>
            <w:tcW w:w="1276" w:type="dxa"/>
          </w:tcPr>
          <w:p w:rsidR="008D07F9" w:rsidRPr="008D07F9" w:rsidRDefault="008D07F9" w:rsidP="008D07F9">
            <w:pPr>
              <w:jc w:val="center"/>
              <w:rPr>
                <w:lang w:eastAsia="zh-CN"/>
              </w:rPr>
            </w:pPr>
          </w:p>
        </w:tc>
      </w:tr>
      <w:tr w:rsidR="008D07F9" w:rsidRPr="008D07F9" w:rsidTr="0068761C">
        <w:tc>
          <w:tcPr>
            <w:tcW w:w="710" w:type="dxa"/>
          </w:tcPr>
          <w:p w:rsidR="008D07F9" w:rsidRPr="008D07F9" w:rsidRDefault="008D07F9" w:rsidP="008D07F9">
            <w:pPr>
              <w:jc w:val="center"/>
              <w:rPr>
                <w:lang w:eastAsia="zh-CN"/>
              </w:rPr>
            </w:pPr>
          </w:p>
        </w:tc>
        <w:tc>
          <w:tcPr>
            <w:tcW w:w="992" w:type="dxa"/>
          </w:tcPr>
          <w:p w:rsidR="008D07F9" w:rsidRPr="008D07F9" w:rsidRDefault="008D07F9" w:rsidP="008D07F9">
            <w:pPr>
              <w:jc w:val="center"/>
              <w:rPr>
                <w:lang w:eastAsia="zh-CN"/>
              </w:rPr>
            </w:pPr>
          </w:p>
        </w:tc>
        <w:tc>
          <w:tcPr>
            <w:tcW w:w="1559" w:type="dxa"/>
          </w:tcPr>
          <w:p w:rsidR="008D07F9" w:rsidRPr="008D07F9" w:rsidRDefault="008D07F9" w:rsidP="008D07F9">
            <w:pPr>
              <w:jc w:val="center"/>
              <w:rPr>
                <w:lang w:eastAsia="zh-CN"/>
              </w:rPr>
            </w:pPr>
          </w:p>
        </w:tc>
        <w:tc>
          <w:tcPr>
            <w:tcW w:w="993" w:type="dxa"/>
          </w:tcPr>
          <w:p w:rsidR="008D07F9" w:rsidRPr="008D07F9" w:rsidRDefault="008D07F9" w:rsidP="008D07F9">
            <w:pPr>
              <w:jc w:val="center"/>
              <w:rPr>
                <w:lang w:eastAsia="zh-CN"/>
              </w:rPr>
            </w:pPr>
          </w:p>
        </w:tc>
        <w:tc>
          <w:tcPr>
            <w:tcW w:w="1134" w:type="dxa"/>
          </w:tcPr>
          <w:p w:rsidR="008D07F9" w:rsidRPr="008D07F9" w:rsidRDefault="008D07F9" w:rsidP="008D07F9">
            <w:pPr>
              <w:jc w:val="center"/>
              <w:rPr>
                <w:lang w:eastAsia="zh-CN"/>
              </w:rPr>
            </w:pPr>
          </w:p>
        </w:tc>
        <w:tc>
          <w:tcPr>
            <w:tcW w:w="850" w:type="dxa"/>
          </w:tcPr>
          <w:p w:rsidR="008D07F9" w:rsidRPr="008D07F9" w:rsidRDefault="008D07F9" w:rsidP="008D07F9">
            <w:pPr>
              <w:jc w:val="center"/>
              <w:rPr>
                <w:lang w:eastAsia="zh-CN"/>
              </w:rPr>
            </w:pPr>
          </w:p>
        </w:tc>
        <w:tc>
          <w:tcPr>
            <w:tcW w:w="1134" w:type="dxa"/>
          </w:tcPr>
          <w:p w:rsidR="008D07F9" w:rsidRPr="008D07F9" w:rsidRDefault="008D07F9" w:rsidP="008D07F9">
            <w:pPr>
              <w:jc w:val="center"/>
              <w:rPr>
                <w:lang w:eastAsia="zh-CN"/>
              </w:rPr>
            </w:pPr>
          </w:p>
        </w:tc>
        <w:tc>
          <w:tcPr>
            <w:tcW w:w="1134" w:type="dxa"/>
          </w:tcPr>
          <w:p w:rsidR="008D07F9" w:rsidRPr="008D07F9" w:rsidRDefault="008D07F9" w:rsidP="008D07F9">
            <w:pPr>
              <w:jc w:val="center"/>
              <w:rPr>
                <w:lang w:eastAsia="zh-CN"/>
              </w:rPr>
            </w:pPr>
          </w:p>
        </w:tc>
        <w:tc>
          <w:tcPr>
            <w:tcW w:w="992" w:type="dxa"/>
          </w:tcPr>
          <w:p w:rsidR="008D07F9" w:rsidRPr="008D07F9" w:rsidRDefault="008D07F9" w:rsidP="008D07F9">
            <w:pPr>
              <w:jc w:val="center"/>
              <w:rPr>
                <w:lang w:eastAsia="zh-CN"/>
              </w:rPr>
            </w:pPr>
          </w:p>
        </w:tc>
        <w:tc>
          <w:tcPr>
            <w:tcW w:w="1276" w:type="dxa"/>
          </w:tcPr>
          <w:p w:rsidR="008D07F9" w:rsidRPr="008D07F9" w:rsidRDefault="008D07F9" w:rsidP="008D07F9">
            <w:pPr>
              <w:jc w:val="center"/>
              <w:rPr>
                <w:lang w:eastAsia="zh-CN"/>
              </w:rPr>
            </w:pPr>
          </w:p>
        </w:tc>
      </w:tr>
    </w:tbl>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outlineLvl w:val="0"/>
        <w:rPr>
          <w:b/>
          <w:i/>
          <w:snapToGrid w:val="0"/>
          <w:lang w:eastAsia="en-US"/>
        </w:rPr>
      </w:pPr>
      <w:r w:rsidRPr="008D07F9">
        <w:rPr>
          <w:b/>
          <w:i/>
          <w:snapToGrid w:val="0"/>
          <w:lang w:eastAsia="en-US"/>
        </w:rPr>
        <w:t>Formos “Informacija apie gamintoją arba tiekėją” pildymo instrukcija</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D07F9">
        <w:rPr>
          <w:i/>
          <w:snapToGrid w:val="0"/>
          <w:lang w:eastAsia="en-US"/>
        </w:rPr>
        <w:t>2* – Įrašykite tiekėjo (pardavėjo) ar gamintojo NCAGE kodą (jei jis suteiktas ir yra žinomas).</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D07F9">
        <w:rPr>
          <w:i/>
          <w:snapToGrid w:val="0"/>
          <w:lang w:eastAsia="en-US"/>
        </w:rPr>
        <w:t>3 – Nurodykite tikslų tiekėjo (pardavėjo) ar gamintojo pavadinimą.</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D07F9">
        <w:rPr>
          <w:i/>
          <w:snapToGrid w:val="0"/>
          <w:lang w:eastAsia="en-US"/>
        </w:rPr>
        <w:t>4 – Nurodykite tikslų tiekėjo ar gamintojo adresą (taip pat ir pašto indeksą).</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D07F9">
        <w:rPr>
          <w:i/>
          <w:snapToGrid w:val="0"/>
          <w:lang w:eastAsia="en-US"/>
        </w:rPr>
        <w:t>5 – Įrašykite tiekėjo ar gamintojo telefono numerį (būtina nurodyti miesto kodą).</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D07F9">
        <w:rPr>
          <w:i/>
          <w:snapToGrid w:val="0"/>
          <w:lang w:eastAsia="en-US"/>
        </w:rPr>
        <w:t xml:space="preserve">6 – Įrašykite tiekėjo ar gamintojo fakso numerį (būtina nurodyti miesto kodą).  </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D07F9">
        <w:rPr>
          <w:i/>
          <w:snapToGrid w:val="0"/>
          <w:lang w:eastAsia="en-US"/>
        </w:rPr>
        <w:t>7* – Įrašykite tiekėjo ar gamintojo elektroninio pašto adresą.</w:t>
      </w:r>
    </w:p>
    <w:p w:rsidR="008D07F9" w:rsidRPr="008D07F9" w:rsidRDefault="008D07F9" w:rsidP="008D07F9">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D07F9">
        <w:rPr>
          <w:i/>
          <w:snapToGrid w:val="0"/>
          <w:lang w:eastAsia="en-US"/>
        </w:rPr>
        <w:t xml:space="preserve">8 – Įrašykite tiekėjo ar gamintojo įmonės kodą.  </w:t>
      </w:r>
    </w:p>
    <w:p w:rsidR="008D07F9" w:rsidRPr="008D07F9" w:rsidRDefault="008D07F9" w:rsidP="008D07F9">
      <w:pPr>
        <w:jc w:val="both"/>
        <w:rPr>
          <w:i/>
          <w:lang w:eastAsia="zh-CN"/>
        </w:rPr>
      </w:pPr>
      <w:r w:rsidRPr="008D07F9">
        <w:rPr>
          <w:i/>
          <w:lang w:eastAsia="zh-CN"/>
        </w:rPr>
        <w:t>9, 10 – Pažymėkite (X) tinkamą variantą (</w:t>
      </w:r>
      <w:proofErr w:type="spellStart"/>
      <w:r w:rsidRPr="008D07F9">
        <w:rPr>
          <w:i/>
          <w:lang w:eastAsia="zh-CN"/>
        </w:rPr>
        <w:t>t.y</w:t>
      </w:r>
      <w:proofErr w:type="spellEnd"/>
      <w:r w:rsidRPr="008D07F9">
        <w:rPr>
          <w:i/>
          <w:lang w:eastAsia="zh-CN"/>
        </w:rPr>
        <w:t>. ar tiekėjas (pardavėjas) yra tikrasis materialinių vertybių gamintojas ar tik platina kitų gamintojų produkciją).</w:t>
      </w:r>
    </w:p>
    <w:p w:rsidR="008D07F9" w:rsidRPr="008D07F9" w:rsidRDefault="008D07F9" w:rsidP="008D07F9">
      <w:pPr>
        <w:rPr>
          <w:i/>
          <w:lang w:eastAsia="zh-CN"/>
        </w:rPr>
      </w:pPr>
    </w:p>
    <w:p w:rsidR="008D07F9" w:rsidRPr="008D07F9" w:rsidRDefault="008D07F9" w:rsidP="008D07F9">
      <w:pPr>
        <w:pBdr>
          <w:bottom w:val="single" w:sz="12" w:space="1" w:color="auto"/>
        </w:pBdr>
        <w:rPr>
          <w:i/>
          <w:lang w:eastAsia="zh-CN"/>
        </w:rPr>
      </w:pPr>
      <w:r w:rsidRPr="008D07F9">
        <w:rPr>
          <w:i/>
          <w:lang w:eastAsia="zh-CN"/>
        </w:rPr>
        <w:t>* žvaigždute pažymėti laukai nėra privalomi. Kitus, žvaigždute nepažymėtus laukus, būtina pildyti.</w:t>
      </w:r>
    </w:p>
    <w:p w:rsidR="008D07F9" w:rsidRPr="008D07F9" w:rsidRDefault="008D07F9" w:rsidP="008D07F9">
      <w:pPr>
        <w:jc w:val="both"/>
        <w:rPr>
          <w:b/>
          <w:lang w:eastAsia="zh-CN"/>
        </w:rPr>
      </w:pPr>
    </w:p>
    <w:p w:rsidR="008D07F9" w:rsidRPr="008D07F9" w:rsidRDefault="008D07F9" w:rsidP="008D07F9">
      <w:pPr>
        <w:rPr>
          <w:lang w:eastAsia="zh-CN"/>
        </w:rPr>
      </w:pPr>
    </w:p>
    <w:p w:rsidR="008D07F9" w:rsidRPr="008D07F9" w:rsidRDefault="008D07F9" w:rsidP="008D07F9">
      <w:pPr>
        <w:rPr>
          <w:lang w:eastAsia="zh-CN"/>
        </w:rPr>
      </w:pPr>
    </w:p>
    <w:tbl>
      <w:tblPr>
        <w:tblW w:w="0" w:type="auto"/>
        <w:tblLook w:val="04A0" w:firstRow="1" w:lastRow="0" w:firstColumn="1" w:lastColumn="0" w:noHBand="0" w:noVBand="1"/>
      </w:tblPr>
      <w:tblGrid>
        <w:gridCol w:w="3372"/>
        <w:gridCol w:w="2406"/>
        <w:gridCol w:w="3372"/>
      </w:tblGrid>
      <w:tr w:rsidR="008D07F9" w:rsidRPr="008D07F9" w:rsidTr="0068761C">
        <w:tc>
          <w:tcPr>
            <w:tcW w:w="3372" w:type="dxa"/>
            <w:shd w:val="clear" w:color="auto" w:fill="auto"/>
          </w:tcPr>
          <w:p w:rsidR="008D07F9" w:rsidRPr="008D07F9" w:rsidRDefault="008D07F9" w:rsidP="008D07F9">
            <w:pPr>
              <w:suppressAutoHyphens/>
              <w:jc w:val="both"/>
              <w:rPr>
                <w:b/>
                <w:lang w:eastAsia="en-US"/>
              </w:rPr>
            </w:pPr>
            <w:r w:rsidRPr="008D07F9">
              <w:rPr>
                <w:b/>
                <w:lang w:eastAsia="en-US"/>
              </w:rPr>
              <w:t>PIRKĖJAS</w:t>
            </w:r>
          </w:p>
        </w:tc>
        <w:tc>
          <w:tcPr>
            <w:tcW w:w="2406" w:type="dxa"/>
            <w:shd w:val="clear" w:color="auto" w:fill="auto"/>
          </w:tcPr>
          <w:p w:rsidR="008D07F9" w:rsidRPr="008D07F9" w:rsidRDefault="008D07F9" w:rsidP="008D07F9">
            <w:pPr>
              <w:suppressAutoHyphens/>
              <w:jc w:val="both"/>
              <w:rPr>
                <w:b/>
                <w:lang w:eastAsia="en-US"/>
              </w:rPr>
            </w:pPr>
          </w:p>
        </w:tc>
        <w:tc>
          <w:tcPr>
            <w:tcW w:w="3372" w:type="dxa"/>
            <w:shd w:val="clear" w:color="auto" w:fill="auto"/>
          </w:tcPr>
          <w:p w:rsidR="008D07F9" w:rsidRPr="008D07F9" w:rsidRDefault="008D07F9" w:rsidP="008D07F9">
            <w:pPr>
              <w:suppressAutoHyphens/>
              <w:jc w:val="both"/>
              <w:rPr>
                <w:b/>
                <w:lang w:eastAsia="en-US"/>
              </w:rPr>
            </w:pPr>
            <w:r w:rsidRPr="008D07F9">
              <w:rPr>
                <w:b/>
                <w:lang w:eastAsia="en-US"/>
              </w:rPr>
              <w:t>PARDAVĖJAS</w:t>
            </w:r>
          </w:p>
        </w:tc>
      </w:tr>
    </w:tbl>
    <w:p w:rsidR="008D07F9" w:rsidRPr="008D07F9" w:rsidRDefault="008D07F9" w:rsidP="008D07F9">
      <w:pPr>
        <w:suppressAutoHyphens/>
        <w:jc w:val="both"/>
        <w:rPr>
          <w:b/>
          <w:sz w:val="20"/>
          <w:szCs w:val="20"/>
          <w:lang w:eastAsia="en-US"/>
        </w:rPr>
      </w:pPr>
    </w:p>
    <w:p w:rsidR="008D07F9" w:rsidRDefault="008D07F9" w:rsidP="00646DC6">
      <w:pPr>
        <w:jc w:val="both"/>
      </w:pPr>
    </w:p>
    <w:p w:rsidR="008D07F9" w:rsidRPr="00EA73AC" w:rsidRDefault="008D07F9" w:rsidP="00646DC6">
      <w:pPr>
        <w:jc w:val="both"/>
      </w:pPr>
    </w:p>
    <w:sectPr w:rsidR="008D07F9" w:rsidRPr="00EA73AC" w:rsidSect="00540E03">
      <w:headerReference w:type="even" r:id="rId10"/>
      <w:headerReference w:type="default" r:id="rId11"/>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A8B" w:rsidRDefault="004A7A8B">
      <w:r>
        <w:separator/>
      </w:r>
    </w:p>
  </w:endnote>
  <w:endnote w:type="continuationSeparator" w:id="0">
    <w:p w:rsidR="004A7A8B" w:rsidRDefault="004A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A8B" w:rsidRDefault="004A7A8B">
      <w:r>
        <w:separator/>
      </w:r>
    </w:p>
  </w:footnote>
  <w:footnote w:type="continuationSeparator" w:id="0">
    <w:p w:rsidR="004A7A8B" w:rsidRDefault="004A7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53448F0"/>
    <w:multiLevelType w:val="multilevel"/>
    <w:tmpl w:val="D67C0746"/>
    <w:lvl w:ilvl="0">
      <w:start w:val="1"/>
      <w:numFmt w:val="decimal"/>
      <w:pStyle w:val="ListNumber"/>
      <w:lvlText w:val="%1."/>
      <w:lvlJc w:val="left"/>
      <w:pPr>
        <w:tabs>
          <w:tab w:val="num" w:pos="720"/>
        </w:tabs>
        <w:ind w:left="720" w:hanging="720"/>
      </w:pPr>
    </w:lvl>
    <w:lvl w:ilvl="1">
      <w:start w:val="1"/>
      <w:numFmt w:val="decimal"/>
      <w:pStyle w:val="ListNumber1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1DA8"/>
    <w:rsid w:val="00012CA9"/>
    <w:rsid w:val="000134F5"/>
    <w:rsid w:val="000137AA"/>
    <w:rsid w:val="000155AF"/>
    <w:rsid w:val="00015D41"/>
    <w:rsid w:val="00017F60"/>
    <w:rsid w:val="0002013B"/>
    <w:rsid w:val="00020ABB"/>
    <w:rsid w:val="000273AD"/>
    <w:rsid w:val="000274E3"/>
    <w:rsid w:val="000324B7"/>
    <w:rsid w:val="00033999"/>
    <w:rsid w:val="00043F0E"/>
    <w:rsid w:val="00044E1B"/>
    <w:rsid w:val="00046519"/>
    <w:rsid w:val="00046CB5"/>
    <w:rsid w:val="00047CF9"/>
    <w:rsid w:val="00051CEE"/>
    <w:rsid w:val="000530A6"/>
    <w:rsid w:val="00053538"/>
    <w:rsid w:val="00063325"/>
    <w:rsid w:val="000670D5"/>
    <w:rsid w:val="00067FB9"/>
    <w:rsid w:val="00074187"/>
    <w:rsid w:val="00074550"/>
    <w:rsid w:val="00074DAB"/>
    <w:rsid w:val="00075263"/>
    <w:rsid w:val="000769B9"/>
    <w:rsid w:val="000774BC"/>
    <w:rsid w:val="000803B6"/>
    <w:rsid w:val="0008050E"/>
    <w:rsid w:val="00080FB6"/>
    <w:rsid w:val="00091508"/>
    <w:rsid w:val="00091998"/>
    <w:rsid w:val="0009328E"/>
    <w:rsid w:val="000946D6"/>
    <w:rsid w:val="000970F7"/>
    <w:rsid w:val="000975D0"/>
    <w:rsid w:val="000A3634"/>
    <w:rsid w:val="000A3FAF"/>
    <w:rsid w:val="000A7966"/>
    <w:rsid w:val="000B10FF"/>
    <w:rsid w:val="000B1E6C"/>
    <w:rsid w:val="000B3B27"/>
    <w:rsid w:val="000B3CAF"/>
    <w:rsid w:val="000B6DAD"/>
    <w:rsid w:val="000C0FE3"/>
    <w:rsid w:val="000C2205"/>
    <w:rsid w:val="000C496C"/>
    <w:rsid w:val="000C7166"/>
    <w:rsid w:val="000D0426"/>
    <w:rsid w:val="000D0811"/>
    <w:rsid w:val="000D35FE"/>
    <w:rsid w:val="000D669E"/>
    <w:rsid w:val="000D792D"/>
    <w:rsid w:val="000E08FC"/>
    <w:rsid w:val="000E162F"/>
    <w:rsid w:val="000E242A"/>
    <w:rsid w:val="000E3914"/>
    <w:rsid w:val="000E4775"/>
    <w:rsid w:val="000E4893"/>
    <w:rsid w:val="000E6C17"/>
    <w:rsid w:val="000F0F02"/>
    <w:rsid w:val="000F1E27"/>
    <w:rsid w:val="000F3206"/>
    <w:rsid w:val="000F6744"/>
    <w:rsid w:val="0010248B"/>
    <w:rsid w:val="00102C6B"/>
    <w:rsid w:val="00104211"/>
    <w:rsid w:val="00104989"/>
    <w:rsid w:val="00106DCB"/>
    <w:rsid w:val="00107939"/>
    <w:rsid w:val="00107F79"/>
    <w:rsid w:val="00107FA3"/>
    <w:rsid w:val="001112AB"/>
    <w:rsid w:val="0011157E"/>
    <w:rsid w:val="00115837"/>
    <w:rsid w:val="00116D84"/>
    <w:rsid w:val="001172CC"/>
    <w:rsid w:val="00117375"/>
    <w:rsid w:val="00122596"/>
    <w:rsid w:val="001238E7"/>
    <w:rsid w:val="00123F75"/>
    <w:rsid w:val="00125F4B"/>
    <w:rsid w:val="00126825"/>
    <w:rsid w:val="00126C5C"/>
    <w:rsid w:val="00127049"/>
    <w:rsid w:val="0013461C"/>
    <w:rsid w:val="0013773F"/>
    <w:rsid w:val="00141229"/>
    <w:rsid w:val="00142A15"/>
    <w:rsid w:val="0014305B"/>
    <w:rsid w:val="001454E2"/>
    <w:rsid w:val="001458AF"/>
    <w:rsid w:val="00146E57"/>
    <w:rsid w:val="001473D3"/>
    <w:rsid w:val="00152921"/>
    <w:rsid w:val="00152DDB"/>
    <w:rsid w:val="00155B77"/>
    <w:rsid w:val="001568B0"/>
    <w:rsid w:val="00163CFB"/>
    <w:rsid w:val="00164ED9"/>
    <w:rsid w:val="00164FA0"/>
    <w:rsid w:val="00170B15"/>
    <w:rsid w:val="001724C1"/>
    <w:rsid w:val="00172F4B"/>
    <w:rsid w:val="00173548"/>
    <w:rsid w:val="00174CEB"/>
    <w:rsid w:val="00176C3F"/>
    <w:rsid w:val="00180BD8"/>
    <w:rsid w:val="00186E29"/>
    <w:rsid w:val="001A0D32"/>
    <w:rsid w:val="001A1C50"/>
    <w:rsid w:val="001A1F7A"/>
    <w:rsid w:val="001A3672"/>
    <w:rsid w:val="001A4564"/>
    <w:rsid w:val="001A7311"/>
    <w:rsid w:val="001B1F64"/>
    <w:rsid w:val="001B41AA"/>
    <w:rsid w:val="001B47DB"/>
    <w:rsid w:val="001B6E52"/>
    <w:rsid w:val="001C53B2"/>
    <w:rsid w:val="001C61FF"/>
    <w:rsid w:val="001D072E"/>
    <w:rsid w:val="001D1EEA"/>
    <w:rsid w:val="001D4DE5"/>
    <w:rsid w:val="001D7E6A"/>
    <w:rsid w:val="001E17A9"/>
    <w:rsid w:val="001E66AC"/>
    <w:rsid w:val="001F14E1"/>
    <w:rsid w:val="002007A3"/>
    <w:rsid w:val="00201C02"/>
    <w:rsid w:val="00202F29"/>
    <w:rsid w:val="0020486A"/>
    <w:rsid w:val="00210CC7"/>
    <w:rsid w:val="00210E95"/>
    <w:rsid w:val="00211E52"/>
    <w:rsid w:val="00213F8C"/>
    <w:rsid w:val="002171B8"/>
    <w:rsid w:val="00221422"/>
    <w:rsid w:val="0022262E"/>
    <w:rsid w:val="00224F35"/>
    <w:rsid w:val="00230C73"/>
    <w:rsid w:val="00242262"/>
    <w:rsid w:val="00242BED"/>
    <w:rsid w:val="002443FF"/>
    <w:rsid w:val="002455E4"/>
    <w:rsid w:val="00254816"/>
    <w:rsid w:val="00257B89"/>
    <w:rsid w:val="002603B4"/>
    <w:rsid w:val="0026083A"/>
    <w:rsid w:val="0026173E"/>
    <w:rsid w:val="00263377"/>
    <w:rsid w:val="002634E2"/>
    <w:rsid w:val="00264246"/>
    <w:rsid w:val="00264C29"/>
    <w:rsid w:val="00267D0B"/>
    <w:rsid w:val="002712C4"/>
    <w:rsid w:val="00273403"/>
    <w:rsid w:val="00274F0A"/>
    <w:rsid w:val="002765AE"/>
    <w:rsid w:val="00280A96"/>
    <w:rsid w:val="00281E4D"/>
    <w:rsid w:val="00284C03"/>
    <w:rsid w:val="002857F9"/>
    <w:rsid w:val="00290B54"/>
    <w:rsid w:val="00293D4A"/>
    <w:rsid w:val="0029437E"/>
    <w:rsid w:val="00297CD8"/>
    <w:rsid w:val="002A0272"/>
    <w:rsid w:val="002A0F1D"/>
    <w:rsid w:val="002A60CF"/>
    <w:rsid w:val="002A7B95"/>
    <w:rsid w:val="002B1FA0"/>
    <w:rsid w:val="002B3381"/>
    <w:rsid w:val="002B6BE8"/>
    <w:rsid w:val="002C048E"/>
    <w:rsid w:val="002C24F4"/>
    <w:rsid w:val="002C37D7"/>
    <w:rsid w:val="002C38B0"/>
    <w:rsid w:val="002C3A47"/>
    <w:rsid w:val="002C4463"/>
    <w:rsid w:val="002C5735"/>
    <w:rsid w:val="002C6D5F"/>
    <w:rsid w:val="002D2935"/>
    <w:rsid w:val="002D330F"/>
    <w:rsid w:val="002D41F8"/>
    <w:rsid w:val="002D7249"/>
    <w:rsid w:val="002E07D6"/>
    <w:rsid w:val="002E4085"/>
    <w:rsid w:val="002E51A0"/>
    <w:rsid w:val="002E6F8C"/>
    <w:rsid w:val="002F4881"/>
    <w:rsid w:val="002F65A5"/>
    <w:rsid w:val="002F6E38"/>
    <w:rsid w:val="00300B56"/>
    <w:rsid w:val="00300CF8"/>
    <w:rsid w:val="00301DBD"/>
    <w:rsid w:val="00303918"/>
    <w:rsid w:val="0030569F"/>
    <w:rsid w:val="00306063"/>
    <w:rsid w:val="00306781"/>
    <w:rsid w:val="0031093C"/>
    <w:rsid w:val="00310DE1"/>
    <w:rsid w:val="003110EC"/>
    <w:rsid w:val="0031363B"/>
    <w:rsid w:val="0031461D"/>
    <w:rsid w:val="003146FB"/>
    <w:rsid w:val="00315C99"/>
    <w:rsid w:val="00315DC8"/>
    <w:rsid w:val="00317994"/>
    <w:rsid w:val="003227C8"/>
    <w:rsid w:val="00323446"/>
    <w:rsid w:val="00323886"/>
    <w:rsid w:val="00323F0F"/>
    <w:rsid w:val="00325DC7"/>
    <w:rsid w:val="00326C7C"/>
    <w:rsid w:val="0033089A"/>
    <w:rsid w:val="00331258"/>
    <w:rsid w:val="00331B2D"/>
    <w:rsid w:val="003321BD"/>
    <w:rsid w:val="003327A1"/>
    <w:rsid w:val="00333183"/>
    <w:rsid w:val="00333319"/>
    <w:rsid w:val="00337CFF"/>
    <w:rsid w:val="0034127A"/>
    <w:rsid w:val="00341EA0"/>
    <w:rsid w:val="0034204C"/>
    <w:rsid w:val="0034299B"/>
    <w:rsid w:val="00344637"/>
    <w:rsid w:val="003450E8"/>
    <w:rsid w:val="00346079"/>
    <w:rsid w:val="003466A9"/>
    <w:rsid w:val="003510C2"/>
    <w:rsid w:val="00355E47"/>
    <w:rsid w:val="0036276B"/>
    <w:rsid w:val="003639C7"/>
    <w:rsid w:val="00370E51"/>
    <w:rsid w:val="003758B5"/>
    <w:rsid w:val="003802E8"/>
    <w:rsid w:val="00382394"/>
    <w:rsid w:val="003863D4"/>
    <w:rsid w:val="003901DD"/>
    <w:rsid w:val="003911A8"/>
    <w:rsid w:val="00394EA5"/>
    <w:rsid w:val="003A528D"/>
    <w:rsid w:val="003B0CEB"/>
    <w:rsid w:val="003B1929"/>
    <w:rsid w:val="003B1F71"/>
    <w:rsid w:val="003B28F1"/>
    <w:rsid w:val="003B319E"/>
    <w:rsid w:val="003B3B8A"/>
    <w:rsid w:val="003B4BCD"/>
    <w:rsid w:val="003B65D9"/>
    <w:rsid w:val="003B79A7"/>
    <w:rsid w:val="003C3415"/>
    <w:rsid w:val="003D3BB4"/>
    <w:rsid w:val="003D3FC8"/>
    <w:rsid w:val="003D4DCD"/>
    <w:rsid w:val="003D5542"/>
    <w:rsid w:val="003D5E39"/>
    <w:rsid w:val="003D7F36"/>
    <w:rsid w:val="003E0043"/>
    <w:rsid w:val="003E090F"/>
    <w:rsid w:val="003E55B6"/>
    <w:rsid w:val="003E6412"/>
    <w:rsid w:val="003E7998"/>
    <w:rsid w:val="003E7AF9"/>
    <w:rsid w:val="003F1C55"/>
    <w:rsid w:val="003F2910"/>
    <w:rsid w:val="003F46EA"/>
    <w:rsid w:val="003F7EB0"/>
    <w:rsid w:val="00403322"/>
    <w:rsid w:val="004055FB"/>
    <w:rsid w:val="00410503"/>
    <w:rsid w:val="00411ECC"/>
    <w:rsid w:val="00413C13"/>
    <w:rsid w:val="00415D1F"/>
    <w:rsid w:val="00425E86"/>
    <w:rsid w:val="00427155"/>
    <w:rsid w:val="00427F9A"/>
    <w:rsid w:val="00430481"/>
    <w:rsid w:val="004346F9"/>
    <w:rsid w:val="00440292"/>
    <w:rsid w:val="0044037D"/>
    <w:rsid w:val="0044569B"/>
    <w:rsid w:val="004467EC"/>
    <w:rsid w:val="004479F5"/>
    <w:rsid w:val="00447AAA"/>
    <w:rsid w:val="00447C7C"/>
    <w:rsid w:val="00450958"/>
    <w:rsid w:val="00450FB3"/>
    <w:rsid w:val="004545BC"/>
    <w:rsid w:val="00457A24"/>
    <w:rsid w:val="004613B8"/>
    <w:rsid w:val="004616B1"/>
    <w:rsid w:val="00461C7E"/>
    <w:rsid w:val="0046345B"/>
    <w:rsid w:val="004637F1"/>
    <w:rsid w:val="0046495C"/>
    <w:rsid w:val="0046634F"/>
    <w:rsid w:val="0047244B"/>
    <w:rsid w:val="00475103"/>
    <w:rsid w:val="004752BE"/>
    <w:rsid w:val="00476B4E"/>
    <w:rsid w:val="004776E5"/>
    <w:rsid w:val="00477F22"/>
    <w:rsid w:val="00480CF0"/>
    <w:rsid w:val="004826A0"/>
    <w:rsid w:val="00482710"/>
    <w:rsid w:val="00482ED6"/>
    <w:rsid w:val="00484AC2"/>
    <w:rsid w:val="004917A6"/>
    <w:rsid w:val="004926FD"/>
    <w:rsid w:val="004A0CAE"/>
    <w:rsid w:val="004A3DBE"/>
    <w:rsid w:val="004A55D0"/>
    <w:rsid w:val="004A6DBB"/>
    <w:rsid w:val="004A7A8B"/>
    <w:rsid w:val="004B138D"/>
    <w:rsid w:val="004B2A04"/>
    <w:rsid w:val="004B4FFE"/>
    <w:rsid w:val="004C482F"/>
    <w:rsid w:val="004C4F80"/>
    <w:rsid w:val="004C6623"/>
    <w:rsid w:val="004D4B9C"/>
    <w:rsid w:val="004E3654"/>
    <w:rsid w:val="004E5569"/>
    <w:rsid w:val="004E6219"/>
    <w:rsid w:val="004E6B59"/>
    <w:rsid w:val="004F389C"/>
    <w:rsid w:val="004F38D0"/>
    <w:rsid w:val="005004C4"/>
    <w:rsid w:val="0050107A"/>
    <w:rsid w:val="00505CF1"/>
    <w:rsid w:val="00507315"/>
    <w:rsid w:val="00510336"/>
    <w:rsid w:val="0051035F"/>
    <w:rsid w:val="00515E8C"/>
    <w:rsid w:val="0051758C"/>
    <w:rsid w:val="0052033E"/>
    <w:rsid w:val="00520E13"/>
    <w:rsid w:val="00521E04"/>
    <w:rsid w:val="00523F9A"/>
    <w:rsid w:val="005268AC"/>
    <w:rsid w:val="00530953"/>
    <w:rsid w:val="00530E31"/>
    <w:rsid w:val="00530F55"/>
    <w:rsid w:val="005322FC"/>
    <w:rsid w:val="005331C1"/>
    <w:rsid w:val="005343C0"/>
    <w:rsid w:val="00534894"/>
    <w:rsid w:val="0053760D"/>
    <w:rsid w:val="00540E03"/>
    <w:rsid w:val="00540FB8"/>
    <w:rsid w:val="00541A2D"/>
    <w:rsid w:val="00541BE5"/>
    <w:rsid w:val="00541C7D"/>
    <w:rsid w:val="005436F0"/>
    <w:rsid w:val="00544308"/>
    <w:rsid w:val="005452A7"/>
    <w:rsid w:val="00550F72"/>
    <w:rsid w:val="005511D7"/>
    <w:rsid w:val="005518C7"/>
    <w:rsid w:val="0055239D"/>
    <w:rsid w:val="00557657"/>
    <w:rsid w:val="005605FB"/>
    <w:rsid w:val="00560D10"/>
    <w:rsid w:val="00562546"/>
    <w:rsid w:val="00562BE2"/>
    <w:rsid w:val="005635E4"/>
    <w:rsid w:val="005639C2"/>
    <w:rsid w:val="00564489"/>
    <w:rsid w:val="00564717"/>
    <w:rsid w:val="00564C5F"/>
    <w:rsid w:val="0056524B"/>
    <w:rsid w:val="005679DC"/>
    <w:rsid w:val="00571C08"/>
    <w:rsid w:val="00572D87"/>
    <w:rsid w:val="005739F8"/>
    <w:rsid w:val="00574A76"/>
    <w:rsid w:val="00581C79"/>
    <w:rsid w:val="00582C30"/>
    <w:rsid w:val="00587138"/>
    <w:rsid w:val="00591162"/>
    <w:rsid w:val="005921D3"/>
    <w:rsid w:val="00593CF1"/>
    <w:rsid w:val="00593E93"/>
    <w:rsid w:val="00596BAB"/>
    <w:rsid w:val="005A0243"/>
    <w:rsid w:val="005A092F"/>
    <w:rsid w:val="005A0934"/>
    <w:rsid w:val="005A3553"/>
    <w:rsid w:val="005A4070"/>
    <w:rsid w:val="005A4119"/>
    <w:rsid w:val="005B2AFB"/>
    <w:rsid w:val="005B45F7"/>
    <w:rsid w:val="005B4FB0"/>
    <w:rsid w:val="005B6897"/>
    <w:rsid w:val="005B742C"/>
    <w:rsid w:val="005C1112"/>
    <w:rsid w:val="005C316B"/>
    <w:rsid w:val="005C3AC7"/>
    <w:rsid w:val="005C49E3"/>
    <w:rsid w:val="005C506A"/>
    <w:rsid w:val="005E3407"/>
    <w:rsid w:val="005E34AE"/>
    <w:rsid w:val="005E431A"/>
    <w:rsid w:val="005E499F"/>
    <w:rsid w:val="005E56AF"/>
    <w:rsid w:val="005E65D5"/>
    <w:rsid w:val="005E6645"/>
    <w:rsid w:val="005F0C0D"/>
    <w:rsid w:val="005F25EF"/>
    <w:rsid w:val="005F26B1"/>
    <w:rsid w:val="005F5E52"/>
    <w:rsid w:val="005F673C"/>
    <w:rsid w:val="005F7645"/>
    <w:rsid w:val="00600BEB"/>
    <w:rsid w:val="0060437B"/>
    <w:rsid w:val="00604477"/>
    <w:rsid w:val="0060684D"/>
    <w:rsid w:val="0060793C"/>
    <w:rsid w:val="006123AC"/>
    <w:rsid w:val="006125D7"/>
    <w:rsid w:val="00612CBF"/>
    <w:rsid w:val="00612EE9"/>
    <w:rsid w:val="00613FCA"/>
    <w:rsid w:val="00615C01"/>
    <w:rsid w:val="0061643F"/>
    <w:rsid w:val="00617CBB"/>
    <w:rsid w:val="0062140A"/>
    <w:rsid w:val="0062376F"/>
    <w:rsid w:val="00631909"/>
    <w:rsid w:val="00631A51"/>
    <w:rsid w:val="006346BE"/>
    <w:rsid w:val="00641428"/>
    <w:rsid w:val="00645EAE"/>
    <w:rsid w:val="0064641E"/>
    <w:rsid w:val="00646DC6"/>
    <w:rsid w:val="0065156A"/>
    <w:rsid w:val="006528B6"/>
    <w:rsid w:val="00652C7D"/>
    <w:rsid w:val="00653344"/>
    <w:rsid w:val="00656027"/>
    <w:rsid w:val="006565EC"/>
    <w:rsid w:val="006573EA"/>
    <w:rsid w:val="0066117A"/>
    <w:rsid w:val="0066134A"/>
    <w:rsid w:val="006678CC"/>
    <w:rsid w:val="00670913"/>
    <w:rsid w:val="00670AC5"/>
    <w:rsid w:val="00671D4B"/>
    <w:rsid w:val="00674589"/>
    <w:rsid w:val="00681C35"/>
    <w:rsid w:val="00681D91"/>
    <w:rsid w:val="006841A5"/>
    <w:rsid w:val="00684E2A"/>
    <w:rsid w:val="0068761C"/>
    <w:rsid w:val="00690AB0"/>
    <w:rsid w:val="00693E67"/>
    <w:rsid w:val="006958AF"/>
    <w:rsid w:val="006976FE"/>
    <w:rsid w:val="006A5191"/>
    <w:rsid w:val="006B392F"/>
    <w:rsid w:val="006B479B"/>
    <w:rsid w:val="006B6321"/>
    <w:rsid w:val="006C05C4"/>
    <w:rsid w:val="006C0E9C"/>
    <w:rsid w:val="006C18EF"/>
    <w:rsid w:val="006D4B97"/>
    <w:rsid w:val="006D67EE"/>
    <w:rsid w:val="006D7621"/>
    <w:rsid w:val="006E16CC"/>
    <w:rsid w:val="006E3687"/>
    <w:rsid w:val="006E4E48"/>
    <w:rsid w:val="006F008D"/>
    <w:rsid w:val="006F078E"/>
    <w:rsid w:val="006F5433"/>
    <w:rsid w:val="006F709F"/>
    <w:rsid w:val="00700824"/>
    <w:rsid w:val="0070112A"/>
    <w:rsid w:val="0070327D"/>
    <w:rsid w:val="0070369C"/>
    <w:rsid w:val="00703F50"/>
    <w:rsid w:val="00706E7E"/>
    <w:rsid w:val="00716745"/>
    <w:rsid w:val="007202AD"/>
    <w:rsid w:val="00724FB4"/>
    <w:rsid w:val="0072572E"/>
    <w:rsid w:val="007268A9"/>
    <w:rsid w:val="00730A14"/>
    <w:rsid w:val="00731E84"/>
    <w:rsid w:val="00732AB0"/>
    <w:rsid w:val="0073507F"/>
    <w:rsid w:val="0073554B"/>
    <w:rsid w:val="00736297"/>
    <w:rsid w:val="00736C6F"/>
    <w:rsid w:val="007442D5"/>
    <w:rsid w:val="00746691"/>
    <w:rsid w:val="00746F04"/>
    <w:rsid w:val="007511AF"/>
    <w:rsid w:val="007522B4"/>
    <w:rsid w:val="00754BA4"/>
    <w:rsid w:val="00762794"/>
    <w:rsid w:val="0077168A"/>
    <w:rsid w:val="00771DB6"/>
    <w:rsid w:val="007731EC"/>
    <w:rsid w:val="007737D2"/>
    <w:rsid w:val="00775D43"/>
    <w:rsid w:val="00777F64"/>
    <w:rsid w:val="00780E91"/>
    <w:rsid w:val="00781D66"/>
    <w:rsid w:val="007848F0"/>
    <w:rsid w:val="00792C03"/>
    <w:rsid w:val="00793EA3"/>
    <w:rsid w:val="00794FD8"/>
    <w:rsid w:val="007961D0"/>
    <w:rsid w:val="0079744B"/>
    <w:rsid w:val="007A0CD9"/>
    <w:rsid w:val="007A5B76"/>
    <w:rsid w:val="007B0B1D"/>
    <w:rsid w:val="007B5864"/>
    <w:rsid w:val="007B607C"/>
    <w:rsid w:val="007B6AA0"/>
    <w:rsid w:val="007C2FB2"/>
    <w:rsid w:val="007C3926"/>
    <w:rsid w:val="007C497A"/>
    <w:rsid w:val="007C7744"/>
    <w:rsid w:val="007D1042"/>
    <w:rsid w:val="007D2FDE"/>
    <w:rsid w:val="007D3CF1"/>
    <w:rsid w:val="007D4C6C"/>
    <w:rsid w:val="007D57DC"/>
    <w:rsid w:val="007D6350"/>
    <w:rsid w:val="007D79C5"/>
    <w:rsid w:val="007E1537"/>
    <w:rsid w:val="007E3835"/>
    <w:rsid w:val="007E4370"/>
    <w:rsid w:val="007F2235"/>
    <w:rsid w:val="007F3BF7"/>
    <w:rsid w:val="007F4436"/>
    <w:rsid w:val="007F4E34"/>
    <w:rsid w:val="007F59AA"/>
    <w:rsid w:val="007F7359"/>
    <w:rsid w:val="00800A0C"/>
    <w:rsid w:val="008012D0"/>
    <w:rsid w:val="00801329"/>
    <w:rsid w:val="008015D9"/>
    <w:rsid w:val="008036B8"/>
    <w:rsid w:val="00804894"/>
    <w:rsid w:val="00804EDC"/>
    <w:rsid w:val="00805246"/>
    <w:rsid w:val="008060F2"/>
    <w:rsid w:val="0080619C"/>
    <w:rsid w:val="00806F63"/>
    <w:rsid w:val="00807DDE"/>
    <w:rsid w:val="00810059"/>
    <w:rsid w:val="008111C5"/>
    <w:rsid w:val="00814480"/>
    <w:rsid w:val="00814CBA"/>
    <w:rsid w:val="00815EAA"/>
    <w:rsid w:val="008163BF"/>
    <w:rsid w:val="008223DC"/>
    <w:rsid w:val="0082340A"/>
    <w:rsid w:val="008274E5"/>
    <w:rsid w:val="0083246B"/>
    <w:rsid w:val="0083315E"/>
    <w:rsid w:val="0083398E"/>
    <w:rsid w:val="00834646"/>
    <w:rsid w:val="00836089"/>
    <w:rsid w:val="008370AC"/>
    <w:rsid w:val="0084205E"/>
    <w:rsid w:val="00843108"/>
    <w:rsid w:val="0084336E"/>
    <w:rsid w:val="00847218"/>
    <w:rsid w:val="00851D39"/>
    <w:rsid w:val="00851DDD"/>
    <w:rsid w:val="00855F30"/>
    <w:rsid w:val="00860C9B"/>
    <w:rsid w:val="00861C7F"/>
    <w:rsid w:val="00864223"/>
    <w:rsid w:val="0086611C"/>
    <w:rsid w:val="00866BBB"/>
    <w:rsid w:val="00874043"/>
    <w:rsid w:val="0087413A"/>
    <w:rsid w:val="0088508E"/>
    <w:rsid w:val="00890585"/>
    <w:rsid w:val="0089280A"/>
    <w:rsid w:val="00892904"/>
    <w:rsid w:val="00896216"/>
    <w:rsid w:val="00896F39"/>
    <w:rsid w:val="008A029F"/>
    <w:rsid w:val="008A1B1E"/>
    <w:rsid w:val="008A1BFD"/>
    <w:rsid w:val="008A24D9"/>
    <w:rsid w:val="008A270A"/>
    <w:rsid w:val="008A36E6"/>
    <w:rsid w:val="008A3B5D"/>
    <w:rsid w:val="008A5809"/>
    <w:rsid w:val="008B09CE"/>
    <w:rsid w:val="008B5732"/>
    <w:rsid w:val="008B7664"/>
    <w:rsid w:val="008C1E8D"/>
    <w:rsid w:val="008D07F9"/>
    <w:rsid w:val="008E5F2C"/>
    <w:rsid w:val="008E64FC"/>
    <w:rsid w:val="008E7C0A"/>
    <w:rsid w:val="008F0586"/>
    <w:rsid w:val="008F29B4"/>
    <w:rsid w:val="009040A8"/>
    <w:rsid w:val="009123ED"/>
    <w:rsid w:val="00914BD3"/>
    <w:rsid w:val="00914C1F"/>
    <w:rsid w:val="0091504A"/>
    <w:rsid w:val="00916A6B"/>
    <w:rsid w:val="00917BED"/>
    <w:rsid w:val="009253F2"/>
    <w:rsid w:val="009262BD"/>
    <w:rsid w:val="00927B15"/>
    <w:rsid w:val="009300B1"/>
    <w:rsid w:val="009405E7"/>
    <w:rsid w:val="0094227D"/>
    <w:rsid w:val="00943766"/>
    <w:rsid w:val="009440EA"/>
    <w:rsid w:val="0094474A"/>
    <w:rsid w:val="00945785"/>
    <w:rsid w:val="00945E12"/>
    <w:rsid w:val="009523E7"/>
    <w:rsid w:val="00956358"/>
    <w:rsid w:val="009566DA"/>
    <w:rsid w:val="00962B8E"/>
    <w:rsid w:val="00963B1D"/>
    <w:rsid w:val="00964060"/>
    <w:rsid w:val="0097231A"/>
    <w:rsid w:val="00977530"/>
    <w:rsid w:val="00977BBB"/>
    <w:rsid w:val="00980E83"/>
    <w:rsid w:val="00983053"/>
    <w:rsid w:val="0098333A"/>
    <w:rsid w:val="00984E2B"/>
    <w:rsid w:val="00985BF3"/>
    <w:rsid w:val="00991A5E"/>
    <w:rsid w:val="00991E5E"/>
    <w:rsid w:val="00993C0F"/>
    <w:rsid w:val="009966A0"/>
    <w:rsid w:val="00997A09"/>
    <w:rsid w:val="009A005D"/>
    <w:rsid w:val="009A1A93"/>
    <w:rsid w:val="009A1D39"/>
    <w:rsid w:val="009A2ACE"/>
    <w:rsid w:val="009A3FDD"/>
    <w:rsid w:val="009A60BE"/>
    <w:rsid w:val="009A638A"/>
    <w:rsid w:val="009A6F92"/>
    <w:rsid w:val="009B1C9A"/>
    <w:rsid w:val="009B1E46"/>
    <w:rsid w:val="009B4411"/>
    <w:rsid w:val="009B46A4"/>
    <w:rsid w:val="009C03F2"/>
    <w:rsid w:val="009C1D26"/>
    <w:rsid w:val="009C351C"/>
    <w:rsid w:val="009C60F0"/>
    <w:rsid w:val="009D107C"/>
    <w:rsid w:val="009D6A2D"/>
    <w:rsid w:val="009D706B"/>
    <w:rsid w:val="009D7E73"/>
    <w:rsid w:val="009E0530"/>
    <w:rsid w:val="009E09E6"/>
    <w:rsid w:val="009E2E30"/>
    <w:rsid w:val="009E2E7F"/>
    <w:rsid w:val="009E2E9B"/>
    <w:rsid w:val="009E43E9"/>
    <w:rsid w:val="009F05D0"/>
    <w:rsid w:val="009F412A"/>
    <w:rsid w:val="009F51DA"/>
    <w:rsid w:val="00A041A3"/>
    <w:rsid w:val="00A06203"/>
    <w:rsid w:val="00A10030"/>
    <w:rsid w:val="00A1016B"/>
    <w:rsid w:val="00A130A8"/>
    <w:rsid w:val="00A134EE"/>
    <w:rsid w:val="00A13EE1"/>
    <w:rsid w:val="00A179BF"/>
    <w:rsid w:val="00A17C1E"/>
    <w:rsid w:val="00A21014"/>
    <w:rsid w:val="00A2178F"/>
    <w:rsid w:val="00A23A42"/>
    <w:rsid w:val="00A25DD0"/>
    <w:rsid w:val="00A2635A"/>
    <w:rsid w:val="00A3091D"/>
    <w:rsid w:val="00A36A7B"/>
    <w:rsid w:val="00A433B0"/>
    <w:rsid w:val="00A438A8"/>
    <w:rsid w:val="00A478B9"/>
    <w:rsid w:val="00A47F36"/>
    <w:rsid w:val="00A55C30"/>
    <w:rsid w:val="00A570DD"/>
    <w:rsid w:val="00A57CA3"/>
    <w:rsid w:val="00A710F2"/>
    <w:rsid w:val="00A73687"/>
    <w:rsid w:val="00A73B3F"/>
    <w:rsid w:val="00A759CC"/>
    <w:rsid w:val="00A82B7E"/>
    <w:rsid w:val="00A83637"/>
    <w:rsid w:val="00A926FA"/>
    <w:rsid w:val="00A9352E"/>
    <w:rsid w:val="00AA0D56"/>
    <w:rsid w:val="00AA2BD4"/>
    <w:rsid w:val="00AA6A6D"/>
    <w:rsid w:val="00AA6D55"/>
    <w:rsid w:val="00AA6F6E"/>
    <w:rsid w:val="00AB4E34"/>
    <w:rsid w:val="00AC110A"/>
    <w:rsid w:val="00AC38B8"/>
    <w:rsid w:val="00AC3965"/>
    <w:rsid w:val="00AC3D19"/>
    <w:rsid w:val="00AC5C03"/>
    <w:rsid w:val="00AC6A05"/>
    <w:rsid w:val="00AC739B"/>
    <w:rsid w:val="00AD1F49"/>
    <w:rsid w:val="00AD78EC"/>
    <w:rsid w:val="00AE0A25"/>
    <w:rsid w:val="00AE153C"/>
    <w:rsid w:val="00AE446D"/>
    <w:rsid w:val="00AF2974"/>
    <w:rsid w:val="00AF377A"/>
    <w:rsid w:val="00AF3D5D"/>
    <w:rsid w:val="00AF5175"/>
    <w:rsid w:val="00AF5CFD"/>
    <w:rsid w:val="00AF65FF"/>
    <w:rsid w:val="00AF66A6"/>
    <w:rsid w:val="00B03C14"/>
    <w:rsid w:val="00B055D4"/>
    <w:rsid w:val="00B108A5"/>
    <w:rsid w:val="00B10DB9"/>
    <w:rsid w:val="00B16867"/>
    <w:rsid w:val="00B169F2"/>
    <w:rsid w:val="00B21162"/>
    <w:rsid w:val="00B21825"/>
    <w:rsid w:val="00B24184"/>
    <w:rsid w:val="00B267D7"/>
    <w:rsid w:val="00B26E93"/>
    <w:rsid w:val="00B31AFE"/>
    <w:rsid w:val="00B3200A"/>
    <w:rsid w:val="00B33C8A"/>
    <w:rsid w:val="00B400DE"/>
    <w:rsid w:val="00B41F59"/>
    <w:rsid w:val="00B475CF"/>
    <w:rsid w:val="00B517EB"/>
    <w:rsid w:val="00B5208D"/>
    <w:rsid w:val="00B54266"/>
    <w:rsid w:val="00B5664B"/>
    <w:rsid w:val="00B56C6E"/>
    <w:rsid w:val="00B577A8"/>
    <w:rsid w:val="00B62E7C"/>
    <w:rsid w:val="00B64AC2"/>
    <w:rsid w:val="00B704D3"/>
    <w:rsid w:val="00B71CCD"/>
    <w:rsid w:val="00B72804"/>
    <w:rsid w:val="00B77B63"/>
    <w:rsid w:val="00B82D68"/>
    <w:rsid w:val="00B95FA3"/>
    <w:rsid w:val="00BA14EB"/>
    <w:rsid w:val="00BA20F6"/>
    <w:rsid w:val="00BA530F"/>
    <w:rsid w:val="00BB13B6"/>
    <w:rsid w:val="00BB2ECD"/>
    <w:rsid w:val="00BB40A2"/>
    <w:rsid w:val="00BB4155"/>
    <w:rsid w:val="00BB53D3"/>
    <w:rsid w:val="00BC08D4"/>
    <w:rsid w:val="00BC230A"/>
    <w:rsid w:val="00BC3320"/>
    <w:rsid w:val="00BC36BC"/>
    <w:rsid w:val="00BC3AEA"/>
    <w:rsid w:val="00BD3350"/>
    <w:rsid w:val="00BD4A1E"/>
    <w:rsid w:val="00BD69D5"/>
    <w:rsid w:val="00BE10CF"/>
    <w:rsid w:val="00BE2C85"/>
    <w:rsid w:val="00BE3BEA"/>
    <w:rsid w:val="00BE57A9"/>
    <w:rsid w:val="00BE59C2"/>
    <w:rsid w:val="00BF33CA"/>
    <w:rsid w:val="00C031CB"/>
    <w:rsid w:val="00C03DBC"/>
    <w:rsid w:val="00C0644E"/>
    <w:rsid w:val="00C066EB"/>
    <w:rsid w:val="00C102B0"/>
    <w:rsid w:val="00C12300"/>
    <w:rsid w:val="00C1245C"/>
    <w:rsid w:val="00C1280F"/>
    <w:rsid w:val="00C212AA"/>
    <w:rsid w:val="00C2521D"/>
    <w:rsid w:val="00C3135A"/>
    <w:rsid w:val="00C320D4"/>
    <w:rsid w:val="00C328D2"/>
    <w:rsid w:val="00C332AB"/>
    <w:rsid w:val="00C33813"/>
    <w:rsid w:val="00C33CC2"/>
    <w:rsid w:val="00C33D3A"/>
    <w:rsid w:val="00C36DD5"/>
    <w:rsid w:val="00C36DF1"/>
    <w:rsid w:val="00C41C5A"/>
    <w:rsid w:val="00C42746"/>
    <w:rsid w:val="00C43BC5"/>
    <w:rsid w:val="00C462F4"/>
    <w:rsid w:val="00C4732A"/>
    <w:rsid w:val="00C51B07"/>
    <w:rsid w:val="00C52D42"/>
    <w:rsid w:val="00C618EB"/>
    <w:rsid w:val="00C61A76"/>
    <w:rsid w:val="00C646EE"/>
    <w:rsid w:val="00C676E6"/>
    <w:rsid w:val="00C67A3D"/>
    <w:rsid w:val="00C7180C"/>
    <w:rsid w:val="00C73B88"/>
    <w:rsid w:val="00C835B3"/>
    <w:rsid w:val="00C92A63"/>
    <w:rsid w:val="00C93876"/>
    <w:rsid w:val="00CA275E"/>
    <w:rsid w:val="00CB0C5C"/>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543B"/>
    <w:rsid w:val="00D0549D"/>
    <w:rsid w:val="00D06ACE"/>
    <w:rsid w:val="00D1015D"/>
    <w:rsid w:val="00D136E9"/>
    <w:rsid w:val="00D141A7"/>
    <w:rsid w:val="00D14F7D"/>
    <w:rsid w:val="00D262A9"/>
    <w:rsid w:val="00D276C8"/>
    <w:rsid w:val="00D32E0D"/>
    <w:rsid w:val="00D36599"/>
    <w:rsid w:val="00D426A3"/>
    <w:rsid w:val="00D450F1"/>
    <w:rsid w:val="00D478FC"/>
    <w:rsid w:val="00D5560B"/>
    <w:rsid w:val="00D63C36"/>
    <w:rsid w:val="00D657D5"/>
    <w:rsid w:val="00D70CB6"/>
    <w:rsid w:val="00D73574"/>
    <w:rsid w:val="00D7482F"/>
    <w:rsid w:val="00D74863"/>
    <w:rsid w:val="00D8002B"/>
    <w:rsid w:val="00D80439"/>
    <w:rsid w:val="00D804D5"/>
    <w:rsid w:val="00D82907"/>
    <w:rsid w:val="00D92F70"/>
    <w:rsid w:val="00D959DD"/>
    <w:rsid w:val="00DA00ED"/>
    <w:rsid w:val="00DA133F"/>
    <w:rsid w:val="00DA1946"/>
    <w:rsid w:val="00DA282E"/>
    <w:rsid w:val="00DB2A11"/>
    <w:rsid w:val="00DB5154"/>
    <w:rsid w:val="00DC04BC"/>
    <w:rsid w:val="00DC7C13"/>
    <w:rsid w:val="00DD16FD"/>
    <w:rsid w:val="00DD2B77"/>
    <w:rsid w:val="00DD41CC"/>
    <w:rsid w:val="00DD5BA0"/>
    <w:rsid w:val="00DD6B0A"/>
    <w:rsid w:val="00DD777F"/>
    <w:rsid w:val="00DE03D6"/>
    <w:rsid w:val="00DE219D"/>
    <w:rsid w:val="00DE3190"/>
    <w:rsid w:val="00DE4757"/>
    <w:rsid w:val="00DE5488"/>
    <w:rsid w:val="00DE74D5"/>
    <w:rsid w:val="00DF0C75"/>
    <w:rsid w:val="00DF18D4"/>
    <w:rsid w:val="00DF23EF"/>
    <w:rsid w:val="00DF6612"/>
    <w:rsid w:val="00E02CA9"/>
    <w:rsid w:val="00E03423"/>
    <w:rsid w:val="00E041EF"/>
    <w:rsid w:val="00E054DB"/>
    <w:rsid w:val="00E063B4"/>
    <w:rsid w:val="00E15AFA"/>
    <w:rsid w:val="00E175B0"/>
    <w:rsid w:val="00E20234"/>
    <w:rsid w:val="00E21B83"/>
    <w:rsid w:val="00E2266A"/>
    <w:rsid w:val="00E24E38"/>
    <w:rsid w:val="00E30448"/>
    <w:rsid w:val="00E31E53"/>
    <w:rsid w:val="00E31EED"/>
    <w:rsid w:val="00E32E52"/>
    <w:rsid w:val="00E35D4E"/>
    <w:rsid w:val="00E40BDB"/>
    <w:rsid w:val="00E43C6E"/>
    <w:rsid w:val="00E43D76"/>
    <w:rsid w:val="00E505D8"/>
    <w:rsid w:val="00E520D1"/>
    <w:rsid w:val="00E54B7F"/>
    <w:rsid w:val="00E5639B"/>
    <w:rsid w:val="00E56BF7"/>
    <w:rsid w:val="00E56ED2"/>
    <w:rsid w:val="00E6025E"/>
    <w:rsid w:val="00E611BA"/>
    <w:rsid w:val="00E64805"/>
    <w:rsid w:val="00E655B8"/>
    <w:rsid w:val="00E66216"/>
    <w:rsid w:val="00E7211E"/>
    <w:rsid w:val="00E72675"/>
    <w:rsid w:val="00E72DF6"/>
    <w:rsid w:val="00E73CCA"/>
    <w:rsid w:val="00E7431C"/>
    <w:rsid w:val="00E77758"/>
    <w:rsid w:val="00E8189E"/>
    <w:rsid w:val="00E81D89"/>
    <w:rsid w:val="00E83242"/>
    <w:rsid w:val="00E8665D"/>
    <w:rsid w:val="00E87E55"/>
    <w:rsid w:val="00EA2098"/>
    <w:rsid w:val="00EA4347"/>
    <w:rsid w:val="00EA4DE9"/>
    <w:rsid w:val="00EA55CB"/>
    <w:rsid w:val="00EA654F"/>
    <w:rsid w:val="00EA66B0"/>
    <w:rsid w:val="00EA67D6"/>
    <w:rsid w:val="00EA6CFD"/>
    <w:rsid w:val="00EA73AC"/>
    <w:rsid w:val="00EA7641"/>
    <w:rsid w:val="00EB04AE"/>
    <w:rsid w:val="00EB1DD8"/>
    <w:rsid w:val="00EB1DEE"/>
    <w:rsid w:val="00EB3B83"/>
    <w:rsid w:val="00EB4422"/>
    <w:rsid w:val="00EB5D84"/>
    <w:rsid w:val="00EB7BAB"/>
    <w:rsid w:val="00EB7F79"/>
    <w:rsid w:val="00EC08E5"/>
    <w:rsid w:val="00EC4731"/>
    <w:rsid w:val="00EC69B8"/>
    <w:rsid w:val="00ED0C28"/>
    <w:rsid w:val="00ED0D23"/>
    <w:rsid w:val="00ED2CF8"/>
    <w:rsid w:val="00ED4FDB"/>
    <w:rsid w:val="00ED5488"/>
    <w:rsid w:val="00EE3D9E"/>
    <w:rsid w:val="00EF1E5D"/>
    <w:rsid w:val="00EF1FC5"/>
    <w:rsid w:val="00EF517F"/>
    <w:rsid w:val="00EF5B8E"/>
    <w:rsid w:val="00EF7207"/>
    <w:rsid w:val="00EF728E"/>
    <w:rsid w:val="00F000E2"/>
    <w:rsid w:val="00F028D1"/>
    <w:rsid w:val="00F0567C"/>
    <w:rsid w:val="00F13282"/>
    <w:rsid w:val="00F1478D"/>
    <w:rsid w:val="00F20776"/>
    <w:rsid w:val="00F20928"/>
    <w:rsid w:val="00F26E90"/>
    <w:rsid w:val="00F27BE3"/>
    <w:rsid w:val="00F3043C"/>
    <w:rsid w:val="00F31463"/>
    <w:rsid w:val="00F404EB"/>
    <w:rsid w:val="00F4159A"/>
    <w:rsid w:val="00F423AB"/>
    <w:rsid w:val="00F450F3"/>
    <w:rsid w:val="00F50F65"/>
    <w:rsid w:val="00F5213A"/>
    <w:rsid w:val="00F64239"/>
    <w:rsid w:val="00F64C29"/>
    <w:rsid w:val="00F6734F"/>
    <w:rsid w:val="00F7012F"/>
    <w:rsid w:val="00F74BA1"/>
    <w:rsid w:val="00F8051F"/>
    <w:rsid w:val="00F815BD"/>
    <w:rsid w:val="00F8412E"/>
    <w:rsid w:val="00F87933"/>
    <w:rsid w:val="00F91D4D"/>
    <w:rsid w:val="00F929BC"/>
    <w:rsid w:val="00F93DEC"/>
    <w:rsid w:val="00FB0202"/>
    <w:rsid w:val="00FB33F0"/>
    <w:rsid w:val="00FB52DA"/>
    <w:rsid w:val="00FC364A"/>
    <w:rsid w:val="00FD157B"/>
    <w:rsid w:val="00FE47E5"/>
    <w:rsid w:val="00FF05D5"/>
    <w:rsid w:val="00FF2272"/>
    <w:rsid w:val="00FF2D8F"/>
    <w:rsid w:val="00FF5D4B"/>
    <w:rsid w:val="00FF6815"/>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A6AD600"/>
  <w15:chartTrackingRefBased/>
  <w15:docId w15:val="{CDF03B08-10FC-4C0C-88C4-85C6D641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ListNumber11">
    <w:name w:val="List Number 11"/>
    <w:basedOn w:val="ListNumber"/>
    <w:rsid w:val="00EC4731"/>
    <w:pPr>
      <w:numPr>
        <w:ilvl w:val="1"/>
        <w:numId w:val="8"/>
      </w:numPr>
      <w:tabs>
        <w:tab w:val="num" w:pos="1245"/>
      </w:tabs>
      <w:ind w:left="1245" w:hanging="525"/>
      <w:contextualSpacing w:val="0"/>
      <w:jc w:val="both"/>
    </w:pPr>
    <w:rPr>
      <w:szCs w:val="20"/>
      <w:lang w:val="en-US" w:eastAsia="en-US"/>
    </w:rPr>
  </w:style>
  <w:style w:type="paragraph" w:styleId="ListNumber">
    <w:name w:val="List Number"/>
    <w:basedOn w:val="Normal"/>
    <w:rsid w:val="00EC4731"/>
    <w:pPr>
      <w:numPr>
        <w:numId w:val="9"/>
      </w:numPr>
      <w:contextualSpacing/>
    </w:pPr>
  </w:style>
  <w:style w:type="paragraph" w:customStyle="1" w:styleId="BodyText2">
    <w:name w:val="Body Text2"/>
    <w:rsid w:val="00AC6A05"/>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651580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C47C5-4977-416D-9D1E-5A64B802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20</Pages>
  <Words>10119</Words>
  <Characters>57679</Characters>
  <Application>Microsoft Office Word</Application>
  <DocSecurity>0</DocSecurity>
  <Lines>480</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67663</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92</cp:revision>
  <cp:lastPrinted>2018-09-17T05:15:00Z</cp:lastPrinted>
  <dcterms:created xsi:type="dcterms:W3CDTF">2021-05-27T05:33:00Z</dcterms:created>
  <dcterms:modified xsi:type="dcterms:W3CDTF">2025-09-05T09:26:00Z</dcterms:modified>
</cp:coreProperties>
</file>