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43355C71" w:rsidR="00046D25" w:rsidRPr="0073632D" w:rsidRDefault="007F54BB" w:rsidP="00F311A2">
      <w:pPr>
        <w:widowControl w:val="0"/>
        <w:tabs>
          <w:tab w:val="left" w:pos="5103"/>
          <w:tab w:val="left" w:pos="5670"/>
        </w:tabs>
        <w:ind w:firstLine="3402"/>
      </w:pPr>
      <w:r>
        <w:t>`</w:t>
      </w:r>
      <w:r w:rsidR="008E6A4D" w:rsidRPr="00FE5A3E">
        <w:tab/>
      </w:r>
      <w:r w:rsidR="003514D4" w:rsidRPr="0073632D">
        <w:t>PATVIRTINTA</w:t>
      </w:r>
    </w:p>
    <w:p w14:paraId="138644B7" w14:textId="77777777" w:rsidR="00346C63" w:rsidRPr="0073632D" w:rsidRDefault="00346C63" w:rsidP="006810BD">
      <w:pPr>
        <w:tabs>
          <w:tab w:val="right" w:leader="underscore" w:pos="8640"/>
        </w:tabs>
        <w:ind w:left="5103"/>
      </w:pPr>
      <w:r w:rsidRPr="0073632D">
        <w:t xml:space="preserve">UAB „Giraitės vandenys“ </w:t>
      </w:r>
    </w:p>
    <w:p w14:paraId="7D7AAA1D" w14:textId="08F9442D" w:rsidR="00E722A0" w:rsidRPr="0073632D" w:rsidRDefault="00E01767" w:rsidP="006810BD">
      <w:pPr>
        <w:tabs>
          <w:tab w:val="right" w:leader="underscore" w:pos="8640"/>
        </w:tabs>
        <w:ind w:left="5103"/>
        <w:rPr>
          <w:color w:val="000000" w:themeColor="text1"/>
        </w:rPr>
      </w:pPr>
      <w:r w:rsidRPr="0073632D">
        <w:rPr>
          <w:color w:val="000000" w:themeColor="text1"/>
        </w:rPr>
        <w:t>2025-0</w:t>
      </w:r>
      <w:r w:rsidR="0073632D">
        <w:rPr>
          <w:color w:val="000000" w:themeColor="text1"/>
          <w:lang w:val="fi-FI"/>
        </w:rPr>
        <w:t>9-04</w:t>
      </w:r>
      <w:r w:rsidRPr="0073632D">
        <w:rPr>
          <w:color w:val="000000" w:themeColor="text1"/>
        </w:rPr>
        <w:t xml:space="preserve"> </w:t>
      </w:r>
      <w:r w:rsidR="00346C63" w:rsidRPr="0073632D">
        <w:t>viešojo</w:t>
      </w:r>
      <w:r w:rsidR="003514D4" w:rsidRPr="0073632D">
        <w:rPr>
          <w:color w:val="000000" w:themeColor="text1"/>
        </w:rPr>
        <w:t xml:space="preserve"> pirkim</w:t>
      </w:r>
      <w:r w:rsidR="00346C63" w:rsidRPr="0073632D">
        <w:rPr>
          <w:color w:val="000000" w:themeColor="text1"/>
        </w:rPr>
        <w:t>o</w:t>
      </w:r>
      <w:r w:rsidR="003514D4" w:rsidRPr="0073632D">
        <w:rPr>
          <w:color w:val="000000" w:themeColor="text1"/>
        </w:rPr>
        <w:t xml:space="preserve"> komisijos</w:t>
      </w:r>
      <w:r w:rsidR="00C976A6" w:rsidRPr="0073632D">
        <w:rPr>
          <w:color w:val="000000" w:themeColor="text1"/>
        </w:rPr>
        <w:t xml:space="preserve"> </w:t>
      </w:r>
    </w:p>
    <w:p w14:paraId="65DD2108" w14:textId="76B224D1" w:rsidR="00046D25" w:rsidRPr="006B6532" w:rsidRDefault="003514D4" w:rsidP="006810BD">
      <w:pPr>
        <w:tabs>
          <w:tab w:val="right" w:leader="underscore" w:pos="8640"/>
        </w:tabs>
        <w:ind w:left="5103"/>
      </w:pPr>
      <w:r w:rsidRPr="0073632D">
        <w:rPr>
          <w:color w:val="000000" w:themeColor="text1"/>
        </w:rPr>
        <w:t>posėd</w:t>
      </w:r>
      <w:r w:rsidR="008E6A4D" w:rsidRPr="0073632D">
        <w:rPr>
          <w:color w:val="000000" w:themeColor="text1"/>
        </w:rPr>
        <w:t xml:space="preserve">žio </w:t>
      </w:r>
      <w:r w:rsidR="008E6A4D" w:rsidRPr="0073632D">
        <w:t xml:space="preserve">protokolu </w:t>
      </w:r>
      <w:r w:rsidR="00643D01" w:rsidRPr="0073632D">
        <w:t>Nr.</w:t>
      </w:r>
      <w:r w:rsidR="00346C63" w:rsidRPr="0073632D">
        <w:t xml:space="preserve"> V</w:t>
      </w:r>
      <w:r w:rsidR="00472230" w:rsidRPr="0073632D">
        <w:t>P</w:t>
      </w:r>
      <w:r w:rsidR="00346C63" w:rsidRPr="0073632D">
        <w:t>P-</w:t>
      </w:r>
      <w:r w:rsidR="0073632D">
        <w:t>142</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66824A1F" w:rsidR="00C976A6" w:rsidRPr="00C97489" w:rsidRDefault="00C97489" w:rsidP="00C97489">
      <w:pPr>
        <w:suppressAutoHyphens w:val="0"/>
        <w:autoSpaceDN/>
        <w:jc w:val="center"/>
        <w:textAlignment w:val="auto"/>
        <w:rPr>
          <w:b/>
        </w:rPr>
      </w:pPr>
      <w:r>
        <w:rPr>
          <w:b/>
        </w:rPr>
        <w:t>,,</w:t>
      </w:r>
      <w:r w:rsidR="00DB2035">
        <w:rPr>
          <w:b/>
        </w:rPr>
        <w:t>NUOTEKŲ SURINKIMO TINKLŲ STATYBA JURAGIŲ K.“</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7033D9F6" w:rsidR="00B50C82" w:rsidRDefault="00CB6B93" w:rsidP="000604B9">
            <w:pPr>
              <w:pStyle w:val="ListParagraph"/>
              <w:numPr>
                <w:ilvl w:val="0"/>
                <w:numId w:val="25"/>
              </w:numPr>
              <w:autoSpaceDN/>
              <w:ind w:left="384" w:hanging="425"/>
              <w:textAlignment w:val="auto"/>
              <w:rPr>
                <w:lang w:eastAsia="lt-LT"/>
              </w:rPr>
            </w:pPr>
            <w:r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4C69D8B4" w:rsidR="002E1A5A" w:rsidRPr="008E582C" w:rsidRDefault="004F52D7"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472230">
        <w:rPr>
          <w:color w:val="000000" w:themeColor="text1"/>
        </w:rPr>
        <w:t xml:space="preserve">Techninė </w:t>
      </w:r>
      <w:r w:rsidR="008D395F">
        <w:rPr>
          <w:color w:val="000000" w:themeColor="text1"/>
        </w:rPr>
        <w:t>užduotis</w:t>
      </w:r>
      <w:r>
        <w:rPr>
          <w:color w:val="000000" w:themeColor="text1"/>
        </w:rPr>
        <w:t xml:space="preserve"> (</w:t>
      </w:r>
      <w:r w:rsidR="00530234">
        <w:rPr>
          <w:color w:val="000000" w:themeColor="text1"/>
        </w:rPr>
        <w:t>Techninis projektas</w:t>
      </w:r>
      <w:r>
        <w:rPr>
          <w:color w:val="000000" w:themeColor="text1"/>
        </w:rPr>
        <w:t>)</w:t>
      </w:r>
      <w:r w:rsidR="00AD2260" w:rsidRPr="008E582C">
        <w:rPr>
          <w:color w:val="000000" w:themeColor="text1"/>
        </w:rPr>
        <w:t xml:space="preserve">,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w:t>
      </w:r>
      <w:r w:rsidR="009D062F">
        <w:rPr>
          <w:color w:val="000000" w:themeColor="text1"/>
        </w:rPr>
        <w:t xml:space="preserve">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7BB27208" w:rsidR="002E1A5A" w:rsidRPr="008E582C" w:rsidRDefault="003462E9"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Pr>
          <w:color w:val="000000" w:themeColor="text1"/>
        </w:rPr>
        <w:t>S</w:t>
      </w:r>
      <w:r w:rsidR="002E1A5A" w:rsidRPr="008E582C">
        <w:rPr>
          <w:color w:val="000000" w:themeColor="text1"/>
        </w:rPr>
        <w:t>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140122">
        <w:rPr>
          <w:color w:val="000000" w:themeColor="text1"/>
          <w:lang w:val="fi-FI"/>
        </w:rPr>
        <w:t xml:space="preserve"> </w:t>
      </w:r>
      <w:r w:rsidR="00D66691" w:rsidRPr="008E582C">
        <w:rPr>
          <w:color w:val="000000" w:themeColor="text1"/>
        </w:rPr>
        <w:t>prieda</w:t>
      </w:r>
      <w:r w:rsidR="00D66691">
        <w:rPr>
          <w:color w:val="000000" w:themeColor="text1"/>
        </w:rPr>
        <w:t>i</w:t>
      </w:r>
      <w:r w:rsidR="002E1A5A" w:rsidRPr="008E582C">
        <w:rPr>
          <w:color w:val="000000" w:themeColor="text1"/>
        </w:rPr>
        <w:t>;</w:t>
      </w:r>
    </w:p>
    <w:p w14:paraId="3435BD29" w14:textId="37E456DD"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00636811">
        <w:rPr>
          <w:color w:val="000000" w:themeColor="text1"/>
        </w:rPr>
        <w:t>5</w:t>
      </w:r>
      <w:r w:rsidRPr="008E582C">
        <w:rPr>
          <w:color w:val="000000" w:themeColor="text1"/>
        </w:rPr>
        <w:t xml:space="preserve">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402A60B9" w14:textId="77777777" w:rsidR="00D74B66" w:rsidRDefault="00D74B66"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7471C52B" w14:textId="77777777" w:rsidR="006C48BC" w:rsidRDefault="006C48BC"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lastRenderedPageBreak/>
        <w:t>BENDROSIOS NUOSTATOS</w:t>
      </w:r>
    </w:p>
    <w:p w14:paraId="2B00732D" w14:textId="650C99E6" w:rsidR="00217CFF" w:rsidRPr="00E01767" w:rsidRDefault="007B2DC2" w:rsidP="00217CFF">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numato, kad su pirkimo laimėtoju sudarys sutartį dėl</w:t>
      </w:r>
      <w:r w:rsidR="00140122">
        <w:rPr>
          <w:b/>
          <w:bCs/>
          <w:lang w:eastAsia="lt-LT"/>
        </w:rPr>
        <w:t xml:space="preserve"> nuotekų </w:t>
      </w:r>
      <w:r w:rsidR="00CB3012">
        <w:rPr>
          <w:b/>
          <w:bCs/>
          <w:lang w:eastAsia="lt-LT"/>
        </w:rPr>
        <w:t xml:space="preserve">surinkimo </w:t>
      </w:r>
      <w:r w:rsidR="00D15665">
        <w:rPr>
          <w:b/>
          <w:bCs/>
          <w:lang w:eastAsia="lt-LT"/>
        </w:rPr>
        <w:t xml:space="preserve">tinklų </w:t>
      </w:r>
      <w:r w:rsidR="00CB3012">
        <w:rPr>
          <w:b/>
          <w:bCs/>
          <w:lang w:eastAsia="lt-LT"/>
        </w:rPr>
        <w:t xml:space="preserve">statybos Juragių k. </w:t>
      </w:r>
      <w:r w:rsidR="00D15665">
        <w:rPr>
          <w:b/>
          <w:bCs/>
          <w:lang w:eastAsia="lt-LT"/>
        </w:rPr>
        <w:t>darbų</w:t>
      </w:r>
      <w:r w:rsidR="00217CFF" w:rsidRPr="00217CFF">
        <w:rPr>
          <w:color w:val="000000"/>
          <w:lang w:eastAsia="lt-LT"/>
        </w:rPr>
        <w:t>.</w:t>
      </w:r>
      <w:r w:rsidR="00217CFF" w:rsidRPr="00217CFF">
        <w:rPr>
          <w:b/>
          <w:bCs/>
          <w:color w:val="000000"/>
          <w:lang w:eastAsia="lt-LT"/>
        </w:rPr>
        <w:t xml:space="preserve"> </w:t>
      </w:r>
      <w:r w:rsidR="00E01767" w:rsidRPr="00E01767">
        <w:rPr>
          <w:color w:val="000000"/>
          <w:lang w:eastAsia="lt-LT"/>
        </w:rPr>
        <w:t>BVPŽ kodas – 45231300-8, Vandentiekio ir kanalizacijos tiesimo darbai</w:t>
      </w:r>
      <w:r w:rsidR="00986B86">
        <w:rPr>
          <w:color w:val="000000"/>
          <w:lang w:eastAsia="lt-LT"/>
        </w:rPr>
        <w:t>.</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536CE43" w14:textId="77777777" w:rsidR="00750F37" w:rsidRPr="004A6531" w:rsidRDefault="002E3904"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ustatytas reikalavimas tiekėjams taikyti pirkimo sąlygose nustatytus aplinkos apsaugos vadybos sistemos reikalavimus (</w:t>
      </w:r>
      <w:r w:rsidR="00085599" w:rsidRPr="004A6531">
        <w:rPr>
          <w:color w:val="000000" w:themeColor="text1"/>
          <w:lang w:eastAsia="lt-LT"/>
        </w:rPr>
        <w:t>EMAS arba LST EN ISO 14001 sertifikatas, arba</w:t>
      </w:r>
      <w:r w:rsidR="00E008E8" w:rsidRPr="004A6531">
        <w:rPr>
          <w:color w:val="000000" w:themeColor="text1"/>
          <w:lang w:eastAsia="lt-LT"/>
        </w:rPr>
        <w:t xml:space="preserve"> </w:t>
      </w:r>
      <w:r w:rsidR="00085599" w:rsidRPr="004A6531">
        <w:rPr>
          <w:color w:val="000000" w:themeColor="text1"/>
          <w:lang w:eastAsia="lt-LT"/>
        </w:rPr>
        <w:t>kitas lygiavertis sertifikatas).</w:t>
      </w:r>
    </w:p>
    <w:p w14:paraId="5F706C34" w14:textId="523662AB" w:rsidR="00750F37" w:rsidRPr="004A6531" w:rsidRDefault="00750F37"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4A6531">
        <w:rPr>
          <w:color w:val="000000" w:themeColor="text1"/>
          <w:lang w:eastAsia="lt-LT"/>
        </w:rPr>
        <w:t>Pirkimo objektas į dalis neskaidytas</w:t>
      </w:r>
      <w:r w:rsidR="00E85768">
        <w:rPr>
          <w:color w:val="000000" w:themeColor="text1"/>
          <w:lang w:eastAsia="lt-LT"/>
        </w:rPr>
        <w:t>.</w:t>
      </w:r>
    </w:p>
    <w:p w14:paraId="75E775A4" w14:textId="77777777" w:rsidR="00C00044" w:rsidRPr="00C00044"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C00044" w:rsidRPr="00C00044">
          <w:rPr>
            <w:rStyle w:val="Hyperlink"/>
          </w:rPr>
          <w:t>https://viesiejipirkimai.lt</w:t>
        </w:r>
      </w:hyperlink>
      <w:r w:rsidR="00C00044" w:rsidRPr="00C00044">
        <w:t>.</w:t>
      </w:r>
    </w:p>
    <w:p w14:paraId="4D0D561E" w14:textId="4B99147B" w:rsidR="00F065D5" w:rsidRPr="006B6532"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53990975" w:rsidR="000B5F19" w:rsidRPr="006B6532" w:rsidRDefault="00192821" w:rsidP="00377AE6">
      <w:pPr>
        <w:widowControl w:val="0"/>
        <w:numPr>
          <w:ilvl w:val="1"/>
          <w:numId w:val="14"/>
        </w:numPr>
        <w:tabs>
          <w:tab w:val="left" w:pos="851"/>
        </w:tabs>
        <w:autoSpaceDE w:val="0"/>
        <w:autoSpaceDN/>
        <w:adjustRightInd w:val="0"/>
        <w:ind w:left="0" w:firstLine="851"/>
        <w:jc w:val="both"/>
        <w:textAlignment w:val="auto"/>
        <w:rPr>
          <w:lang w:eastAsia="lt-LT"/>
        </w:rPr>
      </w:pPr>
      <w:r>
        <w:rPr>
          <w:lang w:eastAsia="lt-LT"/>
        </w:rPr>
        <w:t>Perkantysis subjektas</w:t>
      </w:r>
      <w:r w:rsidR="00200203" w:rsidRPr="006B6532">
        <w:rPr>
          <w:lang w:eastAsia="lt-LT"/>
        </w:rPr>
        <w:t xml:space="preserve"> </w:t>
      </w:r>
      <w:r w:rsidR="00217CFF">
        <w:rPr>
          <w:lang w:eastAsia="lt-LT"/>
        </w:rPr>
        <w:t xml:space="preserve">yra </w:t>
      </w:r>
      <w:r w:rsidR="00200203" w:rsidRPr="006B6532">
        <w:rPr>
          <w:lang w:eastAsia="lt-LT"/>
        </w:rPr>
        <w:t>pridėtinės vertės mokesčio (toliau – PVM) mokėtoja</w:t>
      </w:r>
      <w:r>
        <w:rPr>
          <w:lang w:eastAsia="lt-LT"/>
        </w:rPr>
        <w:t>s</w:t>
      </w:r>
      <w:r w:rsidR="00200203" w:rsidRPr="006B6532">
        <w:rPr>
          <w:lang w:eastAsia="lt-LT"/>
        </w:rPr>
        <w:t>.</w:t>
      </w:r>
      <w:r w:rsidR="00200203" w:rsidRPr="006B6532">
        <w:rPr>
          <w:rFonts w:ascii="Arial" w:hAnsi="Arial" w:cs="Arial"/>
          <w:sz w:val="20"/>
          <w:lang w:eastAsia="lt-LT"/>
        </w:rPr>
        <w:t xml:space="preserve"> </w:t>
      </w:r>
    </w:p>
    <w:p w14:paraId="3DE015F6" w14:textId="77777777" w:rsidR="00200203" w:rsidRPr="006B6532" w:rsidRDefault="00200203" w:rsidP="00042385">
      <w:pPr>
        <w:widowControl w:val="0"/>
        <w:numPr>
          <w:ilvl w:val="1"/>
          <w:numId w:val="14"/>
        </w:numPr>
        <w:tabs>
          <w:tab w:val="left" w:pos="851"/>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E85768">
      <w:pPr>
        <w:widowControl w:val="0"/>
        <w:numPr>
          <w:ilvl w:val="2"/>
          <w:numId w:val="14"/>
        </w:numPr>
        <w:tabs>
          <w:tab w:val="left" w:pos="1134"/>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05A54635" w14:textId="77777777" w:rsidR="006D7322" w:rsidRDefault="00200203" w:rsidP="006D7322">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r w:rsidR="004A6531">
        <w:rPr>
          <w:noProof/>
          <w:color w:val="000000" w:themeColor="text1"/>
        </w:rPr>
        <w:t>.</w:t>
      </w:r>
    </w:p>
    <w:p w14:paraId="547E381F" w14:textId="2DAD7724" w:rsidR="006D7322" w:rsidRPr="006D7322" w:rsidRDefault="006D7322" w:rsidP="006D7322">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6D7322">
        <w:rPr>
          <w:color w:val="000000"/>
        </w:rPr>
        <w:t>Objektas įgyvendinamas pagal 2022-2030 m. Kauno regiono plėtros planą, patvirtintą Kauno regiono plėtros tarybos 2023 m. vasario 23 d. sprendimą Nr. 6KS-8 „Dėl 2022–2030 m. Kauno regiono plėtros plano patvirtinimo“, Regioninės pažangos priemonės Nr. 02-001-06-07-02 (RE) „Didinti geriamojo vandens tiekimo ir nuotekų tvarkymo paslaugų prieinamumą“ finansavimo gaires, patvirtintas Lietuvos Respublikos aplinkos ministro 2023 m. liepos 21 d. įsakymu Nr. D1-243 „Dėl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patvirtinimo“, 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 (toliau – Taisyklės), ir juose nurodytuose ES ir Lietuvos Respublikos teisės aktuose nustatytas sąlygas ir tvarką.</w:t>
      </w:r>
    </w:p>
    <w:p w14:paraId="0E2831C8" w14:textId="77777777" w:rsidR="006C48BC" w:rsidRDefault="006C48BC" w:rsidP="006C48BC">
      <w:pPr>
        <w:widowControl w:val="0"/>
        <w:tabs>
          <w:tab w:val="left" w:pos="993"/>
          <w:tab w:val="left" w:pos="1418"/>
        </w:tabs>
        <w:autoSpaceDE w:val="0"/>
        <w:autoSpaceDN/>
        <w:adjustRightInd w:val="0"/>
        <w:ind w:left="851"/>
        <w:jc w:val="both"/>
        <w:textAlignment w:val="auto"/>
        <w:rPr>
          <w:color w:val="000000" w:themeColor="text1"/>
          <w:lang w:eastAsia="lt-LT"/>
        </w:rPr>
      </w:pPr>
    </w:p>
    <w:p w14:paraId="5512A167" w14:textId="77777777" w:rsidR="00431BA1" w:rsidRDefault="00431BA1" w:rsidP="006C48BC">
      <w:pPr>
        <w:widowControl w:val="0"/>
        <w:tabs>
          <w:tab w:val="left" w:pos="993"/>
          <w:tab w:val="left" w:pos="1418"/>
        </w:tabs>
        <w:autoSpaceDE w:val="0"/>
        <w:autoSpaceDN/>
        <w:adjustRightInd w:val="0"/>
        <w:ind w:left="851"/>
        <w:jc w:val="both"/>
        <w:textAlignment w:val="auto"/>
        <w:rPr>
          <w:color w:val="000000" w:themeColor="text1"/>
          <w:lang w:eastAsia="lt-LT"/>
        </w:rPr>
      </w:pPr>
    </w:p>
    <w:p w14:paraId="59158BF4" w14:textId="77777777" w:rsidR="006D7322" w:rsidRDefault="006D7322" w:rsidP="006C48BC">
      <w:pPr>
        <w:widowControl w:val="0"/>
        <w:tabs>
          <w:tab w:val="left" w:pos="993"/>
          <w:tab w:val="left" w:pos="1418"/>
        </w:tabs>
        <w:autoSpaceDE w:val="0"/>
        <w:autoSpaceDN/>
        <w:adjustRightInd w:val="0"/>
        <w:ind w:left="851"/>
        <w:jc w:val="both"/>
        <w:textAlignment w:val="auto"/>
        <w:rPr>
          <w:color w:val="000000" w:themeColor="text1"/>
          <w:lang w:eastAsia="lt-LT"/>
        </w:rPr>
      </w:pPr>
    </w:p>
    <w:p w14:paraId="610FDD14" w14:textId="77777777" w:rsidR="006D7322" w:rsidRPr="004A6531" w:rsidRDefault="006D7322" w:rsidP="006C48BC">
      <w:pPr>
        <w:widowControl w:val="0"/>
        <w:tabs>
          <w:tab w:val="left" w:pos="993"/>
          <w:tab w:val="left" w:pos="1418"/>
        </w:tabs>
        <w:autoSpaceDE w:val="0"/>
        <w:autoSpaceDN/>
        <w:adjustRightInd w:val="0"/>
        <w:ind w:left="851"/>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lastRenderedPageBreak/>
        <w:t>PIRKIMO OBJEKTAS</w:t>
      </w:r>
      <w:r w:rsidR="001C6A79" w:rsidRPr="0092548B">
        <w:rPr>
          <w:b/>
          <w:color w:val="000000" w:themeColor="text1"/>
        </w:rPr>
        <w:t xml:space="preserve"> </w:t>
      </w:r>
    </w:p>
    <w:p w14:paraId="301E45C5" w14:textId="77777777" w:rsidR="00217CFF" w:rsidRPr="00750F37" w:rsidRDefault="00F7094E" w:rsidP="003D349C">
      <w:pPr>
        <w:pStyle w:val="ListParagraph"/>
        <w:numPr>
          <w:ilvl w:val="1"/>
          <w:numId w:val="14"/>
        </w:numPr>
        <w:ind w:left="0" w:firstLine="720"/>
        <w:jc w:val="both"/>
        <w:rPr>
          <w:b/>
          <w:bCs/>
          <w:color w:val="000000" w:themeColor="text1"/>
        </w:rPr>
      </w:pPr>
      <w:r w:rsidRPr="00750F37">
        <w:rPr>
          <w:b/>
          <w:bCs/>
          <w:color w:val="000000" w:themeColor="text1"/>
        </w:rPr>
        <w:t xml:space="preserve">Pirkimo objektas </w:t>
      </w:r>
    </w:p>
    <w:p w14:paraId="6276F6AE" w14:textId="008BBBA9" w:rsidR="00E85768" w:rsidRPr="00E85768" w:rsidRDefault="00E85768" w:rsidP="00E85768">
      <w:pPr>
        <w:pStyle w:val="ListParagraph"/>
        <w:numPr>
          <w:ilvl w:val="2"/>
          <w:numId w:val="14"/>
        </w:numPr>
        <w:tabs>
          <w:tab w:val="left" w:pos="1418"/>
        </w:tabs>
        <w:ind w:left="0" w:firstLine="709"/>
        <w:jc w:val="both"/>
        <w:rPr>
          <w:color w:val="000000" w:themeColor="text1"/>
        </w:rPr>
      </w:pPr>
      <w:r w:rsidRPr="00E85768">
        <w:rPr>
          <w:color w:val="000000" w:themeColor="text1"/>
        </w:rPr>
        <w:t>nuotekų surinkimo tinklų statybos Juragių k.</w:t>
      </w:r>
      <w:r>
        <w:rPr>
          <w:color w:val="000000" w:themeColor="text1"/>
        </w:rPr>
        <w:t xml:space="preserve"> darbai;</w:t>
      </w:r>
    </w:p>
    <w:p w14:paraId="119576B9" w14:textId="650741DF" w:rsidR="00217CFF" w:rsidRPr="00351B2E" w:rsidRDefault="00217CFF" w:rsidP="00351B2E">
      <w:pPr>
        <w:pStyle w:val="ListParagraph"/>
        <w:numPr>
          <w:ilvl w:val="2"/>
          <w:numId w:val="14"/>
        </w:numPr>
        <w:tabs>
          <w:tab w:val="left" w:pos="1418"/>
        </w:tabs>
        <w:ind w:left="0" w:firstLine="709"/>
        <w:jc w:val="both"/>
        <w:rPr>
          <w:color w:val="000000" w:themeColor="text1"/>
        </w:rPr>
      </w:pPr>
      <w:r w:rsidRPr="00351B2E">
        <w:rPr>
          <w:color w:val="000000" w:themeColor="text1"/>
        </w:rPr>
        <w:t xml:space="preserve">elektroninio statybos darbų žurnalo užsakymas (prenumeratos užsakymas, statybos žurnalo pildymas ir  saugojimas ir po statybos darbų baigimo jo pilnas perleidimas </w:t>
      </w:r>
      <w:r w:rsidR="00192821" w:rsidRPr="00351B2E">
        <w:rPr>
          <w:color w:val="000000" w:themeColor="text1"/>
        </w:rPr>
        <w:t>perkančiajam subjektui</w:t>
      </w:r>
      <w:r w:rsidRPr="00351B2E">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0" w:name="_Hlk158362493"/>
      <w:r w:rsidRPr="0092548B">
        <w:rPr>
          <w:color w:val="000000" w:themeColor="text1"/>
        </w:rPr>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0"/>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2049E022"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4F52D7">
        <w:rPr>
          <w:bCs/>
          <w:color w:val="000000" w:themeColor="text1"/>
        </w:rPr>
        <w:t xml:space="preserve">techninėje </w:t>
      </w:r>
      <w:r w:rsidR="008D395F">
        <w:rPr>
          <w:bCs/>
          <w:color w:val="000000" w:themeColor="text1"/>
        </w:rPr>
        <w:t>užduotyje</w:t>
      </w:r>
      <w:r w:rsidR="004F52D7">
        <w:rPr>
          <w:bCs/>
          <w:color w:val="000000" w:themeColor="text1"/>
        </w:rPr>
        <w:t xml:space="preserve"> </w:t>
      </w:r>
      <w:r w:rsidR="008D395F">
        <w:rPr>
          <w:bCs/>
          <w:color w:val="000000" w:themeColor="text1"/>
        </w:rPr>
        <w:t>–</w:t>
      </w:r>
      <w:r w:rsidR="004F52D7">
        <w:rPr>
          <w:bCs/>
          <w:color w:val="000000" w:themeColor="text1"/>
        </w:rPr>
        <w:t xml:space="preserve"> </w:t>
      </w:r>
      <w:r w:rsidR="008D395F">
        <w:rPr>
          <w:bCs/>
          <w:color w:val="000000" w:themeColor="text1"/>
        </w:rPr>
        <w:t>techniniame projekte</w:t>
      </w:r>
      <w:r w:rsidRPr="0092548B">
        <w:rPr>
          <w:bCs/>
          <w:color w:val="000000" w:themeColor="text1"/>
        </w:rPr>
        <w:t xml:space="preserve"> – pried</w:t>
      </w:r>
      <w:r w:rsidR="00CD2466">
        <w:rPr>
          <w:bCs/>
          <w:color w:val="000000" w:themeColor="text1"/>
        </w:rPr>
        <w:t>uose</w:t>
      </w:r>
      <w:r w:rsidRPr="0092548B">
        <w:rPr>
          <w:bCs/>
          <w:color w:val="000000" w:themeColor="text1"/>
        </w:rPr>
        <w:t xml:space="preserve"> Nr. 2</w:t>
      </w:r>
      <w:r w:rsidR="00CD2466">
        <w:rPr>
          <w:bCs/>
          <w:color w:val="000000" w:themeColor="text1"/>
        </w:rPr>
        <w:t xml:space="preserve"> ir 2.1.</w:t>
      </w:r>
      <w:r w:rsidRPr="0092548B">
        <w:rPr>
          <w:bCs/>
          <w:color w:val="000000" w:themeColor="text1"/>
        </w:rPr>
        <w:t xml:space="preserve"> </w:t>
      </w:r>
      <w:r w:rsidR="00CD2466">
        <w:rPr>
          <w:bCs/>
          <w:color w:val="000000" w:themeColor="text1"/>
        </w:rPr>
        <w:t xml:space="preserve">bei </w:t>
      </w:r>
      <w:r w:rsidRPr="0092548B">
        <w:rPr>
          <w:bCs/>
          <w:color w:val="000000" w:themeColor="text1"/>
        </w:rPr>
        <w:t>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r w:rsidR="004F52D7">
        <w:rPr>
          <w:bCs/>
          <w:color w:val="000000" w:themeColor="text1"/>
        </w:rPr>
        <w:t xml:space="preserve"> (toliau – techninė </w:t>
      </w:r>
      <w:r w:rsidR="00CD2466">
        <w:rPr>
          <w:bCs/>
          <w:color w:val="000000" w:themeColor="text1"/>
        </w:rPr>
        <w:t>užduotis</w:t>
      </w:r>
      <w:r w:rsidR="004F52D7">
        <w:rPr>
          <w:bCs/>
          <w:color w:val="000000" w:themeColor="text1"/>
        </w:rPr>
        <w:t>).</w:t>
      </w:r>
    </w:p>
    <w:p w14:paraId="08595828" w14:textId="6C68DB45" w:rsidR="00217CFF" w:rsidRPr="0092548B" w:rsidRDefault="00217CFF" w:rsidP="00217CFF">
      <w:pPr>
        <w:pStyle w:val="ListParagraph"/>
        <w:numPr>
          <w:ilvl w:val="1"/>
          <w:numId w:val="14"/>
        </w:numPr>
        <w:ind w:left="0" w:firstLine="709"/>
        <w:jc w:val="both"/>
        <w:rPr>
          <w:bCs/>
          <w:color w:val="000000" w:themeColor="text1"/>
        </w:rPr>
      </w:pPr>
      <w:r w:rsidRPr="0092548B">
        <w:rPr>
          <w:bCs/>
          <w:color w:val="000000" w:themeColor="text1"/>
        </w:rPr>
        <w:t xml:space="preserve">Darbų atlikimo vieta - </w:t>
      </w:r>
      <w:r w:rsidR="00E01767" w:rsidRPr="0092548B">
        <w:rPr>
          <w:bCs/>
          <w:color w:val="000000" w:themeColor="text1"/>
        </w:rPr>
        <w:t xml:space="preserve">Kauno r. sav., </w:t>
      </w:r>
      <w:r w:rsidR="0098781C">
        <w:rPr>
          <w:bCs/>
          <w:color w:val="000000" w:themeColor="text1"/>
        </w:rPr>
        <w:t>Juragių k., Girininkų g., Žalgirio g., Sodininkų g., Žilvičių g., Jovarų g., Virbališkių g., Tuopų g.</w:t>
      </w:r>
      <w:r w:rsidR="006C0C20">
        <w:rPr>
          <w:bCs/>
          <w:color w:val="000000" w:themeColor="text1"/>
        </w:rPr>
        <w:t>, Ūkininkų g.</w:t>
      </w:r>
    </w:p>
    <w:p w14:paraId="6AF8C72D" w14:textId="4BED5D9A" w:rsidR="00786087" w:rsidRPr="00272E33" w:rsidRDefault="002B3DB1" w:rsidP="00786087">
      <w:pPr>
        <w:pStyle w:val="ListParagraph"/>
        <w:numPr>
          <w:ilvl w:val="1"/>
          <w:numId w:val="14"/>
        </w:numPr>
        <w:ind w:left="0" w:firstLine="709"/>
        <w:jc w:val="both"/>
        <w:rPr>
          <w:b/>
          <w:bCs/>
          <w:color w:val="000000" w:themeColor="text1"/>
        </w:rPr>
      </w:pPr>
      <w:bookmarkStart w:id="1" w:name="_Hlk158715282"/>
      <w:r>
        <w:rPr>
          <w:b/>
          <w:bCs/>
        </w:rPr>
        <w:t>S</w:t>
      </w:r>
      <w:r w:rsidR="00786087" w:rsidRPr="00DE770E">
        <w:rPr>
          <w:b/>
          <w:bCs/>
        </w:rPr>
        <w:t>utarties</w:t>
      </w:r>
      <w:r>
        <w:rPr>
          <w:b/>
          <w:bCs/>
        </w:rPr>
        <w:t xml:space="preserve"> </w:t>
      </w:r>
      <w:r w:rsidR="00786087" w:rsidRPr="00DE770E">
        <w:rPr>
          <w:b/>
          <w:bCs/>
        </w:rPr>
        <w:t xml:space="preserve">Darbų atlikimo terminas negali viršyti </w:t>
      </w:r>
      <w:r w:rsidR="00786087" w:rsidRPr="00284B6B">
        <w:rPr>
          <w:b/>
          <w:bCs/>
        </w:rPr>
        <w:t>12 mėn. nuo</w:t>
      </w:r>
      <w:r w:rsidR="00786087" w:rsidRPr="00DE770E">
        <w:rPr>
          <w:b/>
          <w:bCs/>
        </w:rPr>
        <w:t xml:space="preserve"> </w:t>
      </w:r>
      <w:r w:rsidR="00786087" w:rsidRPr="00DE770E">
        <w:t xml:space="preserve">Darbų pradžios. </w:t>
      </w:r>
      <w:r w:rsidR="00786087"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w:t>
      </w:r>
      <w:r w:rsidR="00272E33">
        <w:t xml:space="preserve">m subjektui </w:t>
      </w:r>
      <w:r w:rsidR="00786087" w:rsidRPr="00C718AE">
        <w:t>sutikus</w:t>
      </w:r>
      <w:r w:rsidR="00786087" w:rsidRPr="00B529D8">
        <w:t xml:space="preserve">, </w:t>
      </w:r>
      <w:r w:rsidR="00272E33" w:rsidRPr="00272E33">
        <w:rPr>
          <w:b/>
          <w:bCs/>
        </w:rPr>
        <w:t xml:space="preserve">Darbų atlikimo terminas gali būti pratęstas iki </w:t>
      </w:r>
      <w:r w:rsidR="00272E33" w:rsidRPr="006F009D">
        <w:rPr>
          <w:b/>
          <w:bCs/>
        </w:rPr>
        <w:t>2</w:t>
      </w:r>
      <w:r w:rsidR="00272E33" w:rsidRPr="00272E33">
        <w:rPr>
          <w:b/>
          <w:bCs/>
        </w:rPr>
        <w:t xml:space="preserve"> (dviejų) mėnesių. </w:t>
      </w:r>
      <w:bookmarkStart w:id="2" w:name="_Hlk158715780"/>
      <w:bookmarkEnd w:id="1"/>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w:t>
      </w:r>
      <w:r w:rsidRPr="00284B6B">
        <w:rPr>
          <w:b/>
          <w:bCs/>
        </w:rPr>
        <w:t>5 (penkis) mėnesius</w:t>
      </w:r>
      <w:r w:rsidRPr="00C718AE">
        <w:rPr>
          <w:b/>
          <w:bCs/>
        </w:rPr>
        <w:t xml:space="preserve">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2"/>
    </w:p>
    <w:p w14:paraId="3B3CE70E" w14:textId="1E12A87F"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w:t>
      </w:r>
      <w:r w:rsidR="00EF7E7C">
        <w:rPr>
          <w:bCs/>
          <w:color w:val="000000" w:themeColor="text1"/>
        </w:rPr>
        <w:t>techninėje</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70146DA4"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w:t>
      </w:r>
      <w:r w:rsidR="007776E5">
        <w:rPr>
          <w:b/>
          <w:color w:val="000000" w:themeColor="text1"/>
        </w:rPr>
        <w:t xml:space="preserve">, </w:t>
      </w:r>
      <w:r w:rsidRPr="005A4691">
        <w:rPr>
          <w:b/>
          <w:color w:val="000000" w:themeColor="text1"/>
        </w:rPr>
        <w:t>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4DC69342"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460E9B">
        <w:rPr>
          <w:bCs/>
          <w:color w:val="000000" w:themeColor="text1"/>
        </w:rPr>
        <w:t>techninę</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techninėje užduotyje</w:t>
      </w:r>
      <w:r w:rsidRPr="00786087">
        <w:rPr>
          <w:bCs/>
          <w:color w:val="000000" w:themeColor="text1"/>
        </w:rPr>
        <w:t xml:space="preserve"> numatytiems Darbams atlikti. Darbų kiekių žiniaraščiai turi būti pildomi atsižvelgiant į pirkimo dokumentus, pirkimo sutarties sąlygas, </w:t>
      </w:r>
      <w:r w:rsidR="00B66285">
        <w:rPr>
          <w:bCs/>
          <w:color w:val="000000" w:themeColor="text1"/>
        </w:rPr>
        <w:t>techninę</w:t>
      </w:r>
      <w:r w:rsidR="00EB6C25" w:rsidRPr="00786087">
        <w:rPr>
          <w:bCs/>
          <w:color w:val="000000" w:themeColor="text1"/>
        </w:rPr>
        <w:t xml:space="preserve"> užduotį</w:t>
      </w:r>
      <w:r w:rsidRPr="00786087">
        <w:rPr>
          <w:bCs/>
          <w:color w:val="000000" w:themeColor="text1"/>
        </w:rPr>
        <w:t xml:space="preserve">. Darbų kiekių žiniaraščiuose pateiktuose tiekėjo įkainiuose turi būti įvertinti visi reikiami tiekėjo įrengimai bei </w:t>
      </w:r>
      <w:r w:rsidRPr="00786087">
        <w:rPr>
          <w:bCs/>
          <w:color w:val="000000" w:themeColor="text1"/>
        </w:rPr>
        <w:lastRenderedPageBreak/>
        <w:t>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sutarty</w:t>
      </w:r>
      <w:r w:rsidR="005C58F8">
        <w:rPr>
          <w:bCs/>
          <w:color w:val="000000" w:themeColor="text1"/>
        </w:rPr>
        <w:t>je</w:t>
      </w:r>
      <w:r w:rsidRPr="00786087">
        <w:rPr>
          <w:bCs/>
          <w:color w:val="000000" w:themeColor="text1"/>
        </w:rPr>
        <w:t xml:space="preserve"> ar atsirandantys j</w:t>
      </w:r>
      <w:r w:rsidR="005C58F8">
        <w:rPr>
          <w:bCs/>
          <w:color w:val="000000" w:themeColor="text1"/>
        </w:rPr>
        <w:t>ą</w:t>
      </w:r>
      <w:r w:rsidRPr="00786087">
        <w:rPr>
          <w:bCs/>
          <w:color w:val="000000" w:themeColor="text1"/>
        </w:rPr>
        <w:t xml:space="preserve"> vykdant.</w:t>
      </w:r>
    </w:p>
    <w:p w14:paraId="053FF1B0" w14:textId="3CF17634"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5C58F8">
        <w:rPr>
          <w:bCs/>
          <w:color w:val="000000" w:themeColor="text1"/>
        </w:rPr>
        <w:t>techninėje</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74D9A61E" w14:textId="51D50DD7" w:rsidR="00217CFF" w:rsidRDefault="00217CFF" w:rsidP="00217CFF">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69CE0DE2" w14:textId="77777777" w:rsidR="00431BA1" w:rsidRPr="00431BA1" w:rsidRDefault="00431BA1" w:rsidP="00431BA1">
      <w:pPr>
        <w:pStyle w:val="ListParagraph"/>
        <w:ind w:left="709"/>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2"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3"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 xml:space="preserve">Pastaba. Naujoje CVP IS nėra galimybės pasiūlymo pasirašyti pačioje sistemoje, todėl tai turi </w:t>
      </w:r>
      <w:r w:rsidRPr="00C66BEB">
        <w:rPr>
          <w:iCs/>
          <w:lang w:eastAsia="lt-LT"/>
        </w:rPr>
        <w:lastRenderedPageBreak/>
        <w:t>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4"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5"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6"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lastRenderedPageBreak/>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49BC37FF"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37D24EBD" w:rsidR="00223445" w:rsidRPr="00950421" w:rsidRDefault="00950421" w:rsidP="00950421">
      <w:pPr>
        <w:tabs>
          <w:tab w:val="left" w:pos="851"/>
          <w:tab w:val="left" w:pos="1418"/>
        </w:tabs>
        <w:autoSpaceDN/>
        <w:ind w:firstLine="851"/>
        <w:contextualSpacing/>
        <w:jc w:val="both"/>
        <w:textAlignment w:val="auto"/>
        <w:rPr>
          <w:bCs/>
        </w:rPr>
      </w:pPr>
      <w:r>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w:t>
      </w:r>
      <w:r w:rsidR="007E15BF">
        <w:rPr>
          <w:rFonts w:eastAsiaTheme="minorHAnsi"/>
          <w:bCs/>
          <w:iCs/>
        </w:rPr>
        <w:t>užduotyje</w:t>
      </w:r>
      <w:r w:rsidR="00223445" w:rsidRPr="00950421">
        <w:rPr>
          <w:rFonts w:eastAsiaTheme="minorHAnsi"/>
          <w:bCs/>
          <w:iCs/>
        </w:rPr>
        <w:t xml:space="preserv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w:t>
      </w:r>
      <w:r w:rsidR="00223445" w:rsidRPr="00950421">
        <w:rPr>
          <w:rFonts w:eastAsia="Calibri"/>
        </w:rPr>
        <w:lastRenderedPageBreak/>
        <w:t xml:space="preserve">parašu). </w:t>
      </w:r>
      <w:r w:rsidR="00223445" w:rsidRPr="00A90DFA">
        <w:t xml:space="preserve">Vertimas pateikiamas skenuotas elektronine forma. </w:t>
      </w:r>
      <w:r w:rsidR="00223445" w:rsidRPr="00950421">
        <w:rPr>
          <w:rFonts w:eastAsiaTheme="minorHAnsi"/>
          <w:iCs/>
        </w:rPr>
        <w:t xml:space="preserve">Kilus įtarimų dėl pasiūlyme pateikto 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7"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3.21.</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0096334C" w:rsidRPr="006B6532">
        <w:rPr>
          <w:lang w:eastAsia="lt-LT"/>
        </w:rPr>
        <w:t xml:space="preserve"> nurodytu atveju tiekėjas užšifravo tik pasiūlymo dokumentą, kuriame nurodyta </w:t>
      </w:r>
      <w:r w:rsidR="0096334C" w:rsidRPr="006B6532">
        <w:rPr>
          <w:lang w:eastAsia="lt-LT"/>
        </w:rPr>
        <w:lastRenderedPageBreak/>
        <w:t xml:space="preserve">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0E982519"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fiziniai asmenys, kurie pirkimo laimėjimo ir</w:t>
      </w:r>
      <w:r w:rsidR="00217CFF">
        <w:rPr>
          <w:rFonts w:cstheme="minorHAnsi"/>
        </w:rPr>
        <w:t xml:space="preserve"> </w:t>
      </w:r>
      <w:r w:rsidRPr="00134C2E">
        <w:rPr>
          <w:rFonts w:cstheme="minorHAnsi"/>
        </w:rPr>
        <w:t xml:space="preserve">sutarties sudarymo </w:t>
      </w:r>
      <w:r w:rsidRPr="00C65A29">
        <w:t>atveju bus įdarbinti tiekėjo ar jo pasitelkiamo ūkio subjekto įmonėje.</w:t>
      </w:r>
    </w:p>
    <w:p w14:paraId="2FB7F505" w14:textId="453531F7"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217CFF">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4CAAF5E"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2366AD4F"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w:t>
      </w:r>
      <w:r w:rsidR="00217CFF">
        <w:rPr>
          <w:rFonts w:eastAsia="Calibri"/>
          <w:color w:val="000000"/>
          <w:lang w:eastAsia="lt-LT"/>
        </w:rPr>
        <w:t xml:space="preserve"> </w:t>
      </w:r>
      <w:r w:rsidRPr="00134C2E">
        <w:rPr>
          <w:rFonts w:eastAsia="Calibri"/>
          <w:color w:val="000000"/>
          <w:lang w:eastAsia="lt-LT"/>
        </w:rPr>
        <w:t>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w:t>
      </w:r>
      <w:r w:rsidRPr="00134C2E">
        <w:rPr>
          <w:rFonts w:cstheme="minorHAnsi"/>
        </w:rPr>
        <w:lastRenderedPageBreak/>
        <w:t xml:space="preserve">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35136C64"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20601BF"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w:t>
      </w:r>
      <w:r w:rsidRPr="00E46903">
        <w:rPr>
          <w:rFonts w:cstheme="minorHAnsi"/>
        </w:rPr>
        <w:t xml:space="preserve">sutartį, tačiau ne vėliau negu 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4532171D"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w:t>
      </w:r>
      <w:r w:rsidR="00FF3F7F" w:rsidRPr="00E46903">
        <w:rPr>
          <w:rFonts w:eastAsiaTheme="minorHAnsi" w:cstheme="minorHAnsi"/>
        </w:rPr>
        <w:t>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78D35BB6"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w:t>
      </w:r>
      <w:r w:rsidR="003C2061">
        <w:rPr>
          <w:rFonts w:cstheme="minorHAnsi"/>
          <w:bCs/>
        </w:rPr>
        <w:t xml:space="preserve"> </w:t>
      </w:r>
      <w:r w:rsidRPr="00134C2E">
        <w:rPr>
          <w:rFonts w:cstheme="minorHAnsi"/>
          <w:bCs/>
        </w:rPr>
        <w:t xml:space="preserve">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2DAD84C2"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w:t>
      </w:r>
      <w:r w:rsidR="00FF3F7F" w:rsidRPr="00C65A29">
        <w:rPr>
          <w:rFonts w:eastAsiaTheme="minorHAnsi" w:cstheme="minorHAnsi"/>
          <w:color w:val="000000"/>
        </w:rPr>
        <w:t xml:space="preserve">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DF7BCE" w:rsidRDefault="003514D4" w:rsidP="005E02E8">
      <w:pPr>
        <w:pStyle w:val="Tvarkospapunktis"/>
        <w:numPr>
          <w:ilvl w:val="0"/>
          <w:numId w:val="16"/>
        </w:numPr>
        <w:jc w:val="center"/>
        <w:rPr>
          <w:b/>
        </w:rPr>
      </w:pPr>
      <w:r w:rsidRPr="00DF7BCE">
        <w:rPr>
          <w:b/>
        </w:rPr>
        <w:t>PASIŪLYMŲ GALIOJIMO UŽTIKRINIMAS</w:t>
      </w:r>
      <w:r w:rsidR="00C1365F" w:rsidRPr="00DF7BCE">
        <w:rPr>
          <w:b/>
        </w:rPr>
        <w:t xml:space="preserve"> </w:t>
      </w:r>
      <w:r w:rsidR="00C1365F" w:rsidRPr="00CA2BA1">
        <w:rPr>
          <w:b/>
          <w:color w:val="EE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lastRenderedPageBreak/>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41682638" w14:textId="77777777" w:rsidR="000C28A9" w:rsidRPr="000C28A9"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p>
    <w:p w14:paraId="5DACBA41" w14:textId="538F0729" w:rsidR="005441BE" w:rsidRPr="00913B13" w:rsidRDefault="00913B13" w:rsidP="00CA2BA1">
      <w:pPr>
        <w:pStyle w:val="Body2"/>
        <w:rPr>
          <w:color w:val="000000" w:themeColor="text1"/>
          <w:sz w:val="24"/>
          <w:szCs w:val="24"/>
          <w:lang w:val="lt-LT"/>
        </w:rPr>
      </w:pP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w:t>
      </w:r>
      <w:r w:rsidR="00311D8F" w:rsidRPr="00E46903">
        <w:rPr>
          <w:rFonts w:eastAsia="Calibri"/>
        </w:rPr>
        <w:lastRenderedPageBreak/>
        <w:t xml:space="preserve">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Default="00CC66E4" w:rsidP="00A97936">
      <w:pPr>
        <w:widowControl w:val="0"/>
        <w:tabs>
          <w:tab w:val="left" w:pos="1134"/>
        </w:tabs>
        <w:autoSpaceDE w:val="0"/>
        <w:autoSpaceDN/>
        <w:adjustRightInd w:val="0"/>
        <w:jc w:val="both"/>
        <w:textAlignment w:val="auto"/>
        <w:rPr>
          <w:color w:val="000000" w:themeColor="text1"/>
          <w:lang w:eastAsia="lt-LT"/>
        </w:rPr>
      </w:pPr>
    </w:p>
    <w:p w14:paraId="3E3F777C" w14:textId="77777777" w:rsidR="00D939AB" w:rsidRPr="00753B3C" w:rsidRDefault="00D939AB" w:rsidP="00A97936">
      <w:pPr>
        <w:widowControl w:val="0"/>
        <w:tabs>
          <w:tab w:val="left" w:pos="1134"/>
        </w:tabs>
        <w:autoSpaceDE w:val="0"/>
        <w:autoSpaceDN/>
        <w:adjustRightInd w:val="0"/>
        <w:jc w:val="both"/>
        <w:textAlignment w:val="auto"/>
        <w:rPr>
          <w:color w:val="000000" w:themeColor="text1"/>
          <w:lang w:eastAsia="lt-LT"/>
        </w:rPr>
      </w:pPr>
    </w:p>
    <w:p w14:paraId="00040187" w14:textId="60BD3A9A"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5EAE3FA3"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00F66EC6">
        <w:rPr>
          <w:color w:val="000000" w:themeColor="text1"/>
        </w:rPr>
        <w:t>S</w:t>
      </w:r>
      <w:r w:rsidRPr="00753B3C">
        <w:rPr>
          <w:color w:val="000000" w:themeColor="text1"/>
        </w:rPr>
        <w:t>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Default="00C129EB" w:rsidP="00A97936">
      <w:pPr>
        <w:jc w:val="both"/>
        <w:rPr>
          <w:color w:val="000000" w:themeColor="text1"/>
          <w:lang w:eastAsia="lt-LT"/>
        </w:rPr>
      </w:pPr>
    </w:p>
    <w:p w14:paraId="33C5040E" w14:textId="77777777" w:rsidR="00D939AB" w:rsidRPr="00753B3C" w:rsidRDefault="00D939A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4E6E61D3"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CA2BA1" w:rsidRPr="00CA2BA1">
        <w:rPr>
          <w:b/>
          <w:bCs/>
          <w:color w:val="000000" w:themeColor="text1"/>
          <w:lang w:eastAsia="lt-LT"/>
        </w:rPr>
        <w:t xml:space="preserve">mažiausios </w:t>
      </w:r>
      <w:r w:rsidR="00B949C8" w:rsidRPr="00753B3C">
        <w:rPr>
          <w:b/>
          <w:bCs/>
          <w:iCs/>
          <w:color w:val="000000" w:themeColor="text1"/>
        </w:rPr>
        <w:t xml:space="preserve">kainos </w:t>
      </w:r>
      <w:r w:rsidR="00CA2BA1">
        <w:rPr>
          <w:b/>
          <w:bCs/>
          <w:iCs/>
          <w:color w:val="000000" w:themeColor="text1"/>
        </w:rPr>
        <w:t>kriterijų.</w:t>
      </w:r>
    </w:p>
    <w:p w14:paraId="37485334" w14:textId="206F9B33"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3" w:name="_Hlk105023231"/>
      <w:r w:rsidRPr="00753B3C">
        <w:rPr>
          <w:color w:val="000000" w:themeColor="text1"/>
          <w:lang w:eastAsia="lt-LT"/>
        </w:rPr>
        <w:t>Ekonomiškai naudingiausias pasiūlymas – tai pasiūlymas, kurio kaina yra mažiausia.</w:t>
      </w:r>
    </w:p>
    <w:bookmarkEnd w:id="3"/>
    <w:p w14:paraId="73B5FDF4" w14:textId="77777777" w:rsidR="00B949C8" w:rsidRDefault="00B949C8" w:rsidP="006618A8">
      <w:pPr>
        <w:widowControl w:val="0"/>
        <w:tabs>
          <w:tab w:val="left" w:pos="1134"/>
        </w:tabs>
        <w:autoSpaceDE w:val="0"/>
        <w:autoSpaceDN/>
        <w:adjustRightInd w:val="0"/>
        <w:jc w:val="both"/>
        <w:textAlignment w:val="auto"/>
        <w:rPr>
          <w:i/>
          <w:lang w:eastAsia="lt-LT"/>
        </w:rPr>
      </w:pPr>
    </w:p>
    <w:p w14:paraId="7C170056" w14:textId="77777777" w:rsidR="00D939AB" w:rsidRPr="006B6532" w:rsidRDefault="00D939AB"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lastRenderedPageBreak/>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 xml:space="preserve">tiekėją šiuos dokumentus </w:t>
      </w:r>
      <w:r w:rsidRPr="00E46903">
        <w:rPr>
          <w:rFonts w:cstheme="minorHAnsi"/>
        </w:rPr>
        <w:lastRenderedPageBreak/>
        <w:t>ar duomenis patikslinti, papildyti arba paaiškinti per jos nustatytą protingą terminą</w:t>
      </w:r>
      <w:r w:rsidRPr="00E46903">
        <w:rPr>
          <w:rFonts w:cstheme="minorHAnsi"/>
          <w:bCs/>
          <w:iCs/>
        </w:rPr>
        <w:t xml:space="preserve">. </w:t>
      </w:r>
      <w:r w:rsidRPr="00E46903">
        <w:t xml:space="preserve">Duomenys ir (arba)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Default="0055451B" w:rsidP="006618A8">
      <w:pPr>
        <w:pStyle w:val="ListParagraph"/>
        <w:shd w:val="clear" w:color="auto" w:fill="FFFFFF" w:themeFill="background1"/>
        <w:tabs>
          <w:tab w:val="right" w:pos="709"/>
          <w:tab w:val="left" w:pos="1276"/>
        </w:tabs>
        <w:ind w:left="709"/>
        <w:jc w:val="both"/>
        <w:rPr>
          <w:szCs w:val="20"/>
        </w:rPr>
      </w:pPr>
    </w:p>
    <w:p w14:paraId="129D0E87" w14:textId="77777777" w:rsidR="003232A9" w:rsidRPr="00605E89" w:rsidRDefault="003232A9"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561862FD"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w:t>
      </w:r>
      <w:r w:rsidR="003B308A">
        <w:rPr>
          <w:szCs w:val="20"/>
        </w:rPr>
        <w:t>užduoties</w:t>
      </w:r>
      <w:r w:rsidRPr="00B76D07">
        <w:rPr>
          <w:szCs w:val="20"/>
        </w:rPr>
        <w:t xml:space="preserve">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.13 punkto reikalavimų (neatitinka (prastesnės, nelygiavertės techninės charakteristikos) darbų aprašymas, per mažas darbų kiekis, nelygiaverčiai, 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lastRenderedPageBreak/>
        <w:t xml:space="preserve">tiekėjas neatitinka pirkimo dokumentuose nustatytų kvalifikacijos reikalavimų ir (ar) aplinkos apsaugos vadybos sistemos standarto ir (ar) ūkio subjektas, kurio pajėgumais remiasi 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6E06810C"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w:t>
      </w:r>
      <w:r w:rsidR="00D52158">
        <w:rPr>
          <w:rStyle w:val="markedcontent"/>
        </w:rPr>
        <w:t xml:space="preserve"> </w:t>
      </w:r>
      <w:r w:rsidR="003C2061" w:rsidRPr="00B75355">
        <w:rPr>
          <w:rStyle w:val="markedcontent"/>
        </w:rPr>
        <w:t>sutarties su ekonomiškai naudingiausią pasiūlymą pateikusiu tiekėju, jeigu ji nustato, kad pasiūlymas neatitinka 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lastRenderedPageBreak/>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4" w:type="dxa"/>
        <w:tblLook w:val="04A0" w:firstRow="1" w:lastRow="0" w:firstColumn="1" w:lastColumn="0" w:noHBand="0" w:noVBand="1"/>
      </w:tblPr>
      <w:tblGrid>
        <w:gridCol w:w="1390"/>
        <w:gridCol w:w="4132"/>
        <w:gridCol w:w="4112"/>
      </w:tblGrid>
      <w:tr w:rsidR="00343AA1" w:rsidRPr="003B626E" w14:paraId="53C9E366" w14:textId="77777777" w:rsidTr="00BA1577">
        <w:tc>
          <w:tcPr>
            <w:tcW w:w="9634" w:type="dxa"/>
            <w:gridSpan w:val="3"/>
            <w:hideMark/>
          </w:tcPr>
          <w:p w14:paraId="03905999" w14:textId="77777777" w:rsidR="00343AA1" w:rsidRPr="003B626E" w:rsidRDefault="00343AA1" w:rsidP="00325941">
            <w:pPr>
              <w:spacing w:line="360" w:lineRule="auto"/>
              <w:jc w:val="both"/>
              <w:rPr>
                <w:b/>
                <w:bCs/>
                <w:iCs/>
              </w:rPr>
            </w:pPr>
            <w:bookmarkStart w:id="4" w:name="_Hlk177720647"/>
            <w:r w:rsidRPr="00EC5E2A">
              <w:rPr>
                <w:b/>
                <w:bCs/>
                <w:iCs/>
                <w:color w:val="7030A0"/>
              </w:rPr>
              <w:t>Techninis ir profesinis pajėgumas</w:t>
            </w:r>
          </w:p>
        </w:tc>
        <w:bookmarkEnd w:id="4"/>
      </w:tr>
      <w:tr w:rsidR="00343AA1" w:rsidRPr="003B626E" w14:paraId="04B1D086" w14:textId="77777777" w:rsidTr="00BA1577">
        <w:tc>
          <w:tcPr>
            <w:tcW w:w="1390" w:type="dxa"/>
            <w:hideMark/>
          </w:tcPr>
          <w:p w14:paraId="0325AF54" w14:textId="418D3643" w:rsidR="00343AA1" w:rsidRPr="003B626E" w:rsidRDefault="00796642" w:rsidP="00325941">
            <w:r>
              <w:t xml:space="preserve"> </w:t>
            </w:r>
            <w:r>
              <w:rPr>
                <w:lang w:val="en-US"/>
              </w:rPr>
              <w:t>1</w:t>
            </w:r>
            <w:r w:rsidR="00753B3C">
              <w:rPr>
                <w:lang w:val="en-US"/>
              </w:rPr>
              <w:t>1</w:t>
            </w:r>
            <w:r>
              <w:rPr>
                <w:lang w:val="en-US"/>
              </w:rPr>
              <w:t>.1</w:t>
            </w:r>
            <w:r w:rsidR="00753B3C">
              <w:rPr>
                <w:lang w:val="en-US"/>
              </w:rPr>
              <w:t>0</w:t>
            </w:r>
            <w:r w:rsidR="00343AA1" w:rsidRPr="003B626E">
              <w:t>.</w:t>
            </w:r>
            <w:r w:rsidR="00753B3C">
              <w:t>1</w:t>
            </w:r>
          </w:p>
        </w:tc>
        <w:tc>
          <w:tcPr>
            <w:tcW w:w="4132" w:type="dxa"/>
          </w:tcPr>
          <w:p w14:paraId="57C3D2E0" w14:textId="69069A7B" w:rsidR="00343AA1" w:rsidRPr="003B626E" w:rsidRDefault="00343AA1" w:rsidP="00325941">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sidR="005E1F44">
              <w:rPr>
                <w:b/>
                <w:bCs/>
              </w:rPr>
              <w:t>nuotekų</w:t>
            </w:r>
            <w:r w:rsidR="0056013F">
              <w:rPr>
                <w:b/>
                <w:bCs/>
              </w:rPr>
              <w:t xml:space="preserve"> šalinimo</w:t>
            </w:r>
            <w:r w:rsidR="005E1F44">
              <w:rPr>
                <w:b/>
                <w:bCs/>
              </w:rPr>
              <w:t xml:space="preserve"> </w:t>
            </w:r>
            <w:r w:rsidRPr="006E3C0D">
              <w:rPr>
                <w:b/>
                <w:bCs/>
              </w:rPr>
              <w:t>tinklų statybos</w:t>
            </w:r>
            <w:r w:rsidR="00750F37" w:rsidRPr="006E3C0D">
              <w:rPr>
                <w:b/>
                <w:bCs/>
              </w:rPr>
              <w:t xml:space="preserve"> </w:t>
            </w:r>
            <w:r w:rsidRPr="006E3C0D">
              <w:rPr>
                <w:b/>
                <w:bCs/>
              </w:rPr>
              <w:t>darbų***</w:t>
            </w:r>
            <w:r w:rsidRPr="006E3C0D">
              <w:t xml:space="preserve">, kurių bendra vertė ne mažesnė kaip </w:t>
            </w:r>
            <w:r w:rsidR="006F009D" w:rsidRPr="0073632D">
              <w:rPr>
                <w:b/>
                <w:bCs/>
              </w:rPr>
              <w:t>8</w:t>
            </w:r>
            <w:r w:rsidR="0073632D" w:rsidRPr="0073632D">
              <w:rPr>
                <w:b/>
                <w:bCs/>
              </w:rPr>
              <w:t>40</w:t>
            </w:r>
            <w:r w:rsidR="005E1F44" w:rsidRPr="0073632D">
              <w:rPr>
                <w:b/>
                <w:bCs/>
              </w:rPr>
              <w:t xml:space="preserve"> 000</w:t>
            </w:r>
            <w:r w:rsidRPr="0073632D">
              <w:rPr>
                <w:b/>
                <w:bCs/>
              </w:rPr>
              <w:t xml:space="preserve"> </w:t>
            </w:r>
            <w:r w:rsidRPr="0073632D">
              <w:rPr>
                <w:b/>
                <w:bCs/>
                <w:color w:val="000000"/>
              </w:rPr>
              <w:t>Eur be PVM.</w:t>
            </w:r>
          </w:p>
          <w:p w14:paraId="0E7DBF69" w14:textId="77777777" w:rsidR="00343AA1" w:rsidRPr="003B626E" w:rsidRDefault="00343AA1" w:rsidP="00325941">
            <w:pPr>
              <w:widowControl w:val="0"/>
              <w:tabs>
                <w:tab w:val="left" w:pos="1418"/>
              </w:tabs>
              <w:autoSpaceDE w:val="0"/>
              <w:adjustRightInd w:val="0"/>
              <w:jc w:val="both"/>
              <w:rPr>
                <w:i/>
                <w:iCs/>
              </w:rPr>
            </w:pPr>
          </w:p>
          <w:p w14:paraId="0924D612" w14:textId="77777777" w:rsidR="00343AA1" w:rsidRPr="003B626E" w:rsidRDefault="00343AA1" w:rsidP="00325941">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6535297C" w14:textId="77777777" w:rsidR="00343AA1" w:rsidRPr="003B626E" w:rsidRDefault="00343AA1" w:rsidP="00325941">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438555AF" w14:textId="77777777" w:rsidR="00343AA1" w:rsidRPr="003B626E" w:rsidRDefault="00343AA1" w:rsidP="00325941">
            <w:pPr>
              <w:jc w:val="both"/>
            </w:pPr>
            <w:r w:rsidRPr="003B626E">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6D34FA08" w14:textId="77777777" w:rsidR="00343AA1" w:rsidRPr="003B626E" w:rsidRDefault="00343AA1" w:rsidP="00325941">
            <w:pPr>
              <w:jc w:val="both"/>
            </w:pPr>
            <w:r w:rsidRPr="003B626E">
              <w:t xml:space="preserve">3) apie dar nebaigtų vykdyti sutarčių jau įvykdytas dalis (jau atliktus darbus), tokiu atveju nurodoma per paskutinius 5 </w:t>
            </w:r>
            <w:r w:rsidRPr="003B626E">
              <w:lastRenderedPageBreak/>
              <w:t>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kuri turi būti ne mažesnė nei šiame reikalavime nurodyta suma.</w:t>
            </w:r>
          </w:p>
          <w:p w14:paraId="2468EE7B" w14:textId="77777777" w:rsidR="00343AA1" w:rsidRPr="003B626E" w:rsidRDefault="00343AA1" w:rsidP="00325941">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891BBF9" w14:textId="77777777" w:rsidR="00343AA1" w:rsidRPr="003B626E" w:rsidRDefault="00343AA1" w:rsidP="00325941">
            <w:pPr>
              <w:widowControl w:val="0"/>
              <w:tabs>
                <w:tab w:val="left" w:pos="1418"/>
              </w:tabs>
              <w:autoSpaceDE w:val="0"/>
              <w:adjustRightInd w:val="0"/>
              <w:jc w:val="both"/>
            </w:pPr>
          </w:p>
          <w:p w14:paraId="39E530C0" w14:textId="77777777" w:rsidR="00343AA1" w:rsidRPr="003B626E" w:rsidRDefault="00343AA1" w:rsidP="00325941">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288C01CE" w14:textId="77777777" w:rsidR="00343AA1" w:rsidRPr="003B626E" w:rsidRDefault="00343AA1" w:rsidP="00325941">
            <w:pPr>
              <w:jc w:val="both"/>
              <w:rPr>
                <w:i/>
              </w:rPr>
            </w:pPr>
          </w:p>
          <w:p w14:paraId="1E2DFD53"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655C298C"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77777777" w:rsidR="00343AA1" w:rsidRPr="003B626E" w:rsidRDefault="00343AA1" w:rsidP="000604B9">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112" w:type="dxa"/>
          </w:tcPr>
          <w:p w14:paraId="37B7FE15" w14:textId="77777777" w:rsidR="00343AA1" w:rsidRPr="003B626E" w:rsidRDefault="00343AA1" w:rsidP="00325941">
            <w:pPr>
              <w:jc w:val="both"/>
              <w:rPr>
                <w:b/>
              </w:rPr>
            </w:pPr>
            <w:r w:rsidRPr="003B626E">
              <w:rPr>
                <w:bCs/>
              </w:rPr>
              <w:lastRenderedPageBreak/>
              <w:t>Pateikiama:</w:t>
            </w:r>
          </w:p>
          <w:p w14:paraId="289B3104" w14:textId="77777777" w:rsidR="00343AA1" w:rsidRPr="003B626E" w:rsidRDefault="00343AA1" w:rsidP="00325941">
            <w:pPr>
              <w:widowControl w:val="0"/>
              <w:tabs>
                <w:tab w:val="left" w:pos="1418"/>
              </w:tabs>
              <w:autoSpaceDE w:val="0"/>
              <w:adjustRightInd w:val="0"/>
              <w:jc w:val="both"/>
              <w:rPr>
                <w:bCs/>
              </w:rPr>
            </w:pPr>
          </w:p>
          <w:p w14:paraId="64B42192" w14:textId="38E05204" w:rsidR="00343AA1" w:rsidRPr="003B626E" w:rsidRDefault="00343AA1" w:rsidP="00325941">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sidR="00D90B38">
              <w:rPr>
                <w:b/>
                <w:bCs/>
              </w:rPr>
              <w:t>nuotekų</w:t>
            </w:r>
            <w:r w:rsidR="0056013F">
              <w:rPr>
                <w:b/>
                <w:bCs/>
              </w:rPr>
              <w:t xml:space="preserve"> šalinimo</w:t>
            </w:r>
            <w:r w:rsidR="00D90B38">
              <w:rPr>
                <w:b/>
                <w:bCs/>
              </w:rPr>
              <w:t xml:space="preserve"> </w:t>
            </w:r>
            <w:r>
              <w:rPr>
                <w:b/>
                <w:bCs/>
              </w:rPr>
              <w:t>tinklų statybos</w:t>
            </w:r>
            <w:r w:rsidR="00083054">
              <w:rPr>
                <w:b/>
                <w:bCs/>
              </w:rPr>
              <w:t xml:space="preserve">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6D78C3F0" w14:textId="77777777" w:rsidR="00343AA1" w:rsidRPr="003B626E" w:rsidRDefault="00343AA1" w:rsidP="00325941">
            <w:pPr>
              <w:jc w:val="both"/>
            </w:pPr>
          </w:p>
          <w:p w14:paraId="4D01CF97" w14:textId="10B7362D" w:rsidR="00343AA1" w:rsidRPr="003B626E" w:rsidRDefault="00343AA1" w:rsidP="00325941">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sidR="002B24F0">
              <w:rPr>
                <w:b/>
                <w:bCs/>
              </w:rPr>
              <w:t>nuotekų</w:t>
            </w:r>
            <w:r w:rsidR="0056013F">
              <w:rPr>
                <w:b/>
                <w:bCs/>
              </w:rPr>
              <w:t xml:space="preserve"> šalinimo</w:t>
            </w:r>
            <w:r w:rsidR="002B24F0">
              <w:rPr>
                <w:b/>
                <w:bCs/>
              </w:rPr>
              <w:t xml:space="preserve"> </w:t>
            </w:r>
            <w:r>
              <w:rPr>
                <w:b/>
                <w:bCs/>
              </w:rPr>
              <w:t xml:space="preserve">tinklų </w:t>
            </w:r>
            <w:r>
              <w:rPr>
                <w:b/>
                <w:bCs/>
              </w:rPr>
              <w:lastRenderedPageBreak/>
              <w:t xml:space="preserve">statybos </w:t>
            </w:r>
            <w:r w:rsidRPr="003B626E">
              <w:rPr>
                <w:b/>
                <w:bCs/>
              </w:rPr>
              <w:t>darbai</w:t>
            </w:r>
            <w:r w:rsidRPr="003B626E">
              <w:rPr>
                <w:b/>
              </w:rPr>
              <w:t xml:space="preserve"> buvo atlikti tinkamai. </w:t>
            </w:r>
            <w:r w:rsidRPr="003B626E">
              <w:rPr>
                <w:bCs/>
              </w:rPr>
              <w:t xml:space="preserve">Užsakovų pažymose 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Užsakovų 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985A201" w14:textId="3DF6F6A3" w:rsidR="00343AA1" w:rsidRPr="003B626E" w:rsidRDefault="00343AA1" w:rsidP="00325941">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76A4EB82" w14:textId="77777777" w:rsidR="00343AA1" w:rsidRPr="003B626E" w:rsidRDefault="00343AA1" w:rsidP="00325941">
            <w:pPr>
              <w:ind w:right="40"/>
              <w:jc w:val="both"/>
            </w:pPr>
            <w:r w:rsidRPr="003B626E">
              <w:t xml:space="preserve">  </w:t>
            </w:r>
          </w:p>
          <w:p w14:paraId="2FEBD0B1" w14:textId="77777777" w:rsidR="00343AA1" w:rsidRPr="003B626E" w:rsidRDefault="00343AA1" w:rsidP="00325941">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343AA1" w:rsidRPr="003B626E" w14:paraId="61EADA92" w14:textId="77777777" w:rsidTr="00BA1577">
        <w:tc>
          <w:tcPr>
            <w:tcW w:w="1390" w:type="dxa"/>
            <w:hideMark/>
          </w:tcPr>
          <w:p w14:paraId="34995D54" w14:textId="0277E3D1" w:rsidR="00343AA1" w:rsidRPr="003B626E" w:rsidRDefault="00753B3C" w:rsidP="00325941">
            <w:pPr>
              <w:widowControl w:val="0"/>
              <w:tabs>
                <w:tab w:val="left" w:pos="1418"/>
              </w:tabs>
              <w:autoSpaceDE w:val="0"/>
              <w:adjustRightInd w:val="0"/>
              <w:jc w:val="both"/>
            </w:pPr>
            <w:r>
              <w:lastRenderedPageBreak/>
              <w:t>11.10.2</w:t>
            </w:r>
            <w:r w:rsidR="00343AA1" w:rsidRPr="003B626E">
              <w:t>.</w:t>
            </w:r>
          </w:p>
        </w:tc>
        <w:tc>
          <w:tcPr>
            <w:tcW w:w="4132" w:type="dxa"/>
          </w:tcPr>
          <w:p w14:paraId="7A9E1F47" w14:textId="77777777" w:rsidR="00343AA1" w:rsidRPr="003B626E" w:rsidRDefault="00343AA1" w:rsidP="00325941">
            <w:pPr>
              <w:jc w:val="both"/>
            </w:pPr>
            <w:r w:rsidRPr="003B626E">
              <w:t>Tiekėjo vadovaujančių specialistų ir asmenų, atsakingų už pirkimo sutarties vykdymą, kvalifikacija. Tiekėjas privalo paskirti specialistus*, kurių kvalifikacija** atitinka nurodytus reikalavimus:</w:t>
            </w:r>
          </w:p>
          <w:p w14:paraId="1F22D6BD" w14:textId="77777777" w:rsidR="00343AA1" w:rsidRPr="003B626E" w:rsidRDefault="00343AA1" w:rsidP="00325941">
            <w:pPr>
              <w:widowControl w:val="0"/>
              <w:shd w:val="clear" w:color="auto" w:fill="FFFFFF"/>
              <w:tabs>
                <w:tab w:val="left" w:pos="1418"/>
              </w:tabs>
              <w:autoSpaceDE w:val="0"/>
              <w:adjustRightInd w:val="0"/>
              <w:jc w:val="both"/>
              <w:rPr>
                <w:bCs/>
              </w:rPr>
            </w:pPr>
          </w:p>
          <w:p w14:paraId="1694D260" w14:textId="7E1BFC0F" w:rsidR="00343AA1" w:rsidRPr="003B626E" w:rsidRDefault="00343AA1" w:rsidP="00325941">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rsidR="00E949A0">
              <w:t xml:space="preserve">inžinerinių </w:t>
            </w:r>
            <w:r w:rsidRPr="003B626E">
              <w:t xml:space="preserve">statinių grupė: </w:t>
            </w:r>
            <w:r w:rsidR="00E949A0">
              <w:t>inžineriniai tinklai</w:t>
            </w:r>
            <w:r w:rsidR="00796642">
              <w:t>; p</w:t>
            </w:r>
            <w:r w:rsidR="000604B9">
              <w:t>o</w:t>
            </w:r>
            <w:r w:rsidR="00796642">
              <w:t xml:space="preserve">grupis </w:t>
            </w:r>
            <w:r w:rsidR="0056013F">
              <w:t>–</w:t>
            </w:r>
            <w:r w:rsidR="00796642">
              <w:t xml:space="preserve"> </w:t>
            </w:r>
            <w:r w:rsidR="00D336F2">
              <w:t>nuotekų</w:t>
            </w:r>
            <w:r w:rsidR="0056013F">
              <w:t xml:space="preserve"> šalinimo</w:t>
            </w:r>
            <w:r w:rsidR="00D336F2">
              <w:t xml:space="preserve"> </w:t>
            </w:r>
            <w:r w:rsidR="00796642">
              <w:t>tinklai</w:t>
            </w:r>
            <w:r w:rsidRPr="003B626E">
              <w:t>.</w:t>
            </w:r>
          </w:p>
          <w:p w14:paraId="66576BD0" w14:textId="77777777" w:rsidR="00343AA1" w:rsidRPr="003B626E" w:rsidRDefault="00343AA1" w:rsidP="00325941">
            <w:pPr>
              <w:shd w:val="clear" w:color="auto" w:fill="FFFFFF"/>
              <w:jc w:val="both"/>
            </w:pPr>
          </w:p>
          <w:p w14:paraId="7ECD68BD" w14:textId="77777777" w:rsidR="00343AA1" w:rsidRPr="003B626E" w:rsidRDefault="00343AA1" w:rsidP="00325941">
            <w:pPr>
              <w:shd w:val="clear" w:color="auto" w:fill="FFFFFF"/>
              <w:jc w:val="both"/>
            </w:pPr>
          </w:p>
          <w:p w14:paraId="293813E5" w14:textId="77777777" w:rsidR="00343AA1" w:rsidRPr="003B626E" w:rsidRDefault="00343AA1" w:rsidP="00325941">
            <w:pPr>
              <w:jc w:val="both"/>
            </w:pPr>
            <w:r w:rsidRPr="003B626E">
              <w:t xml:space="preserve">* </w:t>
            </w:r>
            <w:r w:rsidRPr="003B626E">
              <w:rPr>
                <w:i/>
              </w:rPr>
              <w:t xml:space="preserve">Tiekėjas gali siūlyti vieną asmenį kelioms pozicijoms, jei šis asmuo atitinka </w:t>
            </w:r>
            <w:r w:rsidRPr="003B626E">
              <w:rPr>
                <w:i/>
              </w:rPr>
              <w:lastRenderedPageBreak/>
              <w:t>visus skirtingoms pozicijoms keliamus reikalavimus.</w:t>
            </w:r>
          </w:p>
          <w:p w14:paraId="67600DFB" w14:textId="77777777" w:rsidR="00343AA1" w:rsidRPr="003B626E" w:rsidRDefault="00343AA1" w:rsidP="00325941">
            <w:pPr>
              <w:widowControl w:val="0"/>
              <w:tabs>
                <w:tab w:val="left" w:pos="1418"/>
              </w:tabs>
              <w:autoSpaceDE w:val="0"/>
              <w:adjustRightInd w:val="0"/>
              <w:jc w:val="both"/>
              <w:rPr>
                <w:i/>
              </w:rPr>
            </w:pPr>
            <w:r w:rsidRPr="003B626E">
              <w:rPr>
                <w:b/>
                <w:i/>
              </w:rPr>
              <w:t xml:space="preserve">** </w:t>
            </w:r>
            <w:r w:rsidRPr="003B626E">
              <w:rPr>
                <w:i/>
              </w:rPr>
              <w:t>Tiekėjo specialistų atestatai atitiks reikalavimus, jei jie apims daugiau statinių grupių ar pogrupių nei reikalaujama.</w:t>
            </w:r>
          </w:p>
          <w:p w14:paraId="6B05558F" w14:textId="77777777" w:rsidR="00343AA1" w:rsidRPr="003B626E" w:rsidRDefault="00343AA1" w:rsidP="00325941">
            <w:pPr>
              <w:widowControl w:val="0"/>
              <w:tabs>
                <w:tab w:val="left" w:pos="1418"/>
              </w:tabs>
              <w:autoSpaceDE w:val="0"/>
              <w:adjustRightInd w:val="0"/>
              <w:jc w:val="both"/>
            </w:pPr>
          </w:p>
          <w:p w14:paraId="46B0470F"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73A2EAE1"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112" w:type="dxa"/>
          </w:tcPr>
          <w:p w14:paraId="10AED35B" w14:textId="77777777" w:rsidR="00343AA1" w:rsidRPr="003B626E" w:rsidRDefault="00343AA1" w:rsidP="00325941">
            <w:pPr>
              <w:jc w:val="both"/>
              <w:rPr>
                <w:bCs/>
              </w:rPr>
            </w:pPr>
            <w:r w:rsidRPr="003B626E">
              <w:rPr>
                <w:bCs/>
              </w:rPr>
              <w:lastRenderedPageBreak/>
              <w:t>Pateikiama:</w:t>
            </w:r>
          </w:p>
          <w:p w14:paraId="1DEF12E4" w14:textId="77777777" w:rsidR="00343AA1" w:rsidRPr="003B626E" w:rsidRDefault="00343AA1" w:rsidP="00325941">
            <w:pPr>
              <w:jc w:val="both"/>
              <w:rPr>
                <w:bCs/>
              </w:rPr>
            </w:pPr>
          </w:p>
          <w:p w14:paraId="77B47D95" w14:textId="2BE0D32D" w:rsidR="00343AA1" w:rsidRPr="003B626E" w:rsidRDefault="00343AA1" w:rsidP="00325941">
            <w:pPr>
              <w:jc w:val="both"/>
              <w:rPr>
                <w:b/>
              </w:rPr>
            </w:pPr>
            <w:r w:rsidRPr="003B626E">
              <w:rPr>
                <w:bCs/>
              </w:rPr>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00E949A0"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w:t>
            </w:r>
            <w:r w:rsidR="00BA1577" w:rsidRPr="00472230">
              <w:rPr>
                <w:bCs/>
              </w:rPr>
              <w:t>11.10.2</w:t>
            </w:r>
            <w:r w:rsidRPr="003B626E">
              <w:rPr>
                <w:bCs/>
              </w:rPr>
              <w:t xml:space="preserve"> punkte nurodytus reikalavimus), pareigos, vykdant pirkimo sutartį, dabartinė darbovietė, kvalifikacijos atestato / teisės pripažinimo pažymos / pažymėjimo </w:t>
            </w:r>
            <w:r w:rsidRPr="003B626E">
              <w:rPr>
                <w:bCs/>
              </w:rPr>
              <w:lastRenderedPageBreak/>
              <w:t xml:space="preserve">numeris, išdavimo data, galiojimo laikas, išdavusios institucijos pavadinimas.  </w:t>
            </w:r>
          </w:p>
          <w:p w14:paraId="6242A547" w14:textId="77777777" w:rsidR="00343AA1" w:rsidRPr="003B626E" w:rsidRDefault="00343AA1" w:rsidP="00325941">
            <w:pPr>
              <w:jc w:val="both"/>
              <w:rPr>
                <w:b/>
                <w:bCs/>
              </w:rPr>
            </w:pPr>
          </w:p>
          <w:p w14:paraId="31CB8111" w14:textId="77777777" w:rsidR="00343AA1" w:rsidRPr="003B626E" w:rsidRDefault="00343AA1" w:rsidP="00325941">
            <w:pPr>
              <w:jc w:val="both"/>
            </w:pPr>
            <w:r w:rsidRPr="003B626E">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67232EB5" w14:textId="77777777" w:rsidR="00343AA1" w:rsidRPr="003B626E" w:rsidRDefault="00343AA1" w:rsidP="00325941">
            <w:pPr>
              <w:jc w:val="both"/>
            </w:pPr>
          </w:p>
          <w:p w14:paraId="4BC3C52C" w14:textId="77777777" w:rsidR="00343AA1" w:rsidRPr="003B626E" w:rsidRDefault="00343AA1" w:rsidP="00325941">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307006A5" w14:textId="77777777" w:rsidR="00343AA1" w:rsidRPr="003B626E" w:rsidRDefault="00343AA1" w:rsidP="00325941">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Respublikos instituciją (VšĮ „Statybos sektoriaus vystymo agentūra“, Lietuvos architektų rūmai) dėl teisės pripažinimo dokumento išdavimo. </w:t>
            </w:r>
          </w:p>
          <w:p w14:paraId="54BBC3BA" w14:textId="77777777" w:rsidR="00343AA1" w:rsidRPr="003B626E" w:rsidRDefault="00343AA1" w:rsidP="00325941">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4250A3F7" w14:textId="77777777" w:rsidR="00343AA1" w:rsidRPr="003B626E" w:rsidRDefault="00343AA1" w:rsidP="00325941">
            <w:pPr>
              <w:jc w:val="both"/>
            </w:pPr>
            <w:r w:rsidRPr="003B626E">
              <w:t>Užsienio šalių specialistai iki pirkimo sutarties pasirašymo turi gauti ir pateikti Statybos įstatymo nustatyta tvarka išduotą teisės pripažinimo dokumentą.</w:t>
            </w:r>
          </w:p>
          <w:p w14:paraId="2AAF1C10" w14:textId="77777777" w:rsidR="00343AA1" w:rsidRPr="003B626E" w:rsidRDefault="00343AA1" w:rsidP="00325941">
            <w:pPr>
              <w:widowControl w:val="0"/>
              <w:jc w:val="both"/>
              <w:rPr>
                <w:bCs/>
              </w:rPr>
            </w:pPr>
          </w:p>
          <w:p w14:paraId="1AD469C8" w14:textId="77777777" w:rsidR="00343AA1" w:rsidRPr="003B626E" w:rsidRDefault="00343AA1" w:rsidP="00325941">
            <w:pPr>
              <w:widowControl w:val="0"/>
              <w:tabs>
                <w:tab w:val="left" w:pos="1418"/>
              </w:tabs>
              <w:autoSpaceDE w:val="0"/>
              <w:adjustRightInd w:val="0"/>
              <w:jc w:val="both"/>
            </w:pPr>
            <w:r w:rsidRPr="003B626E">
              <w:rPr>
                <w:bCs/>
              </w:rPr>
              <w:t xml:space="preserve">3) </w:t>
            </w:r>
            <w:r w:rsidRPr="003B626E">
              <w:t xml:space="preserve">specialisto – kvazisubtiekėjo pasirašytos laisvos formos sutikimas atlikti sutartyje nurodytus darbus, jei jis </w:t>
            </w:r>
            <w:r w:rsidRPr="003B626E">
              <w:lastRenderedPageBreak/>
              <w:t>nėra tiekėjo ar subtiekėjo darbuotojas, ir tiekėjo ar subtiekėjo patvirtinimas</w:t>
            </w:r>
            <w:r w:rsidRPr="003B626E">
              <w:rPr>
                <w:b/>
                <w:bCs/>
              </w:rPr>
              <w:t xml:space="preserve"> </w:t>
            </w:r>
            <w:r w:rsidRPr="003B626E">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BA1577">
      <w:pPr>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6EB951F8" w14:textId="36492D5D" w:rsidR="00BA1577" w:rsidRDefault="00BA1577" w:rsidP="00BA1577">
            <w:pPr>
              <w:tabs>
                <w:tab w:val="left" w:pos="993"/>
              </w:tabs>
              <w:jc w:val="both"/>
            </w:pPr>
            <w:r>
              <w:t xml:space="preserve">Tiekėjas** turi būti įdiegęs ir taikyti atliekamų darbų srityje (vandentiekio ir nuotekų </w:t>
            </w:r>
            <w:r w:rsidR="0056013F">
              <w:t xml:space="preserve">šalinimo </w:t>
            </w:r>
            <w:r>
              <w:t>tinklų statyba)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568A8A42" w14:textId="77777777" w:rsidR="00BA1577" w:rsidRDefault="00BA1577" w:rsidP="00BA1577">
            <w:pPr>
              <w:tabs>
                <w:tab w:val="left" w:pos="993"/>
              </w:tabs>
              <w:jc w:val="both"/>
            </w:pPr>
          </w:p>
          <w:p w14:paraId="1BE6E6DD" w14:textId="77777777" w:rsidR="00BA1577" w:rsidRDefault="00BA1577" w:rsidP="00BA1577">
            <w:pPr>
              <w:tabs>
                <w:tab w:val="left" w:pos="993"/>
              </w:tabs>
              <w:jc w:val="both"/>
            </w:pPr>
            <w:r>
              <w:t>**Pastaba:</w:t>
            </w:r>
          </w:p>
          <w:p w14:paraId="04335A72" w14:textId="77777777" w:rsidR="00BA1577" w:rsidRDefault="00BA1577" w:rsidP="00BA1577">
            <w:pPr>
              <w:tabs>
                <w:tab w:val="left" w:pos="993"/>
              </w:tabs>
              <w:jc w:val="both"/>
            </w:pPr>
            <w:r>
              <w:t>•</w:t>
            </w:r>
            <w:r>
              <w:tab/>
              <w:t>Jeigu pasiūlymą teikia ūkio subjektų grupė (veikianti pagal jungtinės veiklos sutartį) – reikalavimą turi atitikti ūkio subjektų grupės narys (-iai), atsižvelgiant į jų prisiimamus įsipareigojimus pirkimo sutarčiai vykdyti;</w:t>
            </w:r>
          </w:p>
          <w:p w14:paraId="412176B2" w14:textId="77777777" w:rsidR="00BA1577" w:rsidRDefault="00BA1577" w:rsidP="00BA1577">
            <w:pPr>
              <w:tabs>
                <w:tab w:val="left" w:pos="993"/>
              </w:tabs>
              <w:jc w:val="both"/>
            </w:pPr>
            <w:r>
              <w:t>•</w:t>
            </w:r>
            <w:r>
              <w:tab/>
              <w:t>Tiekėjas gali remtis kitų ūkio subjektų pajėgumais atsižvelgiant į jų prisiimamus įsipareigojimus pirkimo sutarčiai vykdyti;</w:t>
            </w:r>
          </w:p>
          <w:p w14:paraId="36623039" w14:textId="3BD355BE" w:rsidR="00BA1577" w:rsidRDefault="00BA1577" w:rsidP="00BA1577">
            <w:pPr>
              <w:tabs>
                <w:tab w:val="left" w:pos="993"/>
              </w:tabs>
              <w:jc w:val="both"/>
            </w:pPr>
            <w:r>
              <w:t>•</w:t>
            </w:r>
            <w:r>
              <w:tab/>
              <w:t>Subtiekėjai turi laikytis reikalaujamų aplinkos apsaugos vadybos priemonių, atsižvelgiant į jų prisiimamus įsipareigojimus pirkimo sutarčiai vykdyti.</w:t>
            </w:r>
          </w:p>
          <w:p w14:paraId="6715D787" w14:textId="410109C3" w:rsidR="002C5AD4" w:rsidRPr="00B62242" w:rsidRDefault="002C5AD4" w:rsidP="00BA1577">
            <w:pPr>
              <w:tabs>
                <w:tab w:val="left" w:pos="993"/>
              </w:tabs>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5F7F2011" w14:textId="77777777" w:rsidR="00BA1577" w:rsidRDefault="00BA1577" w:rsidP="00BA1577">
            <w:pPr>
              <w:jc w:val="both"/>
            </w:pPr>
            <w:r>
              <w:t xml:space="preserve">Pateikiama: </w:t>
            </w:r>
          </w:p>
          <w:p w14:paraId="2AFE11D1" w14:textId="77777777" w:rsidR="00BA1577" w:rsidRDefault="00BA1577" w:rsidP="00BA1577">
            <w:pPr>
              <w:jc w:val="both"/>
            </w:pPr>
            <w:r>
              <w:t xml:space="preserve">EMAS arba LST EN ISO 14001 sertifikatas, arba kitas lygiavertis sertifikatas, išduotas kitose valstybėse narėse įsteigtų nepriklausomų įstaigų. </w:t>
            </w:r>
          </w:p>
          <w:p w14:paraId="6FFE54CA" w14:textId="77777777" w:rsidR="00BA1577" w:rsidRDefault="00BA1577" w:rsidP="00BA1577">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(2022 m. gruodžio 13 d. įsakymo Nr. D1-401 redakcija) 10 punkto* reikalavimus, arba kitus lygiaverčius įrodymus.</w:t>
            </w:r>
          </w:p>
          <w:p w14:paraId="0B07CFBC" w14:textId="77777777" w:rsidR="00BA1577" w:rsidRDefault="00BA1577" w:rsidP="00BA1577">
            <w:pPr>
              <w:jc w:val="both"/>
            </w:pPr>
          </w:p>
          <w:p w14:paraId="45B906A2" w14:textId="77777777" w:rsidR="00BA1577" w:rsidRDefault="00BA1577" w:rsidP="00BA1577">
            <w:pPr>
              <w:jc w:val="both"/>
            </w:pPr>
            <w:r>
              <w:t xml:space="preserve">*„10. Kiti lygiaverčiai aplinkos apsaugos vadybos užtikrinimo priemonių įrodymai gali būti tiekėjo taikomų aplinkos apsaugos vadybos priemonių aprašymas, atitinkantis visus šiuos reikalavimus: </w:t>
            </w:r>
          </w:p>
          <w:p w14:paraId="66405C8D" w14:textId="77777777" w:rsidR="00BA1577" w:rsidRDefault="00BA1577" w:rsidP="00BA1577">
            <w:pPr>
              <w:jc w:val="both"/>
            </w:pPr>
            <w:r>
              <w:t>10.1. apibrėžta įmonės ar įstaigos vadovybės patvirtinta aplinkos apsaugos politika ir atitiktis aplinkos apsaugos reikalavimams teikiant paslaugas ir vykdant darbus;</w:t>
            </w:r>
          </w:p>
          <w:p w14:paraId="4E2B760C" w14:textId="77777777" w:rsidR="00BA1577" w:rsidRDefault="00BA1577" w:rsidP="00BA1577">
            <w:pPr>
              <w:jc w:val="both"/>
            </w:pPr>
            <w:r>
              <w:t xml:space="preserve">10.2. nustatyti reikšmingiausi aplinkos apsaugos aspektai, kuriems poveikį daro arba gali daryti įmonės ar įstaigos vykdoma veikla, ir šiuos aplinkos apsaugos aspektus reglamentuojantys teisės aktai; </w:t>
            </w:r>
          </w:p>
          <w:p w14:paraId="745C889E" w14:textId="77777777" w:rsidR="00BA1577" w:rsidRDefault="00BA1577" w:rsidP="00BA1577">
            <w:pPr>
              <w:jc w:val="both"/>
            </w:pPr>
            <w:r>
              <w:t xml:space="preserve">10.3. nustatyti aplinkosauginiai tikslai, uždaviniai ir priemonės šiems tikslams pasiekti; </w:t>
            </w:r>
          </w:p>
          <w:p w14:paraId="1CF20292" w14:textId="77777777" w:rsidR="00BA1577" w:rsidRDefault="00BA1577" w:rsidP="00BA1577">
            <w:pPr>
              <w:jc w:val="both"/>
            </w:pPr>
            <w:r>
              <w:t xml:space="preserve">10.4. numatyta aplinkosauginių tikslų įgyvendinimo stebėsena – paskirti atsakingi asmenys, nustatyta jų atsakomybė, pareigos ir priemonių įgyvendinimo terminai; </w:t>
            </w:r>
          </w:p>
          <w:p w14:paraId="0B59678B" w14:textId="77777777" w:rsidR="00BA1577" w:rsidRDefault="00BA1577" w:rsidP="00BA1577">
            <w:pPr>
              <w:jc w:val="both"/>
            </w:pPr>
            <w:r>
              <w:t xml:space="preserve">10.5. parengtas aplinkosauginių ir avarinių situacijų valdymo planas; </w:t>
            </w:r>
          </w:p>
          <w:p w14:paraId="44678E4E" w14:textId="089F87FB" w:rsidR="002C5AD4" w:rsidRPr="00183193" w:rsidRDefault="00BA1577" w:rsidP="002C5AD4">
            <w:pPr>
              <w:jc w:val="both"/>
            </w:pPr>
            <w:r>
              <w:lastRenderedPageBreak/>
              <w:t>10.6. vykdoma aplinkosauginio gerinimo veiklos kontrolė (pvz., parengiamos metinės ataskaitos, kurios pateikiamos ir pristatomos įmonės vadovybei).“</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6A726F13"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Pr="00AD67BA" w:rsidRDefault="00087C15" w:rsidP="00842EDA">
      <w:pPr>
        <w:autoSpaceDN/>
        <w:ind w:firstLine="720"/>
        <w:jc w:val="center"/>
        <w:textAlignment w:val="auto"/>
        <w:rPr>
          <w:b/>
          <w:color w:val="000000" w:themeColor="text1"/>
          <w:lang w:val="en-US" w:eastAsia="lt-LT"/>
        </w:rPr>
      </w:pPr>
      <w:r w:rsidRPr="00AD67BA">
        <w:rPr>
          <w:b/>
          <w:color w:val="000000" w:themeColor="text1"/>
          <w:lang w:val="en-US" w:eastAsia="lt-LT"/>
        </w:rPr>
        <w:t xml:space="preserve">IR SUTARTIES SUDARYMO </w:t>
      </w:r>
    </w:p>
    <w:p w14:paraId="3034467A" w14:textId="77777777" w:rsidR="00842EDA" w:rsidRPr="00AD67BA" w:rsidRDefault="00842EDA" w:rsidP="00842EDA">
      <w:pPr>
        <w:autoSpaceDN/>
        <w:ind w:firstLine="720"/>
        <w:jc w:val="center"/>
        <w:textAlignment w:val="auto"/>
        <w:rPr>
          <w:b/>
          <w:color w:val="000000" w:themeColor="text1"/>
          <w:lang w:val="en-US" w:eastAsia="lt-LT"/>
        </w:rPr>
      </w:pPr>
    </w:p>
    <w:p w14:paraId="24F2D6DD" w14:textId="5F77B0AA" w:rsidR="008214A9" w:rsidRPr="00AD67BA" w:rsidRDefault="002A2006" w:rsidP="00AD67BA">
      <w:pPr>
        <w:pStyle w:val="ListParagraph"/>
        <w:numPr>
          <w:ilvl w:val="1"/>
          <w:numId w:val="29"/>
        </w:numPr>
        <w:tabs>
          <w:tab w:val="left" w:pos="709"/>
          <w:tab w:val="left" w:pos="993"/>
          <w:tab w:val="left" w:pos="1418"/>
        </w:tabs>
        <w:ind w:left="0" w:firstLine="851"/>
        <w:jc w:val="both"/>
        <w:rPr>
          <w:color w:val="000000" w:themeColor="text1"/>
        </w:rPr>
      </w:pPr>
      <w:r w:rsidRPr="00AD67BA">
        <w:rPr>
          <w:color w:val="000000" w:themeColor="text1"/>
        </w:rPr>
        <w:t xml:space="preserve">Išnagrinėjusi, įvertinusi ir palyginusi pateiktus pasiūlymus, </w:t>
      </w:r>
      <w:r w:rsidR="00346C63" w:rsidRPr="00AD67BA">
        <w:rPr>
          <w:color w:val="000000" w:themeColor="text1"/>
        </w:rPr>
        <w:t>perkantysis subjektas</w:t>
      </w:r>
      <w:r w:rsidRPr="00AD67BA">
        <w:rPr>
          <w:color w:val="000000" w:themeColor="text1"/>
        </w:rPr>
        <w:t xml:space="preserve"> nustato pasiūlymų eilę</w:t>
      </w:r>
      <w:r w:rsidR="00F273F6" w:rsidRPr="00AD67BA">
        <w:rPr>
          <w:color w:val="000000" w:themeColor="text1"/>
        </w:rPr>
        <w:t xml:space="preserve"> (išskyrus atvejus, kai pasiūlymą pateikti kviečiamas arba pasiūlymą pateikia, arba įvertinus pasiūlymus liko tik vienas tiekėjas)</w:t>
      </w:r>
      <w:r w:rsidRPr="00AD67BA">
        <w:rPr>
          <w:color w:val="000000" w:themeColor="text1"/>
        </w:rPr>
        <w:t>, į kurią įtraukia neatmestus pasiūlymus, ir nustato laimėjusį pasiūlymą bei priima sprendimą dėl</w:t>
      </w:r>
      <w:r w:rsidR="003866D6" w:rsidRPr="00AD67BA">
        <w:rPr>
          <w:color w:val="000000" w:themeColor="text1"/>
        </w:rPr>
        <w:t xml:space="preserve"> </w:t>
      </w:r>
      <w:r w:rsidRPr="00AD67BA">
        <w:rPr>
          <w:color w:val="000000" w:themeColor="text1"/>
        </w:rPr>
        <w:t xml:space="preserve">sutarties sudarymo.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AD67BA">
        <w:rPr>
          <w:rFonts w:cstheme="minorHAnsi"/>
          <w:color w:val="000000" w:themeColor="text1"/>
        </w:rPr>
        <w:t xml:space="preserve"> </w:t>
      </w:r>
      <w:r w:rsidRPr="00AD67BA">
        <w:rPr>
          <w:color w:val="000000" w:themeColor="text1"/>
        </w:rPr>
        <w:t xml:space="preserve">Ši pirkimo procedūra atliekama siekiant sudaryti sutartį su tiekėju, kurio pasiūlymas, vadovaujantis pirkimo sąlygose nustatyta tvarka, bus pripažintas laimėjęs. </w:t>
      </w:r>
      <w:r w:rsidRPr="00AD67BA">
        <w:rPr>
          <w:rFonts w:cstheme="minorHAnsi"/>
          <w:color w:val="000000" w:themeColor="text1"/>
        </w:rPr>
        <w:t xml:space="preserve">Laimėjusiu pasiūlymu </w:t>
      </w:r>
      <w:r w:rsidRPr="00E46903">
        <w:rPr>
          <w:rFonts w:cstheme="minorHAnsi"/>
          <w:color w:val="000000" w:themeColor="text1"/>
        </w:rPr>
        <w:t xml:space="preserve">galės būti pripažintas tik 1 (vienas) ekonomiškai naudingiausias pasiūlymas, esantis pasiūlymų eilės pirmojoje vietoje. </w:t>
      </w:r>
    </w:p>
    <w:p w14:paraId="7C0F9756" w14:textId="64E07C97"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sutart</w:t>
      </w:r>
      <w:r w:rsidR="003C2061">
        <w:rPr>
          <w:rFonts w:eastAsia="Calibri"/>
          <w:bCs/>
        </w:rPr>
        <w:t>į</w:t>
      </w:r>
      <w:r w:rsidR="00DF4596" w:rsidRPr="00E46903">
        <w:rPr>
          <w:rFonts w:eastAsia="Calibri"/>
          <w:bCs/>
        </w:rPr>
        <w:t xml:space="preserve"> </w:t>
      </w:r>
      <w:r w:rsidRPr="00E46903">
        <w:rPr>
          <w:rFonts w:eastAsia="Calibri"/>
          <w:bCs/>
        </w:rPr>
        <w:t xml:space="preserve">kviečiamas raštu ir jam nurodomas laikas, iki kada jis turi sudaryti </w:t>
      </w:r>
      <w:r w:rsidR="000F3444">
        <w:rPr>
          <w:rFonts w:eastAsia="Calibri"/>
          <w:bCs/>
        </w:rPr>
        <w:t>s</w:t>
      </w:r>
      <w:r w:rsidRPr="00E46903">
        <w:rPr>
          <w:rFonts w:eastAsia="Calibri"/>
          <w:bCs/>
        </w:rPr>
        <w:t>utartį.</w:t>
      </w:r>
    </w:p>
    <w:p w14:paraId="335F8CF2" w14:textId="291A25CE"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w:t>
      </w:r>
      <w:r w:rsidR="00346C63">
        <w:t>perkančiojo subjekto</w:t>
      </w:r>
      <w:r w:rsidRPr="00D8789F">
        <w:t xml:space="preserve"> nurodyto laiko nepasirašo sutarties, arba atsisako sudaryti sutartį </w:t>
      </w:r>
      <w:r w:rsidR="005723B5">
        <w:t>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sutartį tiekėjui, kurio pasiūlymas pagal nustatytą pasiūlymų eilę yra pirmas po tiekėjo, atsisakiusio sudaryti sutartį, </w:t>
      </w:r>
      <w:r w:rsidR="00A64159" w:rsidRPr="008214A9">
        <w:rPr>
          <w:rFonts w:eastAsia="Calibri"/>
        </w:rPr>
        <w:t xml:space="preserve">nepateikusio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252A20D" w14:textId="4FAE592D"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priima sprendimą nesudaryti sutarties arba pradėti pirkimą iš naujo, dalyviams nurodo priežastis, dėl kurių buvo priimtas sprendimas nesudaryti sutarties arba pradėti pirkimą iš naujo. </w:t>
      </w:r>
    </w:p>
    <w:p w14:paraId="2C33D9C1" w14:textId="34CFEF1F"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ED7340B" w14:textId="77777777" w:rsidR="003232A9" w:rsidRPr="006B6532" w:rsidRDefault="003232A9"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74CADC6B"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Default="00842EDA" w:rsidP="00BA7301">
      <w:pPr>
        <w:widowControl w:val="0"/>
        <w:tabs>
          <w:tab w:val="left" w:pos="851"/>
          <w:tab w:val="left" w:pos="1418"/>
        </w:tabs>
        <w:autoSpaceDE w:val="0"/>
        <w:adjustRightInd w:val="0"/>
        <w:jc w:val="both"/>
        <w:textAlignment w:val="auto"/>
        <w:rPr>
          <w:lang w:eastAsia="lt-LT"/>
        </w:rPr>
      </w:pPr>
    </w:p>
    <w:p w14:paraId="335DE2E4" w14:textId="77777777" w:rsidR="001A061C" w:rsidRPr="006B6532" w:rsidRDefault="001A061C" w:rsidP="00BA7301">
      <w:pPr>
        <w:widowControl w:val="0"/>
        <w:tabs>
          <w:tab w:val="left" w:pos="851"/>
          <w:tab w:val="left" w:pos="1418"/>
        </w:tabs>
        <w:autoSpaceDE w:val="0"/>
        <w:adjustRightInd w:val="0"/>
        <w:jc w:val="both"/>
        <w:textAlignment w:val="auto"/>
        <w:rPr>
          <w:lang w:eastAsia="lt-LT"/>
        </w:rPr>
      </w:pPr>
    </w:p>
    <w:p w14:paraId="334CDF36" w14:textId="28155998" w:rsidR="004B71ED" w:rsidRPr="002808DB" w:rsidRDefault="00087C15" w:rsidP="000604B9">
      <w:pPr>
        <w:pStyle w:val="ListParagraph"/>
        <w:numPr>
          <w:ilvl w:val="0"/>
          <w:numId w:val="28"/>
        </w:numPr>
        <w:tabs>
          <w:tab w:val="left" w:pos="1134"/>
        </w:tabs>
        <w:autoSpaceDN/>
        <w:spacing w:before="120" w:after="120"/>
        <w:jc w:val="center"/>
        <w:textAlignment w:val="auto"/>
        <w:rPr>
          <w:b/>
          <w:lang w:eastAsia="lt-LT"/>
        </w:rPr>
      </w:pPr>
      <w:r w:rsidRPr="003A0A24">
        <w:rPr>
          <w:b/>
          <w:lang w:eastAsia="lt-LT"/>
        </w:rPr>
        <w:t>SUTARTIES SĄLYGOS</w:t>
      </w:r>
    </w:p>
    <w:p w14:paraId="4B33A439" w14:textId="6316925A"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w:t>
      </w:r>
      <w:r w:rsidR="006461F2">
        <w:t>s</w:t>
      </w:r>
      <w:r w:rsidRPr="00E46903">
        <w:t xml:space="preserve">utartis atitinka laimėjusio tiekėjo pasiūlymą ir </w:t>
      </w:r>
      <w:r w:rsidR="00346C63">
        <w:t>perkančiojo subjekto</w:t>
      </w:r>
      <w:r w:rsidRPr="00E46903">
        <w:t xml:space="preserve"> </w:t>
      </w:r>
      <w:r w:rsidRPr="00E46903">
        <w:lastRenderedPageBreak/>
        <w:t>konkurso sąlygose nustatytus reikalavimus.</w:t>
      </w:r>
    </w:p>
    <w:p w14:paraId="49A3C214" w14:textId="02C6072F" w:rsidR="00192821" w:rsidRPr="00E43C3A" w:rsidRDefault="006461F2" w:rsidP="000604B9">
      <w:pPr>
        <w:pStyle w:val="ListParagraph"/>
        <w:widowControl w:val="0"/>
        <w:numPr>
          <w:ilvl w:val="1"/>
          <w:numId w:val="28"/>
        </w:numPr>
        <w:autoSpaceDE w:val="0"/>
        <w:adjustRightInd w:val="0"/>
        <w:ind w:left="55" w:firstLine="512"/>
        <w:jc w:val="both"/>
        <w:rPr>
          <w:szCs w:val="20"/>
        </w:rPr>
      </w:pPr>
      <w:r>
        <w:t>S</w:t>
      </w:r>
      <w:r w:rsidR="00F05C6D" w:rsidRPr="00E46903">
        <w:t xml:space="preserve">utartis sudaroma nedelsiant, </w:t>
      </w:r>
      <w:r w:rsidR="00192821" w:rsidRPr="00192821">
        <w:t>bet ne anksčiau negu pasibaigė atidėjimo terminas (5 darbo dienų laikotarpis nuo pranešimo apie sprendimą sudaryti sutartį išsiuntimo dienos). Atidėjimo terminas gali būti netaikomas, kai vienintelis suinteresuotas dalyvis yra tas</w:t>
      </w:r>
      <w:r w:rsidR="00192821" w:rsidRPr="00E43C3A">
        <w:t>, su kuriuo sudaroma sutartis.</w:t>
      </w:r>
    </w:p>
    <w:p w14:paraId="531E117E" w14:textId="020E3DDE"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sutartį, joje nedidinama laimėjusio tiekėjo pasiūlymo kaina, sąnaudos ir nekeičiam</w:t>
      </w:r>
      <w:r w:rsidRPr="00E43C3A">
        <w:rPr>
          <w:rFonts w:eastAsiaTheme="minorHAnsi" w:cstheme="minorHAnsi"/>
          <w:bCs/>
          <w:iCs/>
          <w:color w:val="000000" w:themeColor="text1"/>
        </w:rPr>
        <w:t>os kitos sąlygos.</w:t>
      </w:r>
    </w:p>
    <w:p w14:paraId="49EE7A98" w14:textId="791AD769"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w:t>
      </w:r>
      <w:r w:rsidR="006A3A1F">
        <w:rPr>
          <w:color w:val="000000" w:themeColor="text1"/>
          <w:szCs w:val="20"/>
        </w:rPr>
        <w:t>S</w:t>
      </w:r>
      <w:r w:rsidRPr="00E43C3A">
        <w:rPr>
          <w:color w:val="000000" w:themeColor="text1"/>
          <w:szCs w:val="20"/>
        </w:rPr>
        <w:t xml:space="preserve">utarties įvykdymo užtikrinimą. </w:t>
      </w:r>
      <w:r w:rsidR="006A3A1F">
        <w:rPr>
          <w:color w:val="000000" w:themeColor="text1"/>
          <w:szCs w:val="20"/>
        </w:rPr>
        <w:t>S</w:t>
      </w:r>
      <w:r w:rsidRPr="00E43C3A">
        <w:rPr>
          <w:color w:val="000000" w:themeColor="text1"/>
          <w:szCs w:val="20"/>
        </w:rPr>
        <w:t xml:space="preserve">utarties įvykdymo užtikrinimą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w:t>
      </w:r>
      <w:r w:rsidR="006A3A1F">
        <w:rPr>
          <w:color w:val="000000" w:themeColor="text1"/>
          <w:szCs w:val="20"/>
        </w:rPr>
        <w:t>S</w:t>
      </w:r>
      <w:r w:rsidRPr="00E43C3A">
        <w:rPr>
          <w:color w:val="000000" w:themeColor="text1"/>
          <w:szCs w:val="20"/>
        </w:rPr>
        <w:t xml:space="preserve">utarties pasirašymo dienos. Sutarties įvykdymo užtikrinimo dydis – 5 proc. nuo sutarties vertės be PVM. </w:t>
      </w:r>
    </w:p>
    <w:p w14:paraId="3CF3A787" w14:textId="431DFB05" w:rsidR="00192821" w:rsidRPr="00753B3C" w:rsidRDefault="006A3A1F" w:rsidP="000604B9">
      <w:pPr>
        <w:pStyle w:val="ListParagraph"/>
        <w:widowControl w:val="0"/>
        <w:numPr>
          <w:ilvl w:val="1"/>
          <w:numId w:val="28"/>
        </w:numPr>
        <w:autoSpaceDE w:val="0"/>
        <w:adjustRightInd w:val="0"/>
        <w:ind w:left="55" w:firstLine="512"/>
        <w:jc w:val="both"/>
        <w:rPr>
          <w:color w:val="000000" w:themeColor="text1"/>
          <w:szCs w:val="20"/>
        </w:rPr>
      </w:pPr>
      <w:r>
        <w:rPr>
          <w:rFonts w:eastAsiaTheme="minorHAnsi" w:cstheme="minorHAnsi"/>
          <w:bCs/>
          <w:iCs/>
          <w:color w:val="000000" w:themeColor="text1"/>
        </w:rPr>
        <w:t>S</w:t>
      </w:r>
      <w:r w:rsidR="00192821" w:rsidRPr="00E43C3A">
        <w:rPr>
          <w:rFonts w:eastAsiaTheme="minorHAnsi" w:cstheme="minorHAnsi"/>
          <w:bCs/>
          <w:iCs/>
          <w:color w:val="000000" w:themeColor="text1"/>
        </w:rPr>
        <w:t>utarties sąlygos pateikiamos pirkimo sąlygų 4 priede „</w:t>
      </w:r>
      <w:r>
        <w:rPr>
          <w:rFonts w:eastAsiaTheme="minorHAnsi" w:cstheme="minorHAnsi"/>
          <w:bCs/>
          <w:iCs/>
          <w:color w:val="000000" w:themeColor="text1"/>
        </w:rPr>
        <w:t>S</w:t>
      </w:r>
      <w:r w:rsidR="00192821" w:rsidRPr="00E43C3A">
        <w:rPr>
          <w:rFonts w:eastAsiaTheme="minorHAnsi" w:cstheme="minorHAnsi"/>
          <w:bCs/>
          <w:iCs/>
          <w:color w:val="000000" w:themeColor="text1"/>
        </w:rPr>
        <w:t>utarties</w:t>
      </w:r>
      <w:r w:rsidR="00192821" w:rsidRPr="00753B3C">
        <w:rPr>
          <w:rFonts w:eastAsiaTheme="minorHAnsi" w:cstheme="minorHAnsi"/>
          <w:bCs/>
          <w:iCs/>
          <w:color w:val="000000" w:themeColor="text1"/>
        </w:rPr>
        <w:t xml:space="preserve"> projektas“. </w:t>
      </w:r>
      <w:r>
        <w:rPr>
          <w:rFonts w:eastAsiaTheme="minorHAnsi" w:cstheme="minorHAnsi"/>
          <w:bCs/>
          <w:iCs/>
          <w:color w:val="000000" w:themeColor="text1"/>
        </w:rPr>
        <w:t>S</w:t>
      </w:r>
      <w:r w:rsidR="00192821" w:rsidRPr="00753B3C">
        <w:rPr>
          <w:rFonts w:eastAsiaTheme="minorHAnsi" w:cstheme="minorHAnsi"/>
          <w:bCs/>
          <w:iCs/>
          <w:color w:val="000000" w:themeColor="text1"/>
        </w:rPr>
        <w:t xml:space="preserve">utarties įvykdymas užtikrinamas netesybomis (bauda). Baudos dydis 5 proc. </w:t>
      </w:r>
      <w:r w:rsidR="00192821" w:rsidRPr="00753B3C">
        <w:rPr>
          <w:color w:val="000000" w:themeColor="text1"/>
          <w:lang w:eastAsia="lt-LT"/>
        </w:rPr>
        <w:t>nuo pradinės sutarties kainos be PVM.</w:t>
      </w:r>
    </w:p>
    <w:p w14:paraId="6EC68C67" w14:textId="7A2768DA" w:rsidR="00540946" w:rsidRPr="006E3C0D" w:rsidRDefault="004C5CAA" w:rsidP="006E3C0D">
      <w:pPr>
        <w:autoSpaceDN/>
        <w:ind w:left="3240"/>
        <w:textAlignment w:val="auto"/>
        <w:rPr>
          <w:color w:val="000000" w:themeColor="text1"/>
          <w:lang w:eastAsia="lt-LT"/>
        </w:rPr>
      </w:pPr>
      <w:r w:rsidRPr="00753B3C">
        <w:rPr>
          <w:color w:val="000000" w:themeColor="text1"/>
          <w:lang w:eastAsia="lt-LT"/>
        </w:rPr>
        <w:t>_________________________</w:t>
      </w:r>
    </w:p>
    <w:p w14:paraId="30FEFB67" w14:textId="77777777" w:rsidR="00540946" w:rsidRDefault="00540946" w:rsidP="00372826">
      <w:pPr>
        <w:pStyle w:val="Tvarkostekstas"/>
        <w:numPr>
          <w:ilvl w:val="0"/>
          <w:numId w:val="0"/>
        </w:numPr>
        <w:spacing w:after="240"/>
        <w:rPr>
          <w:bCs/>
        </w:rPr>
      </w:pPr>
    </w:p>
    <w:sectPr w:rsidR="00540946" w:rsidSect="006C48BC">
      <w:footerReference w:type="default" r:id="rId18"/>
      <w:pgSz w:w="11906" w:h="16838"/>
      <w:pgMar w:top="709" w:right="851" w:bottom="28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69C0" w14:textId="77777777" w:rsidR="00195C24" w:rsidRDefault="00195C24">
      <w:r>
        <w:separator/>
      </w:r>
    </w:p>
  </w:endnote>
  <w:endnote w:type="continuationSeparator" w:id="0">
    <w:p w14:paraId="36E9579E" w14:textId="77777777" w:rsidR="00195C24" w:rsidRDefault="0019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4C84" w14:textId="77777777" w:rsidR="00195C24" w:rsidRDefault="00195C24">
      <w:r>
        <w:rPr>
          <w:color w:val="000000"/>
        </w:rPr>
        <w:separator/>
      </w:r>
    </w:p>
  </w:footnote>
  <w:footnote w:type="continuationSeparator" w:id="0">
    <w:p w14:paraId="70A322F1" w14:textId="77777777" w:rsidR="00195C24" w:rsidRDefault="00195C24">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9A"/>
    <w:rsid w:val="00024BDA"/>
    <w:rsid w:val="00024E9B"/>
    <w:rsid w:val="00025C11"/>
    <w:rsid w:val="00025E3D"/>
    <w:rsid w:val="00026929"/>
    <w:rsid w:val="00027039"/>
    <w:rsid w:val="00027463"/>
    <w:rsid w:val="000275CC"/>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D6E"/>
    <w:rsid w:val="00054D95"/>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54"/>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8A9"/>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4"/>
    <w:rsid w:val="000F344E"/>
    <w:rsid w:val="000F3538"/>
    <w:rsid w:val="000F4CC2"/>
    <w:rsid w:val="000F5615"/>
    <w:rsid w:val="000F57E2"/>
    <w:rsid w:val="000F5FE2"/>
    <w:rsid w:val="000F6142"/>
    <w:rsid w:val="000F6483"/>
    <w:rsid w:val="000F6B58"/>
    <w:rsid w:val="000F6CA3"/>
    <w:rsid w:val="000F761B"/>
    <w:rsid w:val="000F76B4"/>
    <w:rsid w:val="000F79FE"/>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22"/>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6D68"/>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190"/>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57D"/>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5C24"/>
    <w:rsid w:val="0019623F"/>
    <w:rsid w:val="00196588"/>
    <w:rsid w:val="00196FCA"/>
    <w:rsid w:val="0019700A"/>
    <w:rsid w:val="001972B0"/>
    <w:rsid w:val="00197468"/>
    <w:rsid w:val="00197662"/>
    <w:rsid w:val="00197798"/>
    <w:rsid w:val="00197990"/>
    <w:rsid w:val="001A02DB"/>
    <w:rsid w:val="001A061C"/>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0EC4"/>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1147"/>
    <w:rsid w:val="001C2159"/>
    <w:rsid w:val="001C2321"/>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C7B0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752"/>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5E27"/>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6C4"/>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824"/>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33"/>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4B6B"/>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2F9"/>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4F0"/>
    <w:rsid w:val="002B27B1"/>
    <w:rsid w:val="002B29D1"/>
    <w:rsid w:val="002B2F01"/>
    <w:rsid w:val="002B323C"/>
    <w:rsid w:val="002B367F"/>
    <w:rsid w:val="002B3C9F"/>
    <w:rsid w:val="002B3DB1"/>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7CA0"/>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2C17"/>
    <w:rsid w:val="003232A9"/>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2E9"/>
    <w:rsid w:val="003463DC"/>
    <w:rsid w:val="003464E1"/>
    <w:rsid w:val="003468B4"/>
    <w:rsid w:val="00346A88"/>
    <w:rsid w:val="00346C63"/>
    <w:rsid w:val="00347225"/>
    <w:rsid w:val="00347390"/>
    <w:rsid w:val="00347A83"/>
    <w:rsid w:val="00347D06"/>
    <w:rsid w:val="00350C6A"/>
    <w:rsid w:val="00350DA9"/>
    <w:rsid w:val="003514D4"/>
    <w:rsid w:val="00351876"/>
    <w:rsid w:val="00351B2E"/>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13"/>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8A"/>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166"/>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1BA1"/>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E9B"/>
    <w:rsid w:val="00460FBF"/>
    <w:rsid w:val="00461339"/>
    <w:rsid w:val="00461AA0"/>
    <w:rsid w:val="00461B6D"/>
    <w:rsid w:val="004623BA"/>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320"/>
    <w:rsid w:val="004674D0"/>
    <w:rsid w:val="00467F88"/>
    <w:rsid w:val="0047028A"/>
    <w:rsid w:val="004705B5"/>
    <w:rsid w:val="00470D15"/>
    <w:rsid w:val="00471813"/>
    <w:rsid w:val="00471AE2"/>
    <w:rsid w:val="00471E25"/>
    <w:rsid w:val="00471E70"/>
    <w:rsid w:val="004721F4"/>
    <w:rsid w:val="00472230"/>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8CF"/>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531"/>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5E0"/>
    <w:rsid w:val="004F47C7"/>
    <w:rsid w:val="004F49AE"/>
    <w:rsid w:val="004F4BE1"/>
    <w:rsid w:val="004F5138"/>
    <w:rsid w:val="004F52AC"/>
    <w:rsid w:val="004F52D7"/>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9A7"/>
    <w:rsid w:val="00523AF4"/>
    <w:rsid w:val="00524516"/>
    <w:rsid w:val="005245AC"/>
    <w:rsid w:val="005246DD"/>
    <w:rsid w:val="0052558E"/>
    <w:rsid w:val="00526E34"/>
    <w:rsid w:val="00526EF0"/>
    <w:rsid w:val="0052732E"/>
    <w:rsid w:val="005273D1"/>
    <w:rsid w:val="00527957"/>
    <w:rsid w:val="00530234"/>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13F"/>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2B"/>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1720"/>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8F8"/>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1F44"/>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288A"/>
    <w:rsid w:val="005F300E"/>
    <w:rsid w:val="005F3031"/>
    <w:rsid w:val="005F30FE"/>
    <w:rsid w:val="005F3941"/>
    <w:rsid w:val="005F4E23"/>
    <w:rsid w:val="005F50DA"/>
    <w:rsid w:val="005F6203"/>
    <w:rsid w:val="005F71B8"/>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0FE2"/>
    <w:rsid w:val="006116F9"/>
    <w:rsid w:val="00611731"/>
    <w:rsid w:val="0061265C"/>
    <w:rsid w:val="006129F9"/>
    <w:rsid w:val="00612A8E"/>
    <w:rsid w:val="00613786"/>
    <w:rsid w:val="006141DB"/>
    <w:rsid w:val="00614973"/>
    <w:rsid w:val="00614B11"/>
    <w:rsid w:val="00615551"/>
    <w:rsid w:val="00615668"/>
    <w:rsid w:val="00615904"/>
    <w:rsid w:val="006159FD"/>
    <w:rsid w:val="00615BAC"/>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AB"/>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811"/>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1F2"/>
    <w:rsid w:val="00646232"/>
    <w:rsid w:val="006462AC"/>
    <w:rsid w:val="006467B6"/>
    <w:rsid w:val="006469DD"/>
    <w:rsid w:val="00646A13"/>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77B"/>
    <w:rsid w:val="00667CB5"/>
    <w:rsid w:val="00670169"/>
    <w:rsid w:val="0067026F"/>
    <w:rsid w:val="0067063B"/>
    <w:rsid w:val="006708A4"/>
    <w:rsid w:val="00670942"/>
    <w:rsid w:val="00670C83"/>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A1F"/>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8D9"/>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C20"/>
    <w:rsid w:val="006C0F27"/>
    <w:rsid w:val="006C1689"/>
    <w:rsid w:val="006C2203"/>
    <w:rsid w:val="006C2416"/>
    <w:rsid w:val="006C2E4F"/>
    <w:rsid w:val="006C3229"/>
    <w:rsid w:val="006C3308"/>
    <w:rsid w:val="006C3919"/>
    <w:rsid w:val="006C3F58"/>
    <w:rsid w:val="006C451C"/>
    <w:rsid w:val="006C48BC"/>
    <w:rsid w:val="006C48F4"/>
    <w:rsid w:val="006C4BD6"/>
    <w:rsid w:val="006C573F"/>
    <w:rsid w:val="006C57AA"/>
    <w:rsid w:val="006C5F73"/>
    <w:rsid w:val="006C623F"/>
    <w:rsid w:val="006C63EB"/>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322"/>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3C0D"/>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09D"/>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32D"/>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0F37"/>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AF7"/>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776E5"/>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9E9"/>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6DC8"/>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57F"/>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5BF"/>
    <w:rsid w:val="007E17AE"/>
    <w:rsid w:val="007E2333"/>
    <w:rsid w:val="007E31EE"/>
    <w:rsid w:val="007E3460"/>
    <w:rsid w:val="007E36D0"/>
    <w:rsid w:val="007E391E"/>
    <w:rsid w:val="007E3F73"/>
    <w:rsid w:val="007E417D"/>
    <w:rsid w:val="007E45DF"/>
    <w:rsid w:val="007E4742"/>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4BB"/>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495"/>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1D9C"/>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95F"/>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22A"/>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287"/>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0FA7"/>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C0C"/>
    <w:rsid w:val="00985D92"/>
    <w:rsid w:val="009864D4"/>
    <w:rsid w:val="00986B86"/>
    <w:rsid w:val="009874D2"/>
    <w:rsid w:val="0098781C"/>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6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E19"/>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41A"/>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1B2"/>
    <w:rsid w:val="00A876C7"/>
    <w:rsid w:val="00A903FE"/>
    <w:rsid w:val="00A90497"/>
    <w:rsid w:val="00A905DC"/>
    <w:rsid w:val="00A90766"/>
    <w:rsid w:val="00A907AE"/>
    <w:rsid w:val="00A90809"/>
    <w:rsid w:val="00A90D4C"/>
    <w:rsid w:val="00A9112B"/>
    <w:rsid w:val="00A91273"/>
    <w:rsid w:val="00A91629"/>
    <w:rsid w:val="00A91666"/>
    <w:rsid w:val="00A91DD0"/>
    <w:rsid w:val="00A91F8C"/>
    <w:rsid w:val="00A927AE"/>
    <w:rsid w:val="00A934F6"/>
    <w:rsid w:val="00A93C7E"/>
    <w:rsid w:val="00A93DBC"/>
    <w:rsid w:val="00A93DC9"/>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7BA"/>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5D8"/>
    <w:rsid w:val="00B2195F"/>
    <w:rsid w:val="00B219BE"/>
    <w:rsid w:val="00B21CB6"/>
    <w:rsid w:val="00B2218E"/>
    <w:rsid w:val="00B22818"/>
    <w:rsid w:val="00B2289A"/>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36E9D"/>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285"/>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70C"/>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AF7"/>
    <w:rsid w:val="00BA0F1D"/>
    <w:rsid w:val="00BA0F80"/>
    <w:rsid w:val="00BA1172"/>
    <w:rsid w:val="00BA11E9"/>
    <w:rsid w:val="00BA14B8"/>
    <w:rsid w:val="00BA14D7"/>
    <w:rsid w:val="00BA1545"/>
    <w:rsid w:val="00BA1577"/>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B5D"/>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57A"/>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89"/>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2BA1"/>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012"/>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34C"/>
    <w:rsid w:val="00CC1F0F"/>
    <w:rsid w:val="00CC200C"/>
    <w:rsid w:val="00CC20EA"/>
    <w:rsid w:val="00CC23FD"/>
    <w:rsid w:val="00CC2991"/>
    <w:rsid w:val="00CC2CB5"/>
    <w:rsid w:val="00CC31E8"/>
    <w:rsid w:val="00CC387E"/>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2466"/>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665"/>
    <w:rsid w:val="00D1570C"/>
    <w:rsid w:val="00D15889"/>
    <w:rsid w:val="00D159A9"/>
    <w:rsid w:val="00D16013"/>
    <w:rsid w:val="00D162AB"/>
    <w:rsid w:val="00D166DC"/>
    <w:rsid w:val="00D16775"/>
    <w:rsid w:val="00D1692B"/>
    <w:rsid w:val="00D169C5"/>
    <w:rsid w:val="00D16F48"/>
    <w:rsid w:val="00D171BC"/>
    <w:rsid w:val="00D17394"/>
    <w:rsid w:val="00D174DF"/>
    <w:rsid w:val="00D17C34"/>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36F2"/>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158"/>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B66"/>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401"/>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B38"/>
    <w:rsid w:val="00D90C03"/>
    <w:rsid w:val="00D90CDA"/>
    <w:rsid w:val="00D91349"/>
    <w:rsid w:val="00D91368"/>
    <w:rsid w:val="00D91511"/>
    <w:rsid w:val="00D91626"/>
    <w:rsid w:val="00D91968"/>
    <w:rsid w:val="00D92275"/>
    <w:rsid w:val="00D928DB"/>
    <w:rsid w:val="00D933A1"/>
    <w:rsid w:val="00D93631"/>
    <w:rsid w:val="00D93848"/>
    <w:rsid w:val="00D939AB"/>
    <w:rsid w:val="00D93C88"/>
    <w:rsid w:val="00D94143"/>
    <w:rsid w:val="00D943C9"/>
    <w:rsid w:val="00D94D86"/>
    <w:rsid w:val="00D94DFD"/>
    <w:rsid w:val="00D94F39"/>
    <w:rsid w:val="00D95D9A"/>
    <w:rsid w:val="00D9659E"/>
    <w:rsid w:val="00D96AB0"/>
    <w:rsid w:val="00D96B95"/>
    <w:rsid w:val="00D974C5"/>
    <w:rsid w:val="00D978EA"/>
    <w:rsid w:val="00D97932"/>
    <w:rsid w:val="00D97B51"/>
    <w:rsid w:val="00DA0063"/>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3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20"/>
    <w:rsid w:val="00DD38E8"/>
    <w:rsid w:val="00DD469E"/>
    <w:rsid w:val="00DD47E7"/>
    <w:rsid w:val="00DD4F61"/>
    <w:rsid w:val="00DD5414"/>
    <w:rsid w:val="00DD5607"/>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EA5"/>
    <w:rsid w:val="00DF796D"/>
    <w:rsid w:val="00DF7A33"/>
    <w:rsid w:val="00DF7BCE"/>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768"/>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E7C"/>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7F5"/>
    <w:rsid w:val="00F42BCB"/>
    <w:rsid w:val="00F42C8C"/>
    <w:rsid w:val="00F42DC1"/>
    <w:rsid w:val="00F435E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EC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11864</Words>
  <Characters>67628</Characters>
  <Application>Microsoft Office Word</Application>
  <DocSecurity>0</DocSecurity>
  <Lines>563</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79334</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10</cp:revision>
  <cp:lastPrinted>2025-03-25T08:47:00Z</cp:lastPrinted>
  <dcterms:created xsi:type="dcterms:W3CDTF">2025-09-03T12:23:00Z</dcterms:created>
  <dcterms:modified xsi:type="dcterms:W3CDTF">2025-09-05T06:39:00Z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