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53F34" w14:textId="42D4B030" w:rsidR="00A27E2D" w:rsidRPr="00D95297" w:rsidRDefault="001A448D" w:rsidP="001A448D">
      <w:pPr>
        <w:jc w:val="right"/>
      </w:pPr>
      <w:bookmarkStart w:id="0" w:name="_Hlk114564768"/>
      <w:bookmarkStart w:id="1" w:name="_Hlk114496940"/>
      <w:r w:rsidRPr="00D95297">
        <w:t xml:space="preserve">Specialiųjų pirkimo sąlygų 6 priedas </w:t>
      </w:r>
    </w:p>
    <w:p w14:paraId="7477F7C1" w14:textId="77777777" w:rsidR="001A448D" w:rsidRDefault="001A448D" w:rsidP="001A448D">
      <w:pPr>
        <w:jc w:val="right"/>
        <w:rPr>
          <w:b/>
        </w:rPr>
      </w:pPr>
    </w:p>
    <w:p w14:paraId="0E2A4901" w14:textId="78C2B34B" w:rsidR="00AA03CA" w:rsidRPr="00A27E2D" w:rsidRDefault="00AA03CA" w:rsidP="0020011B">
      <w:pPr>
        <w:jc w:val="center"/>
        <w:rPr>
          <w:b/>
        </w:rPr>
      </w:pPr>
      <w:r w:rsidRPr="00A27E2D">
        <w:rPr>
          <w:b/>
        </w:rPr>
        <w:t>EKONOMIŠKAI NAUDINGIAUSIO (KAINOS IR KOKYBĖS SANTYKIO) PASIŪLYMO VERTINIMO KRITERIJAI IR TVARKA</w:t>
      </w:r>
    </w:p>
    <w:p w14:paraId="7479F5C9" w14:textId="77777777" w:rsidR="0020011B" w:rsidRPr="00A27E2D" w:rsidRDefault="0020011B" w:rsidP="0020011B">
      <w:pPr>
        <w:jc w:val="center"/>
      </w:pPr>
    </w:p>
    <w:p w14:paraId="073F6DD4" w14:textId="77777777" w:rsidR="00AA03CA" w:rsidRPr="00A27E2D" w:rsidRDefault="00AA03CA" w:rsidP="00DD43D9">
      <w:pPr>
        <w:widowControl w:val="0"/>
        <w:pBdr>
          <w:top w:val="nil"/>
          <w:left w:val="nil"/>
          <w:bottom w:val="nil"/>
          <w:right w:val="nil"/>
          <w:between w:val="nil"/>
        </w:pBdr>
        <w:ind w:firstLine="851"/>
        <w:jc w:val="both"/>
      </w:pPr>
      <w:r w:rsidRPr="00A27E2D">
        <w:t xml:space="preserve">1. Pasiūlymuose nurodytos kainos bus vertinamos eurais. Jeigu pasiūlyme kaina nurodyta užsienio valiuta, ji bus perskaičiuota eurais pagal Lietuvos banko nustatytą ir paskelbtą euro ir užsienio valiutos santykį paskutinę pasiūlymų pateikimo dieną. </w:t>
      </w:r>
    </w:p>
    <w:p w14:paraId="276515EA" w14:textId="77777777" w:rsidR="00AA03CA" w:rsidRPr="00A27E2D" w:rsidRDefault="00AA03CA" w:rsidP="00DD43D9">
      <w:pPr>
        <w:widowControl w:val="0"/>
        <w:pBdr>
          <w:top w:val="nil"/>
          <w:left w:val="nil"/>
          <w:bottom w:val="nil"/>
          <w:right w:val="nil"/>
          <w:between w:val="nil"/>
        </w:pBdr>
        <w:ind w:firstLine="851"/>
        <w:jc w:val="both"/>
      </w:pPr>
      <w:r w:rsidRPr="00A27E2D">
        <w:t xml:space="preserve">2. Jei pirkime dalyvaus Europos Sąjungos tiekėjai, kuriems taikomas 0 proc. PVM, tačiau perkančioji organizacija turės PVM pati sumokėti į valstybės biudžetą, perkančioji organizacija prie Europos Sąjungos tiekėjų pasiūlymų vertinimo metu pridės tik vertinimo tikslais naudojamą PVM, kuris į pirkimo sutartį nebus perkeliamas. </w:t>
      </w:r>
    </w:p>
    <w:p w14:paraId="6C0678D0" w14:textId="77777777" w:rsidR="00AA03CA" w:rsidRPr="00A27E2D" w:rsidRDefault="00AA03CA" w:rsidP="00DD43D9">
      <w:pPr>
        <w:widowControl w:val="0"/>
        <w:pBdr>
          <w:top w:val="nil"/>
          <w:left w:val="nil"/>
          <w:bottom w:val="nil"/>
          <w:right w:val="nil"/>
          <w:between w:val="nil"/>
        </w:pBdr>
        <w:ind w:firstLine="851"/>
        <w:jc w:val="both"/>
      </w:pPr>
      <w:r w:rsidRPr="00A27E2D">
        <w:t>3. Perkančiosios organizacijos neatmesti pasiūlymai vertinami ir tarpusavyje palyginami pagal ekonomiškai naudingiausio pasiūlymo kriterijų, t. y. pagal kainos ir kokybės santykį.</w:t>
      </w:r>
    </w:p>
    <w:p w14:paraId="4F55B65A" w14:textId="22D1CE85" w:rsidR="00AA03CA" w:rsidRPr="00A27E2D" w:rsidRDefault="00AA03CA" w:rsidP="00DD43D9">
      <w:pPr>
        <w:widowControl w:val="0"/>
        <w:pBdr>
          <w:top w:val="nil"/>
          <w:left w:val="nil"/>
          <w:bottom w:val="nil"/>
          <w:right w:val="nil"/>
          <w:between w:val="nil"/>
        </w:pBdr>
        <w:ind w:firstLine="851"/>
        <w:jc w:val="both"/>
      </w:pPr>
      <w:r w:rsidRPr="00A27E2D">
        <w:t>4.</w:t>
      </w:r>
      <w:r w:rsidRPr="00A27E2D">
        <w:rPr>
          <w:b/>
        </w:rPr>
        <w:t xml:space="preserve"> </w:t>
      </w:r>
      <w:r w:rsidRPr="00A27E2D">
        <w:t>Laimėjusiu bus pripažintas pasiūlymas, kuris gaus daugiausia ekonominio naudingumo balų pagal toliau nustatytus pasiūlymų vertinimo kriterijus ir sąlygas.</w:t>
      </w:r>
    </w:p>
    <w:p w14:paraId="26417F07" w14:textId="2FEC8A89" w:rsidR="00AA03CA" w:rsidRPr="00A27E2D" w:rsidRDefault="00AA03CA" w:rsidP="00DD43D9">
      <w:pPr>
        <w:pBdr>
          <w:top w:val="nil"/>
          <w:left w:val="nil"/>
          <w:bottom w:val="nil"/>
          <w:right w:val="nil"/>
          <w:between w:val="nil"/>
        </w:pBdr>
        <w:ind w:firstLine="851"/>
        <w:jc w:val="both"/>
      </w:pPr>
      <w:r w:rsidRPr="00A27E2D">
        <w:t xml:space="preserve">5. Nustatomas maksimalus bendras balų skaičius - 100 balų. Kriterijų tarpusavio santykis bendrame bale yra nustatomas pagal šiuos lyginamuosius svorius: </w:t>
      </w:r>
    </w:p>
    <w:p w14:paraId="08411AA2" w14:textId="6E9CBD00" w:rsidR="00AA03CA" w:rsidRPr="00A27E2D" w:rsidRDefault="00AA03CA" w:rsidP="00DD43D9">
      <w:pPr>
        <w:pBdr>
          <w:top w:val="nil"/>
          <w:left w:val="nil"/>
          <w:bottom w:val="nil"/>
          <w:right w:val="nil"/>
          <w:between w:val="nil"/>
        </w:pBdr>
        <w:jc w:val="both"/>
      </w:pPr>
      <w:r w:rsidRPr="00A27E2D">
        <w:tab/>
        <w:t xml:space="preserve">5.1. Pirmas kriterijus - </w:t>
      </w:r>
      <w:r w:rsidRPr="00A27E2D">
        <w:rPr>
          <w:b/>
          <w:i/>
        </w:rPr>
        <w:t>Kaina</w:t>
      </w:r>
      <w:r w:rsidRPr="00A27E2D">
        <w:t xml:space="preserve"> (</w:t>
      </w:r>
      <w:r w:rsidR="00EB6139" w:rsidRPr="00A27E2D">
        <w:t>K</w:t>
      </w:r>
      <w:r w:rsidRPr="00A27E2D">
        <w:t>). Kriterijaus lyginamasis svoris ekonominio naudingumo įvertinime (X) yra 60 balų.</w:t>
      </w:r>
    </w:p>
    <w:p w14:paraId="15B3B4C7" w14:textId="06AA9DA1" w:rsidR="00AA03CA" w:rsidRPr="00A27E2D" w:rsidRDefault="00AA03CA" w:rsidP="00DD43D9">
      <w:pPr>
        <w:pBdr>
          <w:top w:val="nil"/>
          <w:left w:val="nil"/>
          <w:bottom w:val="nil"/>
          <w:right w:val="nil"/>
          <w:between w:val="nil"/>
        </w:pBdr>
        <w:ind w:firstLine="709"/>
        <w:jc w:val="both"/>
      </w:pPr>
      <w:r w:rsidRPr="00A27E2D">
        <w:t xml:space="preserve">5.2. Antras kriterijus – </w:t>
      </w:r>
      <w:r w:rsidRPr="00A27E2D">
        <w:rPr>
          <w:b/>
          <w:i/>
        </w:rPr>
        <w:t>Techniniai privalumai</w:t>
      </w:r>
      <w:r w:rsidRPr="00A27E2D">
        <w:t xml:space="preserve"> (T). Kriterijaus lyginamasis svoris ekonominio naudingumo įvertinime (Y) yra 40 balų.</w:t>
      </w:r>
    </w:p>
    <w:p w14:paraId="2A2B057E" w14:textId="33CB369C" w:rsidR="00AA03CA" w:rsidRPr="00A27E2D" w:rsidRDefault="00AA03CA" w:rsidP="00DD43D9">
      <w:pPr>
        <w:widowControl w:val="0"/>
        <w:pBdr>
          <w:top w:val="nil"/>
          <w:left w:val="nil"/>
          <w:bottom w:val="nil"/>
          <w:right w:val="nil"/>
          <w:between w:val="nil"/>
        </w:pBdr>
        <w:ind w:firstLine="709"/>
      </w:pPr>
      <w:r w:rsidRPr="00A27E2D">
        <w:t>Perkančioji organizacija pasiūlymus vertins pagal kainos ir kokybės santykio kriterij</w:t>
      </w:r>
      <w:r w:rsidR="004E0FA4" w:rsidRPr="00A27E2D">
        <w:t>us</w:t>
      </w:r>
      <w:r w:rsidRPr="00A27E2D">
        <w:t>. Numatytų vertinimo kriterijų lyginamieji svoriai:</w:t>
      </w:r>
    </w:p>
    <w:p w14:paraId="6752149C" w14:textId="5A6DCA88" w:rsidR="009538EB" w:rsidRPr="00A27E2D" w:rsidRDefault="009538EB" w:rsidP="00DD43D9">
      <w:pPr>
        <w:shd w:val="clear" w:color="auto" w:fill="FFFFFF"/>
        <w:ind w:left="-142" w:firstLine="709"/>
        <w:jc w:val="both"/>
        <w:rPr>
          <w:sz w:val="22"/>
          <w:szCs w:val="22"/>
        </w:rPr>
      </w:pPr>
    </w:p>
    <w:tbl>
      <w:tblPr>
        <w:tblW w:w="50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3905"/>
        <w:gridCol w:w="1605"/>
        <w:gridCol w:w="1320"/>
        <w:gridCol w:w="3285"/>
      </w:tblGrid>
      <w:tr w:rsidR="00A27E2D" w:rsidRPr="00A27E2D" w14:paraId="54141123" w14:textId="77777777" w:rsidTr="00AC795F">
        <w:trPr>
          <w:trHeight w:val="846"/>
          <w:tblHeader/>
        </w:trPr>
        <w:tc>
          <w:tcPr>
            <w:tcW w:w="2837" w:type="pct"/>
            <w:gridSpan w:val="3"/>
            <w:shd w:val="clear" w:color="auto" w:fill="D9D9D9"/>
            <w:vAlign w:val="center"/>
          </w:tcPr>
          <w:p w14:paraId="52EDA3D3" w14:textId="77777777" w:rsidR="009538EB" w:rsidRPr="00A27E2D" w:rsidRDefault="009538EB" w:rsidP="00DD43D9">
            <w:pPr>
              <w:jc w:val="center"/>
              <w:rPr>
                <w:b/>
                <w:bCs/>
                <w:sz w:val="22"/>
                <w:szCs w:val="22"/>
              </w:rPr>
            </w:pPr>
            <w:r w:rsidRPr="00A27E2D">
              <w:rPr>
                <w:b/>
                <w:sz w:val="22"/>
                <w:szCs w:val="22"/>
              </w:rPr>
              <w:t>Vertinimo kriterijai</w:t>
            </w:r>
          </w:p>
        </w:tc>
        <w:tc>
          <w:tcPr>
            <w:tcW w:w="620" w:type="pct"/>
            <w:shd w:val="clear" w:color="auto" w:fill="D9D9D9"/>
            <w:vAlign w:val="center"/>
          </w:tcPr>
          <w:p w14:paraId="01B2B8DD" w14:textId="77777777" w:rsidR="009538EB" w:rsidRPr="00A27E2D" w:rsidRDefault="009538EB" w:rsidP="00DD43D9">
            <w:pPr>
              <w:ind w:left="-14" w:right="-90"/>
              <w:jc w:val="center"/>
              <w:rPr>
                <w:b/>
                <w:sz w:val="22"/>
                <w:szCs w:val="22"/>
              </w:rPr>
            </w:pPr>
            <w:r w:rsidRPr="00A27E2D">
              <w:rPr>
                <w:b/>
                <w:sz w:val="22"/>
                <w:szCs w:val="22"/>
              </w:rPr>
              <w:t>Parametro lyginamasis svoris</w:t>
            </w:r>
          </w:p>
        </w:tc>
        <w:tc>
          <w:tcPr>
            <w:tcW w:w="1543" w:type="pct"/>
            <w:shd w:val="clear" w:color="auto" w:fill="D9D9D9"/>
            <w:vAlign w:val="center"/>
          </w:tcPr>
          <w:p w14:paraId="406A9648" w14:textId="77777777" w:rsidR="009538EB" w:rsidRPr="00A27E2D" w:rsidRDefault="009538EB" w:rsidP="00DD43D9">
            <w:pPr>
              <w:jc w:val="center"/>
              <w:rPr>
                <w:b/>
                <w:sz w:val="22"/>
                <w:szCs w:val="22"/>
              </w:rPr>
            </w:pPr>
            <w:r w:rsidRPr="00A27E2D">
              <w:rPr>
                <w:b/>
                <w:sz w:val="22"/>
                <w:szCs w:val="22"/>
              </w:rPr>
              <w:t>Lyginamasis svoris ekonominio naudingumo įvertinime</w:t>
            </w:r>
          </w:p>
        </w:tc>
      </w:tr>
      <w:tr w:rsidR="00A27E2D" w:rsidRPr="00A27E2D" w14:paraId="06AC9C65" w14:textId="77777777" w:rsidTr="00AC795F">
        <w:trPr>
          <w:tblHeader/>
        </w:trPr>
        <w:tc>
          <w:tcPr>
            <w:tcW w:w="3457" w:type="pct"/>
            <w:gridSpan w:val="4"/>
            <w:shd w:val="clear" w:color="auto" w:fill="D9D9D9"/>
            <w:vAlign w:val="center"/>
          </w:tcPr>
          <w:p w14:paraId="20E25969" w14:textId="77777777" w:rsidR="009538EB" w:rsidRPr="00A27E2D" w:rsidRDefault="009538EB" w:rsidP="00DD43D9">
            <w:pPr>
              <w:rPr>
                <w:b/>
                <w:bCs/>
                <w:sz w:val="22"/>
                <w:szCs w:val="22"/>
              </w:rPr>
            </w:pPr>
            <w:r w:rsidRPr="00A27E2D">
              <w:rPr>
                <w:b/>
                <w:sz w:val="22"/>
                <w:szCs w:val="22"/>
              </w:rPr>
              <w:t>Kaina (K)</w:t>
            </w:r>
          </w:p>
        </w:tc>
        <w:tc>
          <w:tcPr>
            <w:tcW w:w="1543" w:type="pct"/>
            <w:shd w:val="clear" w:color="auto" w:fill="D9D9D9"/>
          </w:tcPr>
          <w:p w14:paraId="268CE7FD" w14:textId="77777777" w:rsidR="009538EB" w:rsidRPr="00A27E2D" w:rsidRDefault="009538EB" w:rsidP="00DD43D9">
            <w:pPr>
              <w:jc w:val="center"/>
              <w:rPr>
                <w:b/>
                <w:bCs/>
                <w:sz w:val="22"/>
                <w:szCs w:val="22"/>
              </w:rPr>
            </w:pPr>
            <w:r w:rsidRPr="00A27E2D">
              <w:rPr>
                <w:b/>
                <w:sz w:val="22"/>
                <w:szCs w:val="22"/>
              </w:rPr>
              <w:t>X=60</w:t>
            </w:r>
          </w:p>
        </w:tc>
      </w:tr>
      <w:tr w:rsidR="00A27E2D" w:rsidRPr="00A27E2D" w14:paraId="4049E3AC" w14:textId="77777777" w:rsidTr="00AC795F">
        <w:trPr>
          <w:tblHeader/>
        </w:trPr>
        <w:tc>
          <w:tcPr>
            <w:tcW w:w="3457" w:type="pct"/>
            <w:gridSpan w:val="4"/>
            <w:tcBorders>
              <w:bottom w:val="single" w:sz="4" w:space="0" w:color="auto"/>
            </w:tcBorders>
            <w:shd w:val="clear" w:color="auto" w:fill="D9D9D9"/>
            <w:vAlign w:val="center"/>
          </w:tcPr>
          <w:p w14:paraId="26F88D1C" w14:textId="08DE161A" w:rsidR="009538EB" w:rsidRPr="00A27E2D" w:rsidRDefault="009538EB" w:rsidP="00DD43D9">
            <w:pPr>
              <w:rPr>
                <w:b/>
                <w:bCs/>
                <w:sz w:val="22"/>
                <w:szCs w:val="22"/>
              </w:rPr>
            </w:pPr>
            <w:r w:rsidRPr="00A27E2D">
              <w:rPr>
                <w:b/>
                <w:sz w:val="22"/>
                <w:szCs w:val="22"/>
              </w:rPr>
              <w:t>Techniniai pr</w:t>
            </w:r>
            <w:r w:rsidR="00EB6139" w:rsidRPr="00A27E2D">
              <w:rPr>
                <w:b/>
                <w:sz w:val="22"/>
                <w:szCs w:val="22"/>
              </w:rPr>
              <w:t>ivalumai</w:t>
            </w:r>
            <w:r w:rsidRPr="00A27E2D">
              <w:rPr>
                <w:b/>
                <w:sz w:val="22"/>
                <w:szCs w:val="22"/>
              </w:rPr>
              <w:t xml:space="preserve"> (T)</w:t>
            </w:r>
          </w:p>
        </w:tc>
        <w:tc>
          <w:tcPr>
            <w:tcW w:w="1543" w:type="pct"/>
            <w:tcBorders>
              <w:bottom w:val="single" w:sz="4" w:space="0" w:color="auto"/>
            </w:tcBorders>
            <w:shd w:val="clear" w:color="auto" w:fill="D9D9D9"/>
          </w:tcPr>
          <w:p w14:paraId="284A2A6A" w14:textId="77777777" w:rsidR="009538EB" w:rsidRPr="00A27E2D" w:rsidRDefault="009538EB" w:rsidP="00DD43D9">
            <w:pPr>
              <w:jc w:val="center"/>
              <w:rPr>
                <w:b/>
                <w:bCs/>
                <w:sz w:val="22"/>
                <w:szCs w:val="22"/>
              </w:rPr>
            </w:pPr>
            <w:r w:rsidRPr="00A27E2D">
              <w:rPr>
                <w:b/>
                <w:sz w:val="22"/>
                <w:szCs w:val="22"/>
              </w:rPr>
              <w:t>Y=40</w:t>
            </w:r>
          </w:p>
        </w:tc>
      </w:tr>
      <w:tr w:rsidR="00A27E2D" w:rsidRPr="00A27E2D" w14:paraId="72352898" w14:textId="77777777" w:rsidTr="00AC795F">
        <w:trPr>
          <w:tblHeader/>
        </w:trPr>
        <w:tc>
          <w:tcPr>
            <w:tcW w:w="249" w:type="pct"/>
          </w:tcPr>
          <w:p w14:paraId="6DB01C0B" w14:textId="77777777" w:rsidR="009538EB" w:rsidRPr="00A27E2D" w:rsidRDefault="009538EB" w:rsidP="00DD43D9">
            <w:pPr>
              <w:ind w:right="-81"/>
              <w:jc w:val="center"/>
              <w:rPr>
                <w:b/>
                <w:sz w:val="22"/>
                <w:szCs w:val="22"/>
              </w:rPr>
            </w:pPr>
            <w:r w:rsidRPr="00A27E2D">
              <w:rPr>
                <w:b/>
                <w:sz w:val="22"/>
                <w:szCs w:val="22"/>
              </w:rPr>
              <w:t>Nr.</w:t>
            </w:r>
          </w:p>
        </w:tc>
        <w:tc>
          <w:tcPr>
            <w:tcW w:w="1834" w:type="pct"/>
          </w:tcPr>
          <w:p w14:paraId="1830B4AE" w14:textId="77777777" w:rsidR="009538EB" w:rsidRPr="00A27E2D" w:rsidRDefault="009538EB" w:rsidP="00DD43D9">
            <w:pPr>
              <w:jc w:val="center"/>
              <w:rPr>
                <w:b/>
                <w:sz w:val="22"/>
                <w:szCs w:val="22"/>
              </w:rPr>
            </w:pPr>
            <w:r w:rsidRPr="00A27E2D">
              <w:rPr>
                <w:b/>
                <w:sz w:val="22"/>
                <w:szCs w:val="22"/>
              </w:rPr>
              <w:t>Parametrai</w:t>
            </w:r>
          </w:p>
        </w:tc>
        <w:tc>
          <w:tcPr>
            <w:tcW w:w="1374" w:type="pct"/>
            <w:gridSpan w:val="2"/>
            <w:vAlign w:val="center"/>
          </w:tcPr>
          <w:p w14:paraId="1F90333B" w14:textId="77777777" w:rsidR="009538EB" w:rsidRPr="00A27E2D" w:rsidRDefault="009538EB" w:rsidP="00DD43D9">
            <w:pPr>
              <w:ind w:right="-250" w:hanging="108"/>
              <w:jc w:val="center"/>
              <w:rPr>
                <w:b/>
                <w:sz w:val="22"/>
                <w:szCs w:val="22"/>
              </w:rPr>
            </w:pPr>
            <w:r w:rsidRPr="00A27E2D">
              <w:rPr>
                <w:b/>
                <w:sz w:val="22"/>
                <w:szCs w:val="22"/>
              </w:rPr>
              <w:t>Vertinimo būdas</w:t>
            </w:r>
          </w:p>
        </w:tc>
        <w:tc>
          <w:tcPr>
            <w:tcW w:w="1543" w:type="pct"/>
          </w:tcPr>
          <w:p w14:paraId="7A0A24DD" w14:textId="77777777" w:rsidR="009538EB" w:rsidRPr="00A27E2D" w:rsidRDefault="009538EB" w:rsidP="00DD43D9">
            <w:pPr>
              <w:jc w:val="center"/>
              <w:rPr>
                <w:b/>
                <w:sz w:val="22"/>
                <w:szCs w:val="22"/>
              </w:rPr>
            </w:pPr>
          </w:p>
        </w:tc>
      </w:tr>
      <w:tr w:rsidR="00A27E2D" w:rsidRPr="00A27E2D" w14:paraId="79608D65" w14:textId="77777777" w:rsidTr="00AC795F">
        <w:tc>
          <w:tcPr>
            <w:tcW w:w="249" w:type="pct"/>
          </w:tcPr>
          <w:p w14:paraId="1D8CD4D3" w14:textId="25FC44F3" w:rsidR="00963E93" w:rsidRPr="00A27E2D" w:rsidRDefault="00963E93" w:rsidP="00DD43D9">
            <w:pPr>
              <w:jc w:val="center"/>
              <w:rPr>
                <w:sz w:val="22"/>
                <w:szCs w:val="22"/>
              </w:rPr>
            </w:pPr>
            <w:r w:rsidRPr="00A27E2D">
              <w:rPr>
                <w:sz w:val="22"/>
                <w:szCs w:val="22"/>
              </w:rPr>
              <w:t>T</w:t>
            </w:r>
            <w:r w:rsidR="00EA1479" w:rsidRPr="00A27E2D">
              <w:rPr>
                <w:sz w:val="22"/>
                <w:szCs w:val="22"/>
                <w:vertAlign w:val="subscript"/>
              </w:rPr>
              <w:t>1</w:t>
            </w:r>
          </w:p>
        </w:tc>
        <w:tc>
          <w:tcPr>
            <w:tcW w:w="1834" w:type="pct"/>
          </w:tcPr>
          <w:p w14:paraId="03E350AF" w14:textId="69D41ECE" w:rsidR="00AE722E" w:rsidRPr="00CC04E7" w:rsidRDefault="00AE722E" w:rsidP="00DD43D9">
            <w:pPr>
              <w:ind w:left="31" w:right="-108"/>
              <w:jc w:val="both"/>
              <w:rPr>
                <w:sz w:val="22"/>
                <w:szCs w:val="22"/>
              </w:rPr>
            </w:pPr>
            <w:r w:rsidRPr="00CC04E7">
              <w:rPr>
                <w:sz w:val="22"/>
                <w:szCs w:val="22"/>
              </w:rPr>
              <w:t>Maksimali stalo apkrova ≥ 370 kg</w:t>
            </w:r>
          </w:p>
          <w:p w14:paraId="3ECD5920" w14:textId="3B2A3A07" w:rsidR="00AE722E" w:rsidRPr="00CC04E7" w:rsidRDefault="00AE722E" w:rsidP="00DD43D9">
            <w:pPr>
              <w:ind w:left="31" w:right="-108"/>
              <w:jc w:val="both"/>
              <w:rPr>
                <w:sz w:val="22"/>
                <w:szCs w:val="22"/>
              </w:rPr>
            </w:pPr>
          </w:p>
        </w:tc>
        <w:tc>
          <w:tcPr>
            <w:tcW w:w="754" w:type="pct"/>
          </w:tcPr>
          <w:p w14:paraId="66E0FC7C" w14:textId="2911FB28" w:rsidR="00963E93" w:rsidRPr="00A27E2D" w:rsidRDefault="007A1868" w:rsidP="00DD43D9">
            <w:pPr>
              <w:jc w:val="center"/>
              <w:rPr>
                <w:sz w:val="22"/>
                <w:szCs w:val="22"/>
              </w:rPr>
            </w:pPr>
            <w:r w:rsidRPr="00A27E2D">
              <w:rPr>
                <w:sz w:val="22"/>
                <w:szCs w:val="22"/>
              </w:rPr>
              <w:t>Statinis: (yra/nėra)</w:t>
            </w:r>
          </w:p>
        </w:tc>
        <w:tc>
          <w:tcPr>
            <w:tcW w:w="620" w:type="pct"/>
          </w:tcPr>
          <w:p w14:paraId="60431569" w14:textId="6FB2BE4B" w:rsidR="00963E93" w:rsidRPr="00A27E2D" w:rsidRDefault="00963E93" w:rsidP="00DD43D9">
            <w:pPr>
              <w:ind w:left="522" w:hanging="491"/>
              <w:jc w:val="center"/>
              <w:rPr>
                <w:sz w:val="22"/>
                <w:szCs w:val="22"/>
              </w:rPr>
            </w:pPr>
            <w:r w:rsidRPr="00A27E2D">
              <w:rPr>
                <w:sz w:val="22"/>
                <w:szCs w:val="22"/>
              </w:rPr>
              <w:t>L</w:t>
            </w:r>
            <w:r w:rsidR="000234E0" w:rsidRPr="00A27E2D">
              <w:rPr>
                <w:sz w:val="22"/>
                <w:szCs w:val="22"/>
                <w:vertAlign w:val="subscript"/>
              </w:rPr>
              <w:t>1</w:t>
            </w:r>
            <w:r w:rsidRPr="00A27E2D">
              <w:rPr>
                <w:sz w:val="22"/>
                <w:szCs w:val="22"/>
              </w:rPr>
              <w:t xml:space="preserve"> = 0,</w:t>
            </w:r>
            <w:r w:rsidR="00D740E0" w:rsidRPr="00A27E2D">
              <w:rPr>
                <w:sz w:val="22"/>
                <w:szCs w:val="22"/>
              </w:rPr>
              <w:t>20</w:t>
            </w:r>
          </w:p>
        </w:tc>
        <w:tc>
          <w:tcPr>
            <w:tcW w:w="1543" w:type="pct"/>
          </w:tcPr>
          <w:p w14:paraId="08993A5C" w14:textId="13A4E217" w:rsidR="00963E93" w:rsidRPr="00A27E2D" w:rsidRDefault="00615D01" w:rsidP="00DD43D9">
            <w:pPr>
              <w:jc w:val="center"/>
              <w:rPr>
                <w:sz w:val="22"/>
                <w:szCs w:val="22"/>
                <w:lang w:val="pt-PT"/>
              </w:rPr>
            </w:pPr>
            <w:r w:rsidRPr="00A27E2D">
              <w:rPr>
                <w:bCs/>
                <w:sz w:val="22"/>
                <w:szCs w:val="22"/>
                <w:lang w:val="it-IT"/>
              </w:rPr>
              <w:t>Įrašyti parametro vertę: yra / nėra</w:t>
            </w:r>
            <w:r w:rsidR="00342C52" w:rsidRPr="00A27E2D">
              <w:rPr>
                <w:bCs/>
                <w:sz w:val="22"/>
                <w:szCs w:val="22"/>
                <w:lang w:val="it-IT"/>
              </w:rPr>
              <w:t>.</w:t>
            </w:r>
          </w:p>
        </w:tc>
      </w:tr>
      <w:tr w:rsidR="00A27E2D" w:rsidRPr="00A27E2D" w14:paraId="636CD963" w14:textId="77777777" w:rsidTr="00AC795F">
        <w:tc>
          <w:tcPr>
            <w:tcW w:w="249" w:type="pct"/>
          </w:tcPr>
          <w:p w14:paraId="7C68953D" w14:textId="0B7D92D5" w:rsidR="00963E93" w:rsidRPr="00A27E2D" w:rsidRDefault="00963E93" w:rsidP="00DD43D9">
            <w:pPr>
              <w:jc w:val="center"/>
              <w:rPr>
                <w:sz w:val="22"/>
                <w:szCs w:val="22"/>
              </w:rPr>
            </w:pPr>
            <w:r w:rsidRPr="00A27E2D">
              <w:rPr>
                <w:sz w:val="22"/>
                <w:szCs w:val="22"/>
              </w:rPr>
              <w:t>T</w:t>
            </w:r>
            <w:r w:rsidR="000234E0" w:rsidRPr="00A27E2D">
              <w:rPr>
                <w:sz w:val="22"/>
                <w:szCs w:val="22"/>
                <w:vertAlign w:val="subscript"/>
              </w:rPr>
              <w:t>2</w:t>
            </w:r>
          </w:p>
        </w:tc>
        <w:tc>
          <w:tcPr>
            <w:tcW w:w="1834" w:type="pct"/>
          </w:tcPr>
          <w:p w14:paraId="6D901E15" w14:textId="1D6C92D5" w:rsidR="00AE722E" w:rsidRPr="00CC04E7" w:rsidRDefault="00AE722E" w:rsidP="00DD43D9">
            <w:pPr>
              <w:ind w:left="31"/>
              <w:jc w:val="both"/>
              <w:rPr>
                <w:rFonts w:eastAsiaTheme="minorHAnsi"/>
                <w:sz w:val="22"/>
                <w:szCs w:val="22"/>
              </w:rPr>
            </w:pPr>
            <w:r w:rsidRPr="00CC04E7">
              <w:rPr>
                <w:rFonts w:eastAsiaTheme="minorHAnsi"/>
                <w:sz w:val="22"/>
                <w:szCs w:val="22"/>
              </w:rPr>
              <w:t>Nešiojamo detektoriaus atsparumas dulkėms ir skysčiams ≥ IP67</w:t>
            </w:r>
          </w:p>
          <w:p w14:paraId="53322FB5" w14:textId="0D9378DB" w:rsidR="00AE722E" w:rsidRPr="00CC04E7" w:rsidRDefault="00AE722E" w:rsidP="00DD43D9">
            <w:pPr>
              <w:ind w:left="31"/>
              <w:jc w:val="both"/>
              <w:rPr>
                <w:rFonts w:eastAsiaTheme="minorHAnsi"/>
                <w:sz w:val="22"/>
                <w:szCs w:val="22"/>
              </w:rPr>
            </w:pPr>
          </w:p>
        </w:tc>
        <w:tc>
          <w:tcPr>
            <w:tcW w:w="754" w:type="pct"/>
          </w:tcPr>
          <w:p w14:paraId="475D17FB" w14:textId="77777777" w:rsidR="00963E93" w:rsidRPr="00A27E2D" w:rsidRDefault="00963E93" w:rsidP="00DD43D9">
            <w:pPr>
              <w:jc w:val="center"/>
              <w:rPr>
                <w:sz w:val="22"/>
                <w:szCs w:val="22"/>
              </w:rPr>
            </w:pPr>
            <w:r w:rsidRPr="00A27E2D">
              <w:rPr>
                <w:sz w:val="22"/>
                <w:szCs w:val="22"/>
              </w:rPr>
              <w:t>Statinis: (yra/nėra)</w:t>
            </w:r>
          </w:p>
        </w:tc>
        <w:tc>
          <w:tcPr>
            <w:tcW w:w="620" w:type="pct"/>
          </w:tcPr>
          <w:p w14:paraId="596DE13B" w14:textId="1691A639" w:rsidR="00963E93" w:rsidRPr="00A27E2D" w:rsidRDefault="00963E93" w:rsidP="00DD43D9">
            <w:pPr>
              <w:ind w:left="522" w:hanging="491"/>
              <w:jc w:val="center"/>
              <w:rPr>
                <w:sz w:val="22"/>
                <w:szCs w:val="22"/>
              </w:rPr>
            </w:pPr>
            <w:r w:rsidRPr="00A27E2D">
              <w:rPr>
                <w:sz w:val="22"/>
                <w:szCs w:val="22"/>
              </w:rPr>
              <w:t>L</w:t>
            </w:r>
            <w:r w:rsidR="000B24F8" w:rsidRPr="00A27E2D">
              <w:rPr>
                <w:sz w:val="22"/>
                <w:szCs w:val="22"/>
                <w:vertAlign w:val="subscript"/>
              </w:rPr>
              <w:t>2</w:t>
            </w:r>
            <w:r w:rsidRPr="00A27E2D">
              <w:rPr>
                <w:sz w:val="22"/>
                <w:szCs w:val="22"/>
              </w:rPr>
              <w:t xml:space="preserve"> = 0,</w:t>
            </w:r>
            <w:r w:rsidR="00D740E0" w:rsidRPr="00A27E2D">
              <w:rPr>
                <w:sz w:val="22"/>
                <w:szCs w:val="22"/>
              </w:rPr>
              <w:t>20</w:t>
            </w:r>
          </w:p>
        </w:tc>
        <w:tc>
          <w:tcPr>
            <w:tcW w:w="1543" w:type="pct"/>
          </w:tcPr>
          <w:p w14:paraId="67668799" w14:textId="7F1CEC5F" w:rsidR="00963E93" w:rsidRPr="00A27E2D" w:rsidRDefault="00963E93" w:rsidP="00DD43D9">
            <w:pPr>
              <w:jc w:val="center"/>
              <w:rPr>
                <w:sz w:val="22"/>
                <w:szCs w:val="22"/>
              </w:rPr>
            </w:pPr>
            <w:r w:rsidRPr="00A27E2D">
              <w:rPr>
                <w:bCs/>
                <w:sz w:val="22"/>
                <w:szCs w:val="22"/>
                <w:lang w:val="it-IT"/>
              </w:rPr>
              <w:t>Įrašyti parametro vertę: yra / nėra</w:t>
            </w:r>
            <w:r w:rsidR="00342C52" w:rsidRPr="00A27E2D">
              <w:rPr>
                <w:bCs/>
                <w:sz w:val="22"/>
                <w:szCs w:val="22"/>
                <w:lang w:val="it-IT"/>
              </w:rPr>
              <w:t>.</w:t>
            </w:r>
          </w:p>
        </w:tc>
      </w:tr>
      <w:tr w:rsidR="00A27E2D" w:rsidRPr="00A27E2D" w14:paraId="65112328" w14:textId="77777777" w:rsidTr="00AC795F">
        <w:tc>
          <w:tcPr>
            <w:tcW w:w="249" w:type="pct"/>
          </w:tcPr>
          <w:p w14:paraId="61DC9EE1" w14:textId="4CDEF221" w:rsidR="00963E93" w:rsidRPr="00A27E2D" w:rsidRDefault="00963E93" w:rsidP="00DD43D9">
            <w:pPr>
              <w:jc w:val="center"/>
              <w:rPr>
                <w:sz w:val="22"/>
                <w:szCs w:val="22"/>
              </w:rPr>
            </w:pPr>
            <w:r w:rsidRPr="00A27E2D">
              <w:rPr>
                <w:sz w:val="22"/>
                <w:szCs w:val="22"/>
              </w:rPr>
              <w:t>T</w:t>
            </w:r>
            <w:r w:rsidR="000234E0" w:rsidRPr="00A27E2D">
              <w:rPr>
                <w:sz w:val="22"/>
                <w:szCs w:val="22"/>
                <w:vertAlign w:val="subscript"/>
              </w:rPr>
              <w:t>3</w:t>
            </w:r>
          </w:p>
        </w:tc>
        <w:tc>
          <w:tcPr>
            <w:tcW w:w="1834" w:type="pct"/>
          </w:tcPr>
          <w:p w14:paraId="67C7F780" w14:textId="613209A5" w:rsidR="00AE722E" w:rsidRPr="00CC04E7" w:rsidRDefault="00EE262C" w:rsidP="00DD43D9">
            <w:pPr>
              <w:autoSpaceDE w:val="0"/>
              <w:autoSpaceDN w:val="0"/>
              <w:adjustRightInd w:val="0"/>
              <w:rPr>
                <w:sz w:val="22"/>
                <w:szCs w:val="22"/>
              </w:rPr>
            </w:pPr>
            <w:r w:rsidRPr="00CC04E7">
              <w:rPr>
                <w:sz w:val="22"/>
                <w:szCs w:val="22"/>
              </w:rPr>
              <w:t>Pilnai automatinis abiejų židinio taškų naudojimas vienu metu, kuris leidžia pasirinkti visus tarpinius dydžius tarp mažiausio ir didžiausio židinio taško, sumažina judesio artefaktus, geometrinį triukšmą ir ekspozicijos trukmę.</w:t>
            </w:r>
          </w:p>
        </w:tc>
        <w:tc>
          <w:tcPr>
            <w:tcW w:w="754" w:type="pct"/>
          </w:tcPr>
          <w:p w14:paraId="7D6EDA90" w14:textId="77777777" w:rsidR="00963E93" w:rsidRPr="00A27E2D" w:rsidRDefault="00963E93" w:rsidP="00DD43D9">
            <w:pPr>
              <w:jc w:val="center"/>
              <w:rPr>
                <w:sz w:val="22"/>
                <w:szCs w:val="22"/>
              </w:rPr>
            </w:pPr>
            <w:r w:rsidRPr="00A27E2D">
              <w:rPr>
                <w:sz w:val="22"/>
                <w:szCs w:val="22"/>
              </w:rPr>
              <w:t>Statinis: (yra/nėra)</w:t>
            </w:r>
          </w:p>
        </w:tc>
        <w:tc>
          <w:tcPr>
            <w:tcW w:w="620" w:type="pct"/>
          </w:tcPr>
          <w:p w14:paraId="20C3CA30" w14:textId="770E860D" w:rsidR="00963E93" w:rsidRPr="00A27E2D" w:rsidRDefault="00963E93" w:rsidP="00DD43D9">
            <w:pPr>
              <w:ind w:left="522" w:hanging="491"/>
              <w:jc w:val="center"/>
              <w:rPr>
                <w:sz w:val="22"/>
                <w:szCs w:val="22"/>
              </w:rPr>
            </w:pPr>
            <w:r w:rsidRPr="00A27E2D">
              <w:rPr>
                <w:sz w:val="22"/>
                <w:szCs w:val="22"/>
              </w:rPr>
              <w:t>L</w:t>
            </w:r>
            <w:r w:rsidRPr="00A27E2D">
              <w:rPr>
                <w:sz w:val="22"/>
                <w:szCs w:val="22"/>
                <w:vertAlign w:val="subscript"/>
              </w:rPr>
              <w:t>3</w:t>
            </w:r>
            <w:r w:rsidRPr="00A27E2D">
              <w:rPr>
                <w:sz w:val="22"/>
                <w:szCs w:val="22"/>
              </w:rPr>
              <w:t xml:space="preserve"> = 0,</w:t>
            </w:r>
            <w:r w:rsidR="00E92A3B" w:rsidRPr="00A27E2D">
              <w:rPr>
                <w:sz w:val="22"/>
                <w:szCs w:val="22"/>
              </w:rPr>
              <w:t>20</w:t>
            </w:r>
          </w:p>
        </w:tc>
        <w:tc>
          <w:tcPr>
            <w:tcW w:w="1543" w:type="pct"/>
          </w:tcPr>
          <w:p w14:paraId="1230614B" w14:textId="562C5DF2" w:rsidR="00963E93" w:rsidRPr="00A27E2D" w:rsidRDefault="00963E93" w:rsidP="00DD43D9">
            <w:pPr>
              <w:jc w:val="center"/>
              <w:rPr>
                <w:sz w:val="22"/>
                <w:szCs w:val="22"/>
              </w:rPr>
            </w:pPr>
            <w:r w:rsidRPr="00A27E2D">
              <w:rPr>
                <w:bCs/>
                <w:sz w:val="22"/>
                <w:szCs w:val="22"/>
                <w:lang w:val="it-IT"/>
              </w:rPr>
              <w:t>Įrašyti parametro vertę: yra / nėra</w:t>
            </w:r>
            <w:r w:rsidR="00342C52" w:rsidRPr="00A27E2D">
              <w:rPr>
                <w:bCs/>
                <w:sz w:val="22"/>
                <w:szCs w:val="22"/>
                <w:lang w:val="it-IT"/>
              </w:rPr>
              <w:t>.</w:t>
            </w:r>
          </w:p>
        </w:tc>
      </w:tr>
      <w:tr w:rsidR="00A27E2D" w:rsidRPr="00A27E2D" w14:paraId="0E6069EC" w14:textId="77777777" w:rsidTr="00AC795F">
        <w:tc>
          <w:tcPr>
            <w:tcW w:w="249" w:type="pct"/>
          </w:tcPr>
          <w:p w14:paraId="534C1A8A" w14:textId="6AD516B9" w:rsidR="008C09DA" w:rsidRPr="00A27E2D" w:rsidRDefault="008C09DA" w:rsidP="00DD43D9">
            <w:pPr>
              <w:jc w:val="center"/>
              <w:rPr>
                <w:sz w:val="22"/>
                <w:szCs w:val="22"/>
              </w:rPr>
            </w:pPr>
            <w:r w:rsidRPr="00A27E2D">
              <w:rPr>
                <w:sz w:val="22"/>
                <w:szCs w:val="22"/>
              </w:rPr>
              <w:t>T</w:t>
            </w:r>
            <w:r w:rsidRPr="00A27E2D">
              <w:rPr>
                <w:sz w:val="22"/>
                <w:szCs w:val="22"/>
                <w:vertAlign w:val="subscript"/>
              </w:rPr>
              <w:t>4</w:t>
            </w:r>
          </w:p>
        </w:tc>
        <w:tc>
          <w:tcPr>
            <w:tcW w:w="1834" w:type="pct"/>
          </w:tcPr>
          <w:p w14:paraId="29A3037D" w14:textId="13AE4F22" w:rsidR="008C09DA" w:rsidRPr="00A27E2D" w:rsidRDefault="00D740E0" w:rsidP="00DD43D9">
            <w:pPr>
              <w:autoSpaceDE w:val="0"/>
              <w:autoSpaceDN w:val="0"/>
              <w:adjustRightInd w:val="0"/>
              <w:rPr>
                <w:b/>
                <w:bCs/>
                <w:sz w:val="22"/>
                <w:szCs w:val="22"/>
                <w:lang w:val="en-US"/>
              </w:rPr>
            </w:pPr>
            <w:r w:rsidRPr="00A27E2D">
              <w:rPr>
                <w:sz w:val="22"/>
                <w:szCs w:val="22"/>
              </w:rPr>
              <w:t>Automatinis ekspozicijos valdymas ≥ 5 laukų</w:t>
            </w:r>
          </w:p>
        </w:tc>
        <w:tc>
          <w:tcPr>
            <w:tcW w:w="754" w:type="pct"/>
          </w:tcPr>
          <w:p w14:paraId="6DC9A6B4" w14:textId="49C0DB70" w:rsidR="008C09DA" w:rsidRPr="00A27E2D" w:rsidRDefault="00905183" w:rsidP="00DD43D9">
            <w:pPr>
              <w:jc w:val="center"/>
              <w:rPr>
                <w:sz w:val="22"/>
                <w:szCs w:val="22"/>
              </w:rPr>
            </w:pPr>
            <w:r w:rsidRPr="00A27E2D">
              <w:rPr>
                <w:sz w:val="22"/>
                <w:szCs w:val="22"/>
              </w:rPr>
              <w:t>Statinis: (yra/nėra)</w:t>
            </w:r>
          </w:p>
        </w:tc>
        <w:tc>
          <w:tcPr>
            <w:tcW w:w="620" w:type="pct"/>
          </w:tcPr>
          <w:p w14:paraId="6C0D2E7D" w14:textId="031FF6E5" w:rsidR="008C09DA" w:rsidRPr="00A27E2D" w:rsidRDefault="008C09DA" w:rsidP="00DD43D9">
            <w:pPr>
              <w:ind w:left="522" w:hanging="491"/>
              <w:jc w:val="center"/>
              <w:rPr>
                <w:sz w:val="22"/>
                <w:szCs w:val="22"/>
              </w:rPr>
            </w:pPr>
            <w:r w:rsidRPr="00A27E2D">
              <w:rPr>
                <w:sz w:val="22"/>
                <w:szCs w:val="22"/>
              </w:rPr>
              <w:t>L</w:t>
            </w:r>
            <w:r w:rsidRPr="00A27E2D">
              <w:rPr>
                <w:sz w:val="22"/>
                <w:szCs w:val="22"/>
                <w:vertAlign w:val="subscript"/>
              </w:rPr>
              <w:t>4</w:t>
            </w:r>
            <w:r w:rsidRPr="00A27E2D">
              <w:rPr>
                <w:sz w:val="22"/>
                <w:szCs w:val="22"/>
              </w:rPr>
              <w:t xml:space="preserve"> = 0,20</w:t>
            </w:r>
          </w:p>
        </w:tc>
        <w:tc>
          <w:tcPr>
            <w:tcW w:w="1543" w:type="pct"/>
          </w:tcPr>
          <w:p w14:paraId="50BD6F37" w14:textId="6C3BCBC5" w:rsidR="008C09DA" w:rsidRPr="00A27E2D" w:rsidRDefault="00383BFB" w:rsidP="00DD43D9">
            <w:pPr>
              <w:jc w:val="center"/>
              <w:rPr>
                <w:bCs/>
                <w:sz w:val="22"/>
                <w:szCs w:val="22"/>
                <w:lang w:val="it-IT"/>
              </w:rPr>
            </w:pPr>
            <w:r w:rsidRPr="00A27E2D">
              <w:rPr>
                <w:bCs/>
                <w:sz w:val="22"/>
                <w:szCs w:val="22"/>
                <w:lang w:val="it-IT"/>
              </w:rPr>
              <w:t>Įrašyti parametro vertę: yra / nėra.</w:t>
            </w:r>
          </w:p>
        </w:tc>
      </w:tr>
      <w:tr w:rsidR="00A27E2D" w:rsidRPr="00A27E2D" w14:paraId="6255F988" w14:textId="77777777" w:rsidTr="00AC795F">
        <w:tc>
          <w:tcPr>
            <w:tcW w:w="249" w:type="pct"/>
          </w:tcPr>
          <w:p w14:paraId="5D7E961D" w14:textId="1F3DBC3D" w:rsidR="008C09DA" w:rsidRPr="00A27E2D" w:rsidRDefault="008C09DA" w:rsidP="00DD43D9">
            <w:pPr>
              <w:jc w:val="center"/>
              <w:rPr>
                <w:sz w:val="22"/>
                <w:szCs w:val="22"/>
              </w:rPr>
            </w:pPr>
            <w:r w:rsidRPr="00A27E2D">
              <w:rPr>
                <w:sz w:val="22"/>
                <w:szCs w:val="22"/>
              </w:rPr>
              <w:t>T</w:t>
            </w:r>
            <w:r w:rsidRPr="00A27E2D">
              <w:rPr>
                <w:sz w:val="22"/>
                <w:szCs w:val="22"/>
                <w:vertAlign w:val="subscript"/>
              </w:rPr>
              <w:t>5</w:t>
            </w:r>
          </w:p>
        </w:tc>
        <w:tc>
          <w:tcPr>
            <w:tcW w:w="1834" w:type="pct"/>
          </w:tcPr>
          <w:p w14:paraId="70C34603" w14:textId="77777777" w:rsidR="00D740E0" w:rsidRPr="00DD43D9" w:rsidRDefault="00D740E0" w:rsidP="00DD43D9">
            <w:pPr>
              <w:pStyle w:val="Standard"/>
              <w:rPr>
                <w:bCs/>
                <w:sz w:val="22"/>
                <w:szCs w:val="22"/>
              </w:rPr>
            </w:pPr>
            <w:r w:rsidRPr="00DD43D9">
              <w:rPr>
                <w:bCs/>
                <w:sz w:val="22"/>
                <w:szCs w:val="22"/>
                <w:u w:val="single"/>
              </w:rPr>
              <w:t>&gt;</w:t>
            </w:r>
            <w:r w:rsidRPr="00DD43D9">
              <w:rPr>
                <w:bCs/>
                <w:sz w:val="22"/>
                <w:szCs w:val="22"/>
              </w:rPr>
              <w:t xml:space="preserve"> 12“ sensorinis valdymo monitorius sumontuotas ant rentgeno vamzdžio kolonos, kuriame galima: </w:t>
            </w:r>
          </w:p>
          <w:p w14:paraId="0E61C546" w14:textId="77777777" w:rsidR="00D740E0" w:rsidRPr="00DD43D9" w:rsidRDefault="00D740E0" w:rsidP="00DD43D9">
            <w:pPr>
              <w:pStyle w:val="Standard"/>
              <w:rPr>
                <w:sz w:val="22"/>
                <w:szCs w:val="22"/>
              </w:rPr>
            </w:pPr>
            <w:r w:rsidRPr="00DD43D9">
              <w:rPr>
                <w:sz w:val="22"/>
                <w:szCs w:val="22"/>
              </w:rPr>
              <w:t>1. Keisti ekspozicijos parametrus (</w:t>
            </w:r>
            <w:proofErr w:type="spellStart"/>
            <w:r w:rsidRPr="00DD43D9">
              <w:rPr>
                <w:sz w:val="22"/>
                <w:szCs w:val="22"/>
              </w:rPr>
              <w:t>kV</w:t>
            </w:r>
            <w:proofErr w:type="spellEnd"/>
            <w:r w:rsidRPr="00DD43D9">
              <w:rPr>
                <w:sz w:val="22"/>
                <w:szCs w:val="22"/>
              </w:rPr>
              <w:t xml:space="preserve">; </w:t>
            </w:r>
            <w:proofErr w:type="spellStart"/>
            <w:r w:rsidRPr="00DD43D9">
              <w:rPr>
                <w:sz w:val="22"/>
                <w:szCs w:val="22"/>
              </w:rPr>
              <w:t>mAs</w:t>
            </w:r>
            <w:proofErr w:type="spellEnd"/>
            <w:r w:rsidRPr="00DD43D9">
              <w:rPr>
                <w:sz w:val="22"/>
                <w:szCs w:val="22"/>
              </w:rPr>
              <w:t>);</w:t>
            </w:r>
          </w:p>
          <w:p w14:paraId="57D9BC5C" w14:textId="77777777" w:rsidR="00D740E0" w:rsidRPr="00DD43D9" w:rsidRDefault="00D740E0" w:rsidP="00DD43D9">
            <w:pPr>
              <w:pStyle w:val="Standard"/>
              <w:rPr>
                <w:sz w:val="22"/>
                <w:szCs w:val="22"/>
              </w:rPr>
            </w:pPr>
            <w:r w:rsidRPr="00DD43D9">
              <w:rPr>
                <w:sz w:val="22"/>
                <w:szCs w:val="22"/>
              </w:rPr>
              <w:t>2. Pasirinkti AEV laukus;</w:t>
            </w:r>
          </w:p>
          <w:p w14:paraId="571BFC86" w14:textId="77777777" w:rsidR="00D740E0" w:rsidRPr="00DD43D9" w:rsidRDefault="00D740E0" w:rsidP="00DD43D9">
            <w:pPr>
              <w:pStyle w:val="Standard"/>
              <w:rPr>
                <w:sz w:val="22"/>
                <w:szCs w:val="22"/>
              </w:rPr>
            </w:pPr>
            <w:r w:rsidRPr="00DD43D9">
              <w:rPr>
                <w:sz w:val="22"/>
                <w:szCs w:val="22"/>
              </w:rPr>
              <w:t>3. Pasirinkti filtrus;</w:t>
            </w:r>
          </w:p>
          <w:p w14:paraId="67B3781E" w14:textId="77777777" w:rsidR="00D740E0" w:rsidRPr="00DD43D9" w:rsidRDefault="00D740E0" w:rsidP="00DD43D9">
            <w:pPr>
              <w:pStyle w:val="Standard"/>
              <w:rPr>
                <w:sz w:val="22"/>
                <w:szCs w:val="22"/>
              </w:rPr>
            </w:pPr>
            <w:r w:rsidRPr="00DD43D9">
              <w:rPr>
                <w:sz w:val="22"/>
                <w:szCs w:val="22"/>
              </w:rPr>
              <w:t>4. Stebėti tinklelio būklę;</w:t>
            </w:r>
          </w:p>
          <w:p w14:paraId="6B141620" w14:textId="77777777" w:rsidR="00D740E0" w:rsidRPr="00DD43D9" w:rsidRDefault="00D740E0" w:rsidP="00DD43D9">
            <w:pPr>
              <w:pStyle w:val="Standard"/>
              <w:rPr>
                <w:sz w:val="22"/>
                <w:szCs w:val="22"/>
              </w:rPr>
            </w:pPr>
            <w:r w:rsidRPr="00DD43D9">
              <w:rPr>
                <w:sz w:val="22"/>
                <w:szCs w:val="22"/>
              </w:rPr>
              <w:t>5. Pasirinkti darbo stotį;</w:t>
            </w:r>
          </w:p>
          <w:p w14:paraId="7CA1B3CC" w14:textId="77777777" w:rsidR="00D740E0" w:rsidRPr="00DD43D9" w:rsidRDefault="00D740E0" w:rsidP="00DD43D9">
            <w:pPr>
              <w:pStyle w:val="Standard"/>
              <w:rPr>
                <w:sz w:val="22"/>
                <w:szCs w:val="22"/>
              </w:rPr>
            </w:pPr>
            <w:r w:rsidRPr="00DD43D9">
              <w:rPr>
                <w:sz w:val="22"/>
                <w:szCs w:val="22"/>
              </w:rPr>
              <w:t>6. Pasirinkti židinio dydį;</w:t>
            </w:r>
          </w:p>
          <w:p w14:paraId="627B81C8" w14:textId="77777777" w:rsidR="00D740E0" w:rsidRPr="00DD43D9" w:rsidRDefault="00D740E0" w:rsidP="00DD43D9">
            <w:pPr>
              <w:pStyle w:val="Standard"/>
              <w:rPr>
                <w:sz w:val="22"/>
                <w:szCs w:val="22"/>
              </w:rPr>
            </w:pPr>
            <w:r w:rsidRPr="00DD43D9">
              <w:rPr>
                <w:sz w:val="22"/>
                <w:szCs w:val="22"/>
              </w:rPr>
              <w:t>7. Pasirinkti paciento tipą;</w:t>
            </w:r>
          </w:p>
          <w:p w14:paraId="5C51B58B" w14:textId="372ECC6B" w:rsidR="008C09DA" w:rsidRPr="00DD43D9" w:rsidRDefault="00D740E0" w:rsidP="00DD43D9">
            <w:pPr>
              <w:ind w:left="31" w:right="85"/>
              <w:jc w:val="both"/>
              <w:rPr>
                <w:sz w:val="22"/>
                <w:szCs w:val="22"/>
              </w:rPr>
            </w:pPr>
            <w:r w:rsidRPr="00DD43D9">
              <w:rPr>
                <w:sz w:val="22"/>
                <w:szCs w:val="22"/>
              </w:rPr>
              <w:t>8. Peržiūrėti atliktą tyrimą;</w:t>
            </w:r>
          </w:p>
        </w:tc>
        <w:tc>
          <w:tcPr>
            <w:tcW w:w="754" w:type="pct"/>
          </w:tcPr>
          <w:p w14:paraId="45AE7BA0" w14:textId="77777777" w:rsidR="008C09DA" w:rsidRPr="00A27E2D" w:rsidRDefault="008C09DA" w:rsidP="00DD43D9">
            <w:pPr>
              <w:jc w:val="center"/>
              <w:rPr>
                <w:sz w:val="22"/>
                <w:szCs w:val="22"/>
              </w:rPr>
            </w:pPr>
            <w:r w:rsidRPr="00A27E2D">
              <w:rPr>
                <w:sz w:val="22"/>
                <w:szCs w:val="22"/>
              </w:rPr>
              <w:t>Statinis: (yra/nėra)</w:t>
            </w:r>
          </w:p>
        </w:tc>
        <w:tc>
          <w:tcPr>
            <w:tcW w:w="620" w:type="pct"/>
          </w:tcPr>
          <w:p w14:paraId="51C972B4" w14:textId="0F3659BB" w:rsidR="008C09DA" w:rsidRPr="00A27E2D" w:rsidRDefault="008C09DA" w:rsidP="00DD43D9">
            <w:pPr>
              <w:ind w:left="522" w:hanging="491"/>
              <w:jc w:val="center"/>
              <w:rPr>
                <w:sz w:val="22"/>
                <w:szCs w:val="22"/>
              </w:rPr>
            </w:pPr>
            <w:r w:rsidRPr="00A27E2D">
              <w:rPr>
                <w:sz w:val="22"/>
                <w:szCs w:val="22"/>
              </w:rPr>
              <w:t>L</w:t>
            </w:r>
            <w:r w:rsidRPr="00A27E2D">
              <w:rPr>
                <w:sz w:val="22"/>
                <w:szCs w:val="22"/>
                <w:vertAlign w:val="subscript"/>
              </w:rPr>
              <w:t>5</w:t>
            </w:r>
            <w:r w:rsidRPr="00A27E2D">
              <w:rPr>
                <w:sz w:val="22"/>
                <w:szCs w:val="22"/>
              </w:rPr>
              <w:t xml:space="preserve"> = 0,</w:t>
            </w:r>
            <w:r w:rsidR="00D740E0" w:rsidRPr="00A27E2D">
              <w:rPr>
                <w:sz w:val="22"/>
                <w:szCs w:val="22"/>
              </w:rPr>
              <w:t>1</w:t>
            </w:r>
            <w:r w:rsidRPr="00A27E2D">
              <w:rPr>
                <w:sz w:val="22"/>
                <w:szCs w:val="22"/>
              </w:rPr>
              <w:t>0</w:t>
            </w:r>
          </w:p>
        </w:tc>
        <w:tc>
          <w:tcPr>
            <w:tcW w:w="1543" w:type="pct"/>
          </w:tcPr>
          <w:p w14:paraId="38424B78" w14:textId="41C8FA05" w:rsidR="008C09DA" w:rsidRPr="00A27E2D" w:rsidRDefault="008C09DA" w:rsidP="00DD43D9">
            <w:pPr>
              <w:jc w:val="center"/>
              <w:rPr>
                <w:sz w:val="22"/>
                <w:szCs w:val="22"/>
              </w:rPr>
            </w:pPr>
            <w:r w:rsidRPr="00A27E2D">
              <w:rPr>
                <w:bCs/>
                <w:sz w:val="22"/>
                <w:szCs w:val="22"/>
                <w:lang w:val="it-IT"/>
              </w:rPr>
              <w:t>Įrašyti parametro vertę: yra / nėra.</w:t>
            </w:r>
          </w:p>
        </w:tc>
      </w:tr>
      <w:tr w:rsidR="00A27E2D" w:rsidRPr="00A27E2D" w14:paraId="2E66BFB6" w14:textId="77777777" w:rsidTr="00AC795F">
        <w:tc>
          <w:tcPr>
            <w:tcW w:w="249" w:type="pct"/>
          </w:tcPr>
          <w:p w14:paraId="1752C66D" w14:textId="6095FB1D" w:rsidR="00963E93" w:rsidRPr="00A27E2D" w:rsidRDefault="004A00DD" w:rsidP="00DD43D9">
            <w:pPr>
              <w:jc w:val="center"/>
              <w:rPr>
                <w:sz w:val="22"/>
                <w:szCs w:val="22"/>
              </w:rPr>
            </w:pPr>
            <w:r w:rsidRPr="00A27E2D">
              <w:rPr>
                <w:sz w:val="22"/>
                <w:szCs w:val="22"/>
              </w:rPr>
              <w:lastRenderedPageBreak/>
              <w:t>T</w:t>
            </w:r>
            <w:r w:rsidRPr="00A27E2D">
              <w:rPr>
                <w:sz w:val="22"/>
                <w:szCs w:val="22"/>
                <w:vertAlign w:val="subscript"/>
              </w:rPr>
              <w:t>6</w:t>
            </w:r>
          </w:p>
        </w:tc>
        <w:tc>
          <w:tcPr>
            <w:tcW w:w="1834" w:type="pct"/>
          </w:tcPr>
          <w:p w14:paraId="5D930C47" w14:textId="4264F2E1" w:rsidR="002215DD" w:rsidRPr="00A27E2D" w:rsidRDefault="00AE722E" w:rsidP="00DD43D9">
            <w:pPr>
              <w:pStyle w:val="Standard"/>
              <w:rPr>
                <w:sz w:val="22"/>
                <w:szCs w:val="22"/>
              </w:rPr>
            </w:pPr>
            <w:r w:rsidRPr="00CC04E7">
              <w:rPr>
                <w:bCs/>
                <w:sz w:val="22"/>
              </w:rPr>
              <w:t xml:space="preserve">Integruotas </w:t>
            </w:r>
            <w:r w:rsidR="003F1190" w:rsidRPr="00CC04E7">
              <w:rPr>
                <w:bCs/>
                <w:sz w:val="22"/>
              </w:rPr>
              <w:t>o</w:t>
            </w:r>
            <w:r w:rsidR="00D740E0" w:rsidRPr="00CC04E7">
              <w:rPr>
                <w:bCs/>
                <w:sz w:val="22"/>
              </w:rPr>
              <w:t>sciliuojantis tinklelis</w:t>
            </w:r>
            <w:r w:rsidRPr="00CC04E7">
              <w:rPr>
                <w:bCs/>
                <w:sz w:val="22"/>
              </w:rPr>
              <w:t>, veikiantis ekspozicijos metu</w:t>
            </w:r>
          </w:p>
        </w:tc>
        <w:tc>
          <w:tcPr>
            <w:tcW w:w="754" w:type="pct"/>
          </w:tcPr>
          <w:p w14:paraId="6D4AE0F9" w14:textId="77777777" w:rsidR="00963E93" w:rsidRPr="00A27E2D" w:rsidRDefault="00963E93" w:rsidP="00DD43D9">
            <w:pPr>
              <w:jc w:val="center"/>
              <w:rPr>
                <w:sz w:val="22"/>
                <w:szCs w:val="22"/>
              </w:rPr>
            </w:pPr>
            <w:r w:rsidRPr="00A27E2D">
              <w:rPr>
                <w:sz w:val="22"/>
                <w:szCs w:val="22"/>
              </w:rPr>
              <w:t>Statinis: (yra/nėra)</w:t>
            </w:r>
          </w:p>
        </w:tc>
        <w:tc>
          <w:tcPr>
            <w:tcW w:w="620" w:type="pct"/>
          </w:tcPr>
          <w:p w14:paraId="6CA5A0D9" w14:textId="600AD230" w:rsidR="00963E93" w:rsidRPr="00A27E2D" w:rsidRDefault="00963E93" w:rsidP="00DD43D9">
            <w:pPr>
              <w:ind w:left="522" w:hanging="491"/>
              <w:jc w:val="center"/>
              <w:rPr>
                <w:sz w:val="22"/>
                <w:szCs w:val="22"/>
              </w:rPr>
            </w:pPr>
            <w:r w:rsidRPr="00A27E2D">
              <w:rPr>
                <w:sz w:val="22"/>
                <w:szCs w:val="22"/>
              </w:rPr>
              <w:t>L</w:t>
            </w:r>
            <w:r w:rsidR="008C09DA" w:rsidRPr="00A27E2D">
              <w:rPr>
                <w:sz w:val="22"/>
                <w:szCs w:val="22"/>
                <w:vertAlign w:val="subscript"/>
              </w:rPr>
              <w:t>6</w:t>
            </w:r>
            <w:r w:rsidRPr="00A27E2D">
              <w:rPr>
                <w:sz w:val="22"/>
                <w:szCs w:val="22"/>
              </w:rPr>
              <w:t xml:space="preserve"> = 0,</w:t>
            </w:r>
            <w:r w:rsidR="00F6507B" w:rsidRPr="00A27E2D">
              <w:rPr>
                <w:sz w:val="22"/>
                <w:szCs w:val="22"/>
              </w:rPr>
              <w:t>1</w:t>
            </w:r>
            <w:r w:rsidR="00E92A3B" w:rsidRPr="00A27E2D">
              <w:rPr>
                <w:sz w:val="22"/>
                <w:szCs w:val="22"/>
              </w:rPr>
              <w:t>0</w:t>
            </w:r>
          </w:p>
        </w:tc>
        <w:tc>
          <w:tcPr>
            <w:tcW w:w="1543" w:type="pct"/>
          </w:tcPr>
          <w:p w14:paraId="2918905B" w14:textId="0220DCF3" w:rsidR="00963E93" w:rsidRPr="00A27E2D" w:rsidRDefault="00963E93" w:rsidP="00DD43D9">
            <w:pPr>
              <w:jc w:val="center"/>
              <w:rPr>
                <w:sz w:val="22"/>
                <w:szCs w:val="22"/>
              </w:rPr>
            </w:pPr>
            <w:r w:rsidRPr="00A27E2D">
              <w:rPr>
                <w:bCs/>
                <w:sz w:val="22"/>
                <w:szCs w:val="22"/>
                <w:lang w:val="it-IT"/>
              </w:rPr>
              <w:t>Įrašyti parametro vertę: yra / nėra</w:t>
            </w:r>
            <w:r w:rsidR="00342C52" w:rsidRPr="00A27E2D">
              <w:rPr>
                <w:bCs/>
                <w:sz w:val="22"/>
                <w:szCs w:val="22"/>
                <w:lang w:val="it-IT"/>
              </w:rPr>
              <w:t>.</w:t>
            </w:r>
          </w:p>
        </w:tc>
      </w:tr>
    </w:tbl>
    <w:p w14:paraId="3CA2CB68" w14:textId="77777777" w:rsidR="009538EB" w:rsidRPr="00A27E2D" w:rsidRDefault="009538EB" w:rsidP="00DD43D9">
      <w:pPr>
        <w:pStyle w:val="Body2"/>
        <w:spacing w:after="0"/>
        <w:rPr>
          <w:rFonts w:cs="Times New Roman"/>
          <w:color w:val="auto"/>
        </w:rPr>
      </w:pPr>
    </w:p>
    <w:p w14:paraId="4C6232D1" w14:textId="77777777" w:rsidR="009538EB" w:rsidRPr="00A27E2D" w:rsidRDefault="009538EB" w:rsidP="00DD43D9">
      <w:pPr>
        <w:shd w:val="clear" w:color="auto" w:fill="FFFFFF"/>
        <w:ind w:firstLine="567"/>
        <w:jc w:val="both"/>
        <w:rPr>
          <w:sz w:val="22"/>
          <w:szCs w:val="22"/>
        </w:rPr>
      </w:pPr>
      <w:r w:rsidRPr="00A27E2D">
        <w:rPr>
          <w:sz w:val="22"/>
          <w:szCs w:val="22"/>
        </w:rPr>
        <w:t>Pasiūlymo ekonominio naudingumo (kainos ir kokybės santykio) apskaičiavimo tvarka (formulė) yra pateikiama žemiau:</w:t>
      </w:r>
    </w:p>
    <w:p w14:paraId="06C201EC" w14:textId="4AFBBF0D" w:rsidR="00963E93" w:rsidRPr="00A27E2D" w:rsidRDefault="00963E93" w:rsidP="00DD43D9">
      <w:pPr>
        <w:pStyle w:val="Sraopastraipa"/>
        <w:numPr>
          <w:ilvl w:val="0"/>
          <w:numId w:val="7"/>
        </w:numPr>
        <w:shd w:val="clear" w:color="auto" w:fill="FFFFFF"/>
        <w:spacing w:after="0" w:line="240" w:lineRule="auto"/>
        <w:ind w:left="426" w:hanging="426"/>
        <w:rPr>
          <w:rFonts w:ascii="Times New Roman" w:hAnsi="Times New Roman"/>
        </w:rPr>
      </w:pPr>
      <w:r w:rsidRPr="00A27E2D">
        <w:rPr>
          <w:rFonts w:ascii="Times New Roman" w:hAnsi="Times New Roman"/>
        </w:rPr>
        <w:t>Pasiūlymo ekonominis naudingumas (E) apskaičiuojamas sudedant tiekėjo pasiūlymo kainos (K), techninių pr</w:t>
      </w:r>
      <w:r w:rsidR="009E6FD1" w:rsidRPr="00A27E2D">
        <w:rPr>
          <w:rFonts w:ascii="Times New Roman" w:hAnsi="Times New Roman"/>
        </w:rPr>
        <w:t xml:space="preserve">ivalumų </w:t>
      </w:r>
      <w:r w:rsidRPr="00A27E2D">
        <w:rPr>
          <w:rFonts w:ascii="Times New Roman" w:hAnsi="Times New Roman"/>
        </w:rPr>
        <w:t>(T) balus:</w:t>
      </w:r>
    </w:p>
    <w:p w14:paraId="4E5EB497" w14:textId="11134423" w:rsidR="009538EB" w:rsidRPr="00A27E2D" w:rsidRDefault="009538EB" w:rsidP="00DD43D9">
      <w:pPr>
        <w:pStyle w:val="Sraopastraipa"/>
        <w:shd w:val="clear" w:color="auto" w:fill="FFFFFF"/>
        <w:spacing w:after="0" w:line="240" w:lineRule="auto"/>
        <w:jc w:val="center"/>
        <w:rPr>
          <w:rFonts w:ascii="Times New Roman" w:hAnsi="Times New Roman"/>
        </w:rPr>
      </w:pPr>
      <w:r w:rsidRPr="00A27E2D">
        <w:rPr>
          <w:rFonts w:ascii="Times New Roman" w:hAnsi="Times New Roman"/>
          <w:i/>
          <w:iCs/>
        </w:rPr>
        <w:t xml:space="preserve">E </w:t>
      </w:r>
      <w:r w:rsidRPr="00A27E2D">
        <w:rPr>
          <w:rFonts w:ascii="Times New Roman" w:hAnsi="Times New Roman"/>
        </w:rPr>
        <w:t xml:space="preserve">= </w:t>
      </w:r>
      <w:r w:rsidRPr="00A27E2D">
        <w:rPr>
          <w:rFonts w:ascii="Times New Roman" w:hAnsi="Times New Roman"/>
          <w:i/>
        </w:rPr>
        <w:t>K</w:t>
      </w:r>
      <w:r w:rsidRPr="00A27E2D">
        <w:rPr>
          <w:rFonts w:ascii="Times New Roman" w:hAnsi="Times New Roman"/>
        </w:rPr>
        <w:t xml:space="preserve"> </w:t>
      </w:r>
      <w:r w:rsidRPr="00A27E2D">
        <w:rPr>
          <w:rFonts w:ascii="Times New Roman" w:hAnsi="Times New Roman"/>
          <w:i/>
          <w:iCs/>
        </w:rPr>
        <w:t>+ T</w:t>
      </w:r>
      <w:r w:rsidR="00963E93" w:rsidRPr="00A27E2D">
        <w:rPr>
          <w:rFonts w:ascii="Times New Roman" w:hAnsi="Times New Roman"/>
          <w:i/>
          <w:iCs/>
        </w:rPr>
        <w:t xml:space="preserve"> </w:t>
      </w:r>
    </w:p>
    <w:p w14:paraId="2242E823" w14:textId="46132822" w:rsidR="009538EB" w:rsidRPr="00A27E2D" w:rsidRDefault="009538EB" w:rsidP="00DD43D9">
      <w:pPr>
        <w:shd w:val="clear" w:color="auto" w:fill="FFFFFF"/>
        <w:jc w:val="both"/>
        <w:rPr>
          <w:sz w:val="22"/>
          <w:szCs w:val="22"/>
        </w:rPr>
      </w:pPr>
      <w:r w:rsidRPr="00A27E2D">
        <w:rPr>
          <w:iCs/>
          <w:sz w:val="22"/>
          <w:szCs w:val="22"/>
        </w:rPr>
        <w:t xml:space="preserve">2. </w:t>
      </w:r>
      <w:r w:rsidRPr="00A27E2D">
        <w:rPr>
          <w:sz w:val="22"/>
          <w:szCs w:val="22"/>
        </w:rPr>
        <w:t>Pasiūlymo kainos (K) balai apskaičiuojami mažiausios pasiūlytos kainos (</w:t>
      </w:r>
      <w:proofErr w:type="spellStart"/>
      <w:r w:rsidRPr="00A27E2D">
        <w:rPr>
          <w:sz w:val="22"/>
          <w:szCs w:val="22"/>
        </w:rPr>
        <w:t>K</w:t>
      </w:r>
      <w:r w:rsidRPr="00A27E2D">
        <w:rPr>
          <w:sz w:val="22"/>
          <w:szCs w:val="22"/>
          <w:vertAlign w:val="subscript"/>
        </w:rPr>
        <w:t>min</w:t>
      </w:r>
      <w:proofErr w:type="spellEnd"/>
      <w:r w:rsidRPr="00A27E2D">
        <w:rPr>
          <w:sz w:val="22"/>
          <w:szCs w:val="22"/>
        </w:rPr>
        <w:t xml:space="preserve">) ir vertinamo pasiūlymo kainos </w:t>
      </w:r>
      <w:r w:rsidRPr="00A27E2D">
        <w:rPr>
          <w:rFonts w:ascii="Cambria Math" w:hAnsi="Cambria Math"/>
          <w:sz w:val="22"/>
          <w:szCs w:val="22"/>
        </w:rPr>
        <w:t>(</w:t>
      </w:r>
      <w:proofErr w:type="spellStart"/>
      <w:r w:rsidRPr="00A27E2D">
        <w:rPr>
          <w:rFonts w:ascii="Cambria Math" w:hAnsi="Cambria Math"/>
          <w:sz w:val="22"/>
          <w:szCs w:val="22"/>
        </w:rPr>
        <w:t>K</w:t>
      </w:r>
      <w:r w:rsidR="00D152A4" w:rsidRPr="00A27E2D">
        <w:rPr>
          <w:rFonts w:ascii="Cambria Math" w:hAnsi="Cambria Math"/>
          <w:sz w:val="22"/>
          <w:szCs w:val="22"/>
          <w:vertAlign w:val="subscript"/>
        </w:rPr>
        <w:t>v</w:t>
      </w:r>
      <w:proofErr w:type="spellEnd"/>
      <w:r w:rsidRPr="00A27E2D">
        <w:rPr>
          <w:rFonts w:ascii="Cambria Math" w:hAnsi="Cambria Math"/>
          <w:sz w:val="22"/>
          <w:szCs w:val="22"/>
        </w:rPr>
        <w:t>)</w:t>
      </w:r>
      <w:r w:rsidRPr="00A27E2D">
        <w:rPr>
          <w:sz w:val="22"/>
          <w:szCs w:val="22"/>
        </w:rPr>
        <w:t xml:space="preserve"> santykį padauginant iš kainos lyginamojo svorio (X):</w:t>
      </w:r>
    </w:p>
    <w:p w14:paraId="7BD0540A" w14:textId="77777777" w:rsidR="009538EB" w:rsidRPr="00A27E2D" w:rsidRDefault="009538EB" w:rsidP="00DD43D9">
      <w:pPr>
        <w:jc w:val="center"/>
        <w:rPr>
          <w:sz w:val="22"/>
          <w:szCs w:val="22"/>
        </w:rPr>
      </w:pPr>
      <m:oMathPara>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14:paraId="12F41A9C" w14:textId="323E2B2E" w:rsidR="00502568" w:rsidRPr="00A27E2D" w:rsidRDefault="00502568" w:rsidP="00DD43D9">
      <w:pPr>
        <w:jc w:val="both"/>
        <w:rPr>
          <w:sz w:val="22"/>
          <w:szCs w:val="22"/>
        </w:rPr>
      </w:pPr>
      <w:r w:rsidRPr="00A27E2D">
        <w:rPr>
          <w:sz w:val="22"/>
          <w:szCs w:val="22"/>
        </w:rPr>
        <w:t>3. Kadangi siūlomo objekto T</w:t>
      </w:r>
      <w:r w:rsidRPr="00A27E2D">
        <w:rPr>
          <w:sz w:val="22"/>
          <w:szCs w:val="22"/>
          <w:vertAlign w:val="subscript"/>
        </w:rPr>
        <w:t>1</w:t>
      </w:r>
      <w:r w:rsidRPr="00A27E2D">
        <w:rPr>
          <w:sz w:val="22"/>
          <w:szCs w:val="22"/>
        </w:rPr>
        <w:t xml:space="preserve">, </w:t>
      </w:r>
      <w:r w:rsidR="00163D83" w:rsidRPr="00A27E2D">
        <w:rPr>
          <w:sz w:val="22"/>
          <w:szCs w:val="22"/>
        </w:rPr>
        <w:t>T</w:t>
      </w:r>
      <w:r w:rsidR="00163D83" w:rsidRPr="00A27E2D">
        <w:rPr>
          <w:sz w:val="22"/>
          <w:szCs w:val="22"/>
          <w:vertAlign w:val="subscript"/>
        </w:rPr>
        <w:t>2</w:t>
      </w:r>
      <w:r w:rsidR="00163D83" w:rsidRPr="00A27E2D">
        <w:rPr>
          <w:sz w:val="22"/>
          <w:szCs w:val="22"/>
        </w:rPr>
        <w:t xml:space="preserve">, </w:t>
      </w:r>
      <w:r w:rsidRPr="00A27E2D">
        <w:rPr>
          <w:sz w:val="22"/>
          <w:szCs w:val="22"/>
        </w:rPr>
        <w:t>T</w:t>
      </w:r>
      <w:r w:rsidRPr="00A27E2D">
        <w:rPr>
          <w:sz w:val="22"/>
          <w:szCs w:val="22"/>
          <w:vertAlign w:val="subscript"/>
        </w:rPr>
        <w:t>3</w:t>
      </w:r>
      <w:r w:rsidRPr="00A27E2D">
        <w:rPr>
          <w:sz w:val="22"/>
          <w:szCs w:val="22"/>
        </w:rPr>
        <w:t>, T</w:t>
      </w:r>
      <w:r w:rsidRPr="00A27E2D">
        <w:rPr>
          <w:sz w:val="22"/>
          <w:szCs w:val="22"/>
          <w:vertAlign w:val="subscript"/>
        </w:rPr>
        <w:t>4</w:t>
      </w:r>
      <w:r w:rsidRPr="00A27E2D">
        <w:rPr>
          <w:sz w:val="22"/>
          <w:szCs w:val="22"/>
        </w:rPr>
        <w:t>, T</w:t>
      </w:r>
      <w:r w:rsidRPr="00A27E2D">
        <w:rPr>
          <w:sz w:val="22"/>
          <w:szCs w:val="22"/>
          <w:vertAlign w:val="subscript"/>
        </w:rPr>
        <w:t>5</w:t>
      </w:r>
      <w:r w:rsidRPr="00A27E2D">
        <w:rPr>
          <w:sz w:val="22"/>
          <w:szCs w:val="22"/>
        </w:rPr>
        <w:t>, T</w:t>
      </w:r>
      <w:r w:rsidRPr="00A27E2D">
        <w:rPr>
          <w:sz w:val="22"/>
          <w:szCs w:val="22"/>
          <w:vertAlign w:val="subscript"/>
        </w:rPr>
        <w:t xml:space="preserve">6 </w:t>
      </w:r>
      <w:r w:rsidRPr="00A27E2D">
        <w:rPr>
          <w:sz w:val="22"/>
          <w:szCs w:val="22"/>
        </w:rPr>
        <w:t>techniniai parametrai neturi skaitinių išraiškų (yra arba nėra), todėl parametrų įvertinimas apskaičiuojamas pagal metodiką:</w:t>
      </w:r>
    </w:p>
    <w:p w14:paraId="51FCF665" w14:textId="60977000" w:rsidR="005A4774" w:rsidRPr="00A27E2D" w:rsidRDefault="005A4774" w:rsidP="00DD43D9">
      <w:pPr>
        <w:jc w:val="both"/>
        <w:rPr>
          <w:sz w:val="22"/>
          <w:szCs w:val="22"/>
        </w:rPr>
      </w:pPr>
      <w:r w:rsidRPr="00A27E2D">
        <w:rPr>
          <w:sz w:val="22"/>
          <w:szCs w:val="22"/>
        </w:rPr>
        <w:t>3.</w:t>
      </w:r>
      <w:r w:rsidR="000234E0" w:rsidRPr="00A27E2D">
        <w:rPr>
          <w:sz w:val="22"/>
          <w:szCs w:val="22"/>
        </w:rPr>
        <w:t>1</w:t>
      </w:r>
      <w:r w:rsidRPr="00A27E2D">
        <w:rPr>
          <w:sz w:val="22"/>
          <w:szCs w:val="22"/>
        </w:rPr>
        <w:t>. Jei siūlomas objektas turi nurodytą pr</w:t>
      </w:r>
      <w:r w:rsidR="00D73675" w:rsidRPr="00A27E2D">
        <w:rPr>
          <w:sz w:val="22"/>
          <w:szCs w:val="22"/>
        </w:rPr>
        <w:t>ivalumą</w:t>
      </w:r>
      <w:r w:rsidRPr="00A27E2D">
        <w:rPr>
          <w:sz w:val="22"/>
          <w:szCs w:val="22"/>
        </w:rPr>
        <w:t xml:space="preserve"> gauna maksimalų balų skaičių pagal lyginamąjį svorį: T</w:t>
      </w:r>
      <w:r w:rsidRPr="00A27E2D">
        <w:rPr>
          <w:sz w:val="22"/>
          <w:szCs w:val="22"/>
          <w:vertAlign w:val="subscript"/>
        </w:rPr>
        <w:t>1</w:t>
      </w:r>
      <w:r w:rsidRPr="00A27E2D">
        <w:rPr>
          <w:sz w:val="22"/>
          <w:szCs w:val="22"/>
        </w:rPr>
        <w:t xml:space="preserve"> = L</w:t>
      </w:r>
      <w:r w:rsidRPr="00A27E2D">
        <w:rPr>
          <w:sz w:val="22"/>
          <w:szCs w:val="22"/>
          <w:vertAlign w:val="subscript"/>
        </w:rPr>
        <w:t>1</w:t>
      </w:r>
      <w:r w:rsidRPr="00A27E2D">
        <w:rPr>
          <w:sz w:val="22"/>
          <w:szCs w:val="22"/>
        </w:rPr>
        <w:t xml:space="preserve"> = 0</w:t>
      </w:r>
      <w:r w:rsidR="00DD43D9">
        <w:rPr>
          <w:sz w:val="22"/>
          <w:szCs w:val="22"/>
        </w:rPr>
        <w:t>,</w:t>
      </w:r>
      <w:r w:rsidR="00D740E0" w:rsidRPr="00A27E2D">
        <w:rPr>
          <w:sz w:val="22"/>
          <w:szCs w:val="22"/>
        </w:rPr>
        <w:t>2</w:t>
      </w:r>
      <w:r w:rsidR="00163D83" w:rsidRPr="00A27E2D">
        <w:rPr>
          <w:sz w:val="22"/>
          <w:szCs w:val="22"/>
        </w:rPr>
        <w:t>0</w:t>
      </w:r>
      <w:r w:rsidRPr="00A27E2D">
        <w:rPr>
          <w:sz w:val="22"/>
          <w:szCs w:val="22"/>
        </w:rPr>
        <w:t xml:space="preserve">, </w:t>
      </w:r>
      <w:r w:rsidR="00163D83" w:rsidRPr="00A27E2D">
        <w:rPr>
          <w:sz w:val="22"/>
          <w:szCs w:val="22"/>
        </w:rPr>
        <w:t>T</w:t>
      </w:r>
      <w:r w:rsidR="00163D83" w:rsidRPr="00A27E2D">
        <w:rPr>
          <w:sz w:val="22"/>
          <w:szCs w:val="22"/>
          <w:vertAlign w:val="subscript"/>
        </w:rPr>
        <w:t>2</w:t>
      </w:r>
      <w:r w:rsidR="00163D83" w:rsidRPr="00A27E2D">
        <w:rPr>
          <w:sz w:val="22"/>
          <w:szCs w:val="22"/>
        </w:rPr>
        <w:t xml:space="preserve"> = L</w:t>
      </w:r>
      <w:r w:rsidR="00163D83" w:rsidRPr="00A27E2D">
        <w:rPr>
          <w:sz w:val="22"/>
          <w:szCs w:val="22"/>
          <w:vertAlign w:val="subscript"/>
        </w:rPr>
        <w:t>2</w:t>
      </w:r>
      <w:r w:rsidR="00163D83" w:rsidRPr="00A27E2D">
        <w:rPr>
          <w:sz w:val="22"/>
          <w:szCs w:val="22"/>
        </w:rPr>
        <w:t xml:space="preserve"> = 0</w:t>
      </w:r>
      <w:r w:rsidR="00DD43D9">
        <w:rPr>
          <w:sz w:val="22"/>
          <w:szCs w:val="22"/>
        </w:rPr>
        <w:t>,</w:t>
      </w:r>
      <w:r w:rsidR="00D740E0" w:rsidRPr="00A27E2D">
        <w:rPr>
          <w:sz w:val="22"/>
          <w:szCs w:val="22"/>
        </w:rPr>
        <w:t>2</w:t>
      </w:r>
      <w:r w:rsidR="00163D83" w:rsidRPr="00A27E2D">
        <w:rPr>
          <w:sz w:val="22"/>
          <w:szCs w:val="22"/>
        </w:rPr>
        <w:t xml:space="preserve">0, </w:t>
      </w:r>
      <w:r w:rsidRPr="00A27E2D">
        <w:rPr>
          <w:sz w:val="22"/>
          <w:szCs w:val="22"/>
        </w:rPr>
        <w:t>T</w:t>
      </w:r>
      <w:r w:rsidRPr="00A27E2D">
        <w:rPr>
          <w:sz w:val="22"/>
          <w:szCs w:val="22"/>
          <w:vertAlign w:val="subscript"/>
        </w:rPr>
        <w:t>3</w:t>
      </w:r>
      <w:r w:rsidRPr="00A27E2D">
        <w:rPr>
          <w:sz w:val="22"/>
          <w:szCs w:val="22"/>
        </w:rPr>
        <w:t xml:space="preserve"> = L</w:t>
      </w:r>
      <w:r w:rsidRPr="00A27E2D">
        <w:rPr>
          <w:sz w:val="22"/>
          <w:szCs w:val="22"/>
          <w:vertAlign w:val="subscript"/>
        </w:rPr>
        <w:t>3</w:t>
      </w:r>
      <w:r w:rsidRPr="00A27E2D">
        <w:rPr>
          <w:sz w:val="22"/>
          <w:szCs w:val="22"/>
        </w:rPr>
        <w:t xml:space="preserve"> = 0</w:t>
      </w:r>
      <w:r w:rsidR="00DD43D9">
        <w:rPr>
          <w:sz w:val="22"/>
          <w:szCs w:val="22"/>
        </w:rPr>
        <w:t>,</w:t>
      </w:r>
      <w:r w:rsidRPr="00A27E2D">
        <w:rPr>
          <w:sz w:val="22"/>
          <w:szCs w:val="22"/>
        </w:rPr>
        <w:t>20, T</w:t>
      </w:r>
      <w:r w:rsidRPr="00A27E2D">
        <w:rPr>
          <w:sz w:val="22"/>
          <w:szCs w:val="22"/>
          <w:vertAlign w:val="subscript"/>
        </w:rPr>
        <w:t>4</w:t>
      </w:r>
      <w:r w:rsidRPr="00A27E2D">
        <w:rPr>
          <w:sz w:val="22"/>
          <w:szCs w:val="22"/>
        </w:rPr>
        <w:t xml:space="preserve"> = L</w:t>
      </w:r>
      <w:r w:rsidRPr="00A27E2D">
        <w:rPr>
          <w:sz w:val="22"/>
          <w:szCs w:val="22"/>
          <w:vertAlign w:val="subscript"/>
        </w:rPr>
        <w:t>4</w:t>
      </w:r>
      <w:r w:rsidRPr="00A27E2D">
        <w:rPr>
          <w:sz w:val="22"/>
          <w:szCs w:val="22"/>
        </w:rPr>
        <w:t xml:space="preserve"> = 0</w:t>
      </w:r>
      <w:r w:rsidR="00DD43D9">
        <w:rPr>
          <w:sz w:val="22"/>
          <w:szCs w:val="22"/>
        </w:rPr>
        <w:t>,</w:t>
      </w:r>
      <w:r w:rsidRPr="00A27E2D">
        <w:rPr>
          <w:sz w:val="22"/>
          <w:szCs w:val="22"/>
        </w:rPr>
        <w:t>20, T5 = L5 = 0</w:t>
      </w:r>
      <w:r w:rsidR="00DD43D9">
        <w:rPr>
          <w:sz w:val="22"/>
          <w:szCs w:val="22"/>
        </w:rPr>
        <w:t>,</w:t>
      </w:r>
      <w:r w:rsidR="00D740E0" w:rsidRPr="00A27E2D">
        <w:rPr>
          <w:sz w:val="22"/>
          <w:szCs w:val="22"/>
        </w:rPr>
        <w:t>1</w:t>
      </w:r>
      <w:r w:rsidR="00163D83" w:rsidRPr="00A27E2D">
        <w:rPr>
          <w:sz w:val="22"/>
          <w:szCs w:val="22"/>
        </w:rPr>
        <w:t>0</w:t>
      </w:r>
      <w:r w:rsidRPr="00A27E2D">
        <w:rPr>
          <w:sz w:val="22"/>
          <w:szCs w:val="22"/>
        </w:rPr>
        <w:t>, T6 = L6 = 0</w:t>
      </w:r>
      <w:r w:rsidR="00DD43D9">
        <w:rPr>
          <w:sz w:val="22"/>
          <w:szCs w:val="22"/>
        </w:rPr>
        <w:t>,</w:t>
      </w:r>
      <w:r w:rsidR="00163D83" w:rsidRPr="00A27E2D">
        <w:rPr>
          <w:sz w:val="22"/>
          <w:szCs w:val="22"/>
        </w:rPr>
        <w:t>1</w:t>
      </w:r>
      <w:r w:rsidRPr="00A27E2D">
        <w:rPr>
          <w:sz w:val="22"/>
          <w:szCs w:val="22"/>
        </w:rPr>
        <w:t>0. Jei siūlomas objektas neturi nurodyto pr</w:t>
      </w:r>
      <w:r w:rsidR="00D73675" w:rsidRPr="00A27E2D">
        <w:rPr>
          <w:sz w:val="22"/>
          <w:szCs w:val="22"/>
        </w:rPr>
        <w:t>ivalumo</w:t>
      </w:r>
      <w:r w:rsidRPr="00A27E2D">
        <w:rPr>
          <w:sz w:val="22"/>
          <w:szCs w:val="22"/>
        </w:rPr>
        <w:t xml:space="preserve"> gauna 0 balų: T</w:t>
      </w:r>
      <w:r w:rsidRPr="00A27E2D">
        <w:rPr>
          <w:sz w:val="22"/>
          <w:szCs w:val="22"/>
          <w:vertAlign w:val="subscript"/>
        </w:rPr>
        <w:t>1</w:t>
      </w:r>
      <w:r w:rsidRPr="00A27E2D">
        <w:rPr>
          <w:sz w:val="22"/>
          <w:szCs w:val="22"/>
        </w:rPr>
        <w:t xml:space="preserve"> = L</w:t>
      </w:r>
      <w:r w:rsidRPr="00A27E2D">
        <w:rPr>
          <w:sz w:val="22"/>
          <w:szCs w:val="22"/>
          <w:vertAlign w:val="subscript"/>
        </w:rPr>
        <w:t>1</w:t>
      </w:r>
      <w:r w:rsidRPr="00A27E2D">
        <w:rPr>
          <w:sz w:val="22"/>
          <w:szCs w:val="22"/>
        </w:rPr>
        <w:t xml:space="preserve"> = 0, </w:t>
      </w:r>
      <w:r w:rsidR="00163D83" w:rsidRPr="00A27E2D">
        <w:rPr>
          <w:sz w:val="22"/>
          <w:szCs w:val="22"/>
        </w:rPr>
        <w:t>T</w:t>
      </w:r>
      <w:r w:rsidR="00163D83" w:rsidRPr="00A27E2D">
        <w:rPr>
          <w:sz w:val="22"/>
          <w:szCs w:val="22"/>
          <w:vertAlign w:val="subscript"/>
        </w:rPr>
        <w:t xml:space="preserve">2 </w:t>
      </w:r>
      <w:r w:rsidR="00163D83" w:rsidRPr="00A27E2D">
        <w:rPr>
          <w:sz w:val="22"/>
          <w:szCs w:val="22"/>
        </w:rPr>
        <w:t>= L</w:t>
      </w:r>
      <w:r w:rsidR="00163D83" w:rsidRPr="00A27E2D">
        <w:rPr>
          <w:sz w:val="22"/>
          <w:szCs w:val="22"/>
          <w:vertAlign w:val="subscript"/>
        </w:rPr>
        <w:t>2</w:t>
      </w:r>
      <w:r w:rsidR="00163D83" w:rsidRPr="00A27E2D">
        <w:rPr>
          <w:sz w:val="22"/>
          <w:szCs w:val="22"/>
        </w:rPr>
        <w:t xml:space="preserve"> = 0, </w:t>
      </w:r>
      <w:r w:rsidRPr="00A27E2D">
        <w:rPr>
          <w:sz w:val="22"/>
          <w:szCs w:val="22"/>
        </w:rPr>
        <w:t>T</w:t>
      </w:r>
      <w:r w:rsidRPr="00A27E2D">
        <w:rPr>
          <w:sz w:val="22"/>
          <w:szCs w:val="22"/>
          <w:vertAlign w:val="subscript"/>
        </w:rPr>
        <w:t>3</w:t>
      </w:r>
      <w:r w:rsidRPr="00A27E2D">
        <w:rPr>
          <w:sz w:val="22"/>
          <w:szCs w:val="22"/>
        </w:rPr>
        <w:t xml:space="preserve"> = L</w:t>
      </w:r>
      <w:r w:rsidRPr="00A27E2D">
        <w:rPr>
          <w:sz w:val="22"/>
          <w:szCs w:val="22"/>
          <w:vertAlign w:val="subscript"/>
        </w:rPr>
        <w:t>3</w:t>
      </w:r>
      <w:r w:rsidRPr="00A27E2D">
        <w:rPr>
          <w:sz w:val="22"/>
          <w:szCs w:val="22"/>
        </w:rPr>
        <w:t xml:space="preserve"> = 0, T</w:t>
      </w:r>
      <w:r w:rsidRPr="00A27E2D">
        <w:rPr>
          <w:sz w:val="22"/>
          <w:szCs w:val="22"/>
          <w:vertAlign w:val="subscript"/>
        </w:rPr>
        <w:t>4</w:t>
      </w:r>
      <w:r w:rsidRPr="00A27E2D">
        <w:rPr>
          <w:sz w:val="22"/>
          <w:szCs w:val="22"/>
        </w:rPr>
        <w:t xml:space="preserve"> = L</w:t>
      </w:r>
      <w:r w:rsidRPr="00A27E2D">
        <w:rPr>
          <w:sz w:val="22"/>
          <w:szCs w:val="22"/>
          <w:vertAlign w:val="subscript"/>
        </w:rPr>
        <w:t>4</w:t>
      </w:r>
      <w:r w:rsidRPr="00A27E2D">
        <w:rPr>
          <w:sz w:val="22"/>
          <w:szCs w:val="22"/>
        </w:rPr>
        <w:t xml:space="preserve"> = 0, T</w:t>
      </w:r>
      <w:r w:rsidRPr="00A27E2D">
        <w:rPr>
          <w:sz w:val="22"/>
          <w:szCs w:val="22"/>
          <w:vertAlign w:val="subscript"/>
        </w:rPr>
        <w:t>5</w:t>
      </w:r>
      <w:r w:rsidRPr="00A27E2D">
        <w:rPr>
          <w:sz w:val="22"/>
          <w:szCs w:val="22"/>
        </w:rPr>
        <w:t xml:space="preserve"> = L</w:t>
      </w:r>
      <w:r w:rsidRPr="00A27E2D">
        <w:rPr>
          <w:sz w:val="22"/>
          <w:szCs w:val="22"/>
          <w:vertAlign w:val="subscript"/>
        </w:rPr>
        <w:t>5</w:t>
      </w:r>
      <w:r w:rsidRPr="00A27E2D">
        <w:rPr>
          <w:sz w:val="22"/>
          <w:szCs w:val="22"/>
        </w:rPr>
        <w:t xml:space="preserve"> = 0, T</w:t>
      </w:r>
      <w:r w:rsidRPr="00A27E2D">
        <w:rPr>
          <w:sz w:val="22"/>
          <w:szCs w:val="22"/>
          <w:vertAlign w:val="subscript"/>
        </w:rPr>
        <w:t>6</w:t>
      </w:r>
      <w:r w:rsidRPr="00A27E2D">
        <w:rPr>
          <w:sz w:val="22"/>
          <w:szCs w:val="22"/>
        </w:rPr>
        <w:t xml:space="preserve"> = L</w:t>
      </w:r>
      <w:r w:rsidRPr="00A27E2D">
        <w:rPr>
          <w:sz w:val="22"/>
          <w:szCs w:val="22"/>
          <w:vertAlign w:val="subscript"/>
        </w:rPr>
        <w:t>6</w:t>
      </w:r>
      <w:r w:rsidRPr="00A27E2D">
        <w:rPr>
          <w:sz w:val="22"/>
          <w:szCs w:val="22"/>
        </w:rPr>
        <w:t xml:space="preserve"> = 0.</w:t>
      </w:r>
    </w:p>
    <w:p w14:paraId="452FD533" w14:textId="0FF4BA95" w:rsidR="00502568" w:rsidRPr="00A27E2D" w:rsidRDefault="00502568" w:rsidP="00DD43D9">
      <w:pPr>
        <w:jc w:val="both"/>
        <w:rPr>
          <w:sz w:val="22"/>
          <w:szCs w:val="22"/>
        </w:rPr>
      </w:pPr>
      <w:r w:rsidRPr="00A27E2D">
        <w:rPr>
          <w:sz w:val="22"/>
          <w:szCs w:val="22"/>
        </w:rPr>
        <w:t>Techninių pr</w:t>
      </w:r>
      <w:r w:rsidR="00D73675" w:rsidRPr="00A27E2D">
        <w:rPr>
          <w:sz w:val="22"/>
          <w:szCs w:val="22"/>
        </w:rPr>
        <w:t>ivalumų</w:t>
      </w:r>
      <w:r w:rsidRPr="00A27E2D">
        <w:rPr>
          <w:sz w:val="22"/>
          <w:szCs w:val="22"/>
        </w:rPr>
        <w:t xml:space="preserve"> (T) balai apskaičiuojami visų techninių kriterijų parametrų įvertinimų sumą padauginant iš techninių pr</w:t>
      </w:r>
      <w:r w:rsidR="00D73675" w:rsidRPr="00A27E2D">
        <w:rPr>
          <w:sz w:val="22"/>
          <w:szCs w:val="22"/>
        </w:rPr>
        <w:t>ivalumų</w:t>
      </w:r>
      <w:r w:rsidRPr="00A27E2D">
        <w:rPr>
          <w:sz w:val="22"/>
          <w:szCs w:val="22"/>
        </w:rPr>
        <w:t xml:space="preserve"> lyginamojo svorio (Y):</w:t>
      </w:r>
    </w:p>
    <w:p w14:paraId="27505C2C" w14:textId="3F84B988" w:rsidR="00502568" w:rsidRPr="00A27E2D" w:rsidRDefault="00502568" w:rsidP="00DD43D9">
      <w:pPr>
        <w:jc w:val="both"/>
        <w:rPr>
          <w:sz w:val="22"/>
          <w:szCs w:val="22"/>
        </w:rPr>
      </w:pPr>
      <w:r w:rsidRPr="00A27E2D">
        <w:rPr>
          <w:noProof/>
          <w:sz w:val="22"/>
          <w:szCs w:val="22"/>
          <w:lang w:eastAsia="lt-LT"/>
        </w:rPr>
        <mc:AlternateContent>
          <mc:Choice Requires="wps">
            <w:drawing>
              <wp:anchor distT="0" distB="0" distL="114300" distR="114300" simplePos="0" relativeHeight="251657216" behindDoc="0" locked="0" layoutInCell="1" allowOverlap="1" wp14:anchorId="5D628377" wp14:editId="7158E70D">
                <wp:simplePos x="0" y="0"/>
                <wp:positionH relativeFrom="column">
                  <wp:posOffset>2446600</wp:posOffset>
                </wp:positionH>
                <wp:positionV relativeFrom="paragraph">
                  <wp:posOffset>96907</wp:posOffset>
                </wp:positionV>
                <wp:extent cx="1765189" cy="731520"/>
                <wp:effectExtent l="0" t="0" r="0" b="0"/>
                <wp:wrapNone/>
                <wp:docPr id="9" name="TextBox 8">
                  <a:extLst xmlns:a="http://schemas.openxmlformats.org/drawingml/2006/main">
                    <a:ext uri="{FF2B5EF4-FFF2-40B4-BE49-F238E27FC236}">
                      <a16:creationId xmlns:a16="http://schemas.microsoft.com/office/drawing/2014/main" id="{3986D3E1-0839-4830-9A6C-859D8FC0948C}"/>
                    </a:ext>
                  </a:extLst>
                </wp:docPr>
                <wp:cNvGraphicFramePr/>
                <a:graphic xmlns:a="http://schemas.openxmlformats.org/drawingml/2006/main">
                  <a:graphicData uri="http://schemas.microsoft.com/office/word/2010/wordprocessingShape">
                    <wps:wsp>
                      <wps:cNvSpPr txBox="1"/>
                      <wps:spPr>
                        <a:xfrm>
                          <a:off x="0" y="0"/>
                          <a:ext cx="1765189" cy="73152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468D44B" w14:textId="1FCE818A" w:rsidR="00502568" w:rsidRDefault="00502568" w:rsidP="00502568">
                            <w:pPr>
                              <w:jc w:val="center"/>
                              <w:rPr>
                                <w:rFonts w:ascii="Cambria Math" w:hAnsi="Cambria Math" w:cstheme="minorBidi"/>
                                <w:i/>
                                <w:iCs/>
                                <w:color w:val="000000" w:themeColor="text1"/>
                                <w:sz w:val="32"/>
                                <w:szCs w:val="32"/>
                              </w:rPr>
                            </w:pPr>
                            <m:oMathPara>
                              <m:oMathParaPr>
                                <m:jc m:val="centerGroup"/>
                              </m:oMathParaPr>
                              <m:oMath>
                                <m:r>
                                  <w:rPr>
                                    <w:rFonts w:ascii="Cambria Math" w:hAnsi="Cambria Math" w:cstheme="minorBidi"/>
                                    <w:color w:val="000000" w:themeColor="text1"/>
                                    <w:sz w:val="32"/>
                                    <w:szCs w:val="32"/>
                                  </w:rPr>
                                  <m:t>T=</m:t>
                                </m:r>
                                <m:d>
                                  <m:dPr>
                                    <m:ctrlPr>
                                      <w:rPr>
                                        <w:rFonts w:ascii="Cambria Math" w:eastAsiaTheme="minorEastAsia" w:hAnsi="Cambria Math" w:cstheme="minorBidi"/>
                                        <w:i/>
                                        <w:iCs/>
                                        <w:color w:val="000000" w:themeColor="text1"/>
                                        <w:sz w:val="32"/>
                                        <w:szCs w:val="32"/>
                                      </w:rPr>
                                    </m:ctrlPr>
                                  </m:dPr>
                                  <m:e>
                                    <m:nary>
                                      <m:naryPr>
                                        <m:chr m:val="∑"/>
                                        <m:ctrlPr>
                                          <w:rPr>
                                            <w:rFonts w:ascii="Cambria Math" w:eastAsiaTheme="minorEastAsia" w:hAnsi="Cambria Math" w:cstheme="minorBidi"/>
                                            <w:i/>
                                            <w:iCs/>
                                            <w:color w:val="000000" w:themeColor="text1"/>
                                            <w:sz w:val="32"/>
                                            <w:szCs w:val="32"/>
                                          </w:rPr>
                                        </m:ctrlPr>
                                      </m:naryPr>
                                      <m:sub>
                                        <m:r>
                                          <w:rPr>
                                            <w:rFonts w:ascii="Cambria Math" w:hAnsi="Cambria Math" w:cstheme="minorBidi"/>
                                            <w:color w:val="000000" w:themeColor="text1"/>
                                            <w:sz w:val="32"/>
                                            <w:szCs w:val="32"/>
                                          </w:rPr>
                                          <m:t>i=1</m:t>
                                        </m:r>
                                      </m:sub>
                                      <m:sup>
                                        <m:r>
                                          <w:rPr>
                                            <w:rFonts w:ascii="Cambria Math" w:eastAsiaTheme="minorEastAsia" w:hAnsi="Cambria Math" w:cstheme="minorBidi"/>
                                            <w:color w:val="000000" w:themeColor="text1"/>
                                            <w:sz w:val="32"/>
                                            <w:szCs w:val="32"/>
                                          </w:rPr>
                                          <m:t>6</m:t>
                                        </m:r>
                                      </m:sup>
                                      <m:e>
                                        <m:sSub>
                                          <m:sSubPr>
                                            <m:ctrlPr>
                                              <w:rPr>
                                                <w:rFonts w:ascii="Cambria Math" w:eastAsiaTheme="minorEastAsia" w:hAnsi="Cambria Math" w:cstheme="minorBidi"/>
                                                <w:i/>
                                                <w:iCs/>
                                                <w:color w:val="000000" w:themeColor="text1"/>
                                                <w:sz w:val="32"/>
                                                <w:szCs w:val="32"/>
                                              </w:rPr>
                                            </m:ctrlPr>
                                          </m:sSubPr>
                                          <m:e>
                                            <m:r>
                                              <w:rPr>
                                                <w:rFonts w:ascii="Cambria Math" w:hAnsi="Cambria Math" w:cstheme="minorBidi"/>
                                                <w:color w:val="000000" w:themeColor="text1"/>
                                                <w:sz w:val="32"/>
                                                <w:szCs w:val="32"/>
                                              </w:rPr>
                                              <m:t>T</m:t>
                                            </m:r>
                                          </m:e>
                                          <m:sub>
                                            <m:r>
                                              <w:rPr>
                                                <w:rFonts w:ascii="Cambria Math" w:hAnsi="Cambria Math" w:cstheme="minorBidi"/>
                                                <w:color w:val="000000" w:themeColor="text1"/>
                                                <w:sz w:val="32"/>
                                                <w:szCs w:val="32"/>
                                              </w:rPr>
                                              <m:t>i</m:t>
                                            </m:r>
                                          </m:sub>
                                        </m:sSub>
                                      </m:e>
                                    </m:nary>
                                  </m:e>
                                </m:d>
                                <m:r>
                                  <w:rPr>
                                    <w:rFonts w:ascii="Cambria Math" w:hAnsi="Cambria Math" w:cstheme="minorBidi"/>
                                    <w:color w:val="000000" w:themeColor="text1"/>
                                    <w:sz w:val="32"/>
                                    <w:szCs w:val="32"/>
                                  </w:rPr>
                                  <m:t>x Y</m:t>
                                </m:r>
                              </m:oMath>
                            </m:oMathPara>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5D628377" id="_x0000_t202" coordsize="21600,21600" o:spt="202" path="m,l,21600r21600,l21600,xe">
                <v:stroke joinstyle="miter"/>
                <v:path gradientshapeok="t" o:connecttype="rect"/>
              </v:shapetype>
              <v:shape id="TextBox 8" o:spid="_x0000_s1026" type="#_x0000_t202" style="position:absolute;left:0;text-align:left;margin-left:192.65pt;margin-top:7.65pt;width:139pt;height:5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" filled="f" stroked="f">
                <v:textbox inset="0,0,0,0">
                  <w:txbxContent>
                    <w:p w14:paraId="5468D44B" w14:textId="1FCE818A" w:rsidR="00502568" w:rsidRDefault="00502568" w:rsidP="00502568">
                      <w:pPr>
                        <w:jc w:val="center"/>
                        <w:rPr>
                          <w:rFonts w:ascii="Cambria Math" w:hAnsi="Cambria Math" w:cstheme="minorBidi"/>
                          <w:i/>
                          <w:iCs/>
                          <w:color w:val="000000" w:themeColor="text1"/>
                          <w:sz w:val="32"/>
                          <w:szCs w:val="32"/>
                        </w:rPr>
                      </w:pPr>
                      <m:oMathPara>
                        <m:oMathParaPr>
                          <m:jc m:val="centerGroup"/>
                        </m:oMathParaPr>
                        <m:oMath>
                          <m:r>
                            <w:rPr>
                              <w:rFonts w:ascii="Cambria Math" w:hAnsi="Cambria Math" w:cstheme="minorBidi"/>
                              <w:color w:val="000000" w:themeColor="text1"/>
                              <w:sz w:val="32"/>
                              <w:szCs w:val="32"/>
                            </w:rPr>
                            <m:t>T=</m:t>
                          </m:r>
                          <m:d>
                            <m:dPr>
                              <m:ctrlPr>
                                <w:rPr>
                                  <w:rFonts w:ascii="Cambria Math" w:eastAsiaTheme="minorEastAsia" w:hAnsi="Cambria Math" w:cstheme="minorBidi"/>
                                  <w:i/>
                                  <w:iCs/>
                                  <w:color w:val="000000" w:themeColor="text1"/>
                                  <w:sz w:val="32"/>
                                  <w:szCs w:val="32"/>
                                </w:rPr>
                              </m:ctrlPr>
                            </m:dPr>
                            <m:e>
                              <m:nary>
                                <m:naryPr>
                                  <m:chr m:val="∑"/>
                                  <m:ctrlPr>
                                    <w:rPr>
                                      <w:rFonts w:ascii="Cambria Math" w:eastAsiaTheme="minorEastAsia" w:hAnsi="Cambria Math" w:cstheme="minorBidi"/>
                                      <w:i/>
                                      <w:iCs/>
                                      <w:color w:val="000000" w:themeColor="text1"/>
                                      <w:sz w:val="32"/>
                                      <w:szCs w:val="32"/>
                                    </w:rPr>
                                  </m:ctrlPr>
                                </m:naryPr>
                                <m:sub>
                                  <m:r>
                                    <w:rPr>
                                      <w:rFonts w:ascii="Cambria Math" w:hAnsi="Cambria Math" w:cstheme="minorBidi"/>
                                      <w:color w:val="000000" w:themeColor="text1"/>
                                      <w:sz w:val="32"/>
                                      <w:szCs w:val="32"/>
                                    </w:rPr>
                                    <m:t>i=1</m:t>
                                  </m:r>
                                </m:sub>
                                <m:sup>
                                  <m:r>
                                    <w:rPr>
                                      <w:rFonts w:ascii="Cambria Math" w:eastAsiaTheme="minorEastAsia" w:hAnsi="Cambria Math" w:cstheme="minorBidi"/>
                                      <w:color w:val="000000" w:themeColor="text1"/>
                                      <w:sz w:val="32"/>
                                      <w:szCs w:val="32"/>
                                    </w:rPr>
                                    <m:t>6</m:t>
                                  </m:r>
                                </m:sup>
                                <m:e>
                                  <m:sSub>
                                    <m:sSubPr>
                                      <m:ctrlPr>
                                        <w:rPr>
                                          <w:rFonts w:ascii="Cambria Math" w:eastAsiaTheme="minorEastAsia" w:hAnsi="Cambria Math" w:cstheme="minorBidi"/>
                                          <w:i/>
                                          <w:iCs/>
                                          <w:color w:val="000000" w:themeColor="text1"/>
                                          <w:sz w:val="32"/>
                                          <w:szCs w:val="32"/>
                                        </w:rPr>
                                      </m:ctrlPr>
                                    </m:sSubPr>
                                    <m:e>
                                      <m:r>
                                        <w:rPr>
                                          <w:rFonts w:ascii="Cambria Math" w:hAnsi="Cambria Math" w:cstheme="minorBidi"/>
                                          <w:color w:val="000000" w:themeColor="text1"/>
                                          <w:sz w:val="32"/>
                                          <w:szCs w:val="32"/>
                                        </w:rPr>
                                        <m:t>T</m:t>
                                      </m:r>
                                    </m:e>
                                    <m:sub>
                                      <m:r>
                                        <w:rPr>
                                          <w:rFonts w:ascii="Cambria Math" w:hAnsi="Cambria Math" w:cstheme="minorBidi"/>
                                          <w:color w:val="000000" w:themeColor="text1"/>
                                          <w:sz w:val="32"/>
                                          <w:szCs w:val="32"/>
                                        </w:rPr>
                                        <m:t>i</m:t>
                                      </m:r>
                                    </m:sub>
                                  </m:sSub>
                                </m:e>
                              </m:nary>
                            </m:e>
                          </m:d>
                          <m:r>
                            <w:rPr>
                              <w:rFonts w:ascii="Cambria Math" w:hAnsi="Cambria Math" w:cstheme="minorBidi"/>
                              <w:color w:val="000000" w:themeColor="text1"/>
                              <w:sz w:val="32"/>
                              <w:szCs w:val="32"/>
                            </w:rPr>
                            <m:t>x Y</m:t>
                          </m:r>
                        </m:oMath>
                      </m:oMathPara>
                    </w:p>
                  </w:txbxContent>
                </v:textbox>
              </v:shape>
            </w:pict>
          </mc:Fallback>
        </mc:AlternateContent>
      </w:r>
    </w:p>
    <w:bookmarkEnd w:id="0"/>
    <w:p w14:paraId="31CED94B" w14:textId="6772E6C3" w:rsidR="00502568" w:rsidRPr="00A27E2D" w:rsidRDefault="00502568" w:rsidP="00DD43D9">
      <w:pPr>
        <w:rPr>
          <w:sz w:val="22"/>
          <w:szCs w:val="22"/>
        </w:rPr>
      </w:pPr>
    </w:p>
    <w:bookmarkEnd w:id="1"/>
    <w:p w14:paraId="6062469E" w14:textId="77777777" w:rsidR="006879EC" w:rsidRPr="00A27E2D" w:rsidRDefault="006879EC" w:rsidP="00DD43D9">
      <w:pPr>
        <w:rPr>
          <w:sz w:val="22"/>
          <w:szCs w:val="22"/>
        </w:rPr>
      </w:pPr>
    </w:p>
    <w:sectPr w:rsidR="006879EC" w:rsidRPr="00A27E2D" w:rsidSect="00554FC4">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3B6FE" w14:textId="77777777" w:rsidR="007728D0" w:rsidRDefault="007728D0">
      <w:r>
        <w:separator/>
      </w:r>
    </w:p>
  </w:endnote>
  <w:endnote w:type="continuationSeparator" w:id="0">
    <w:p w14:paraId="6AD9CBCC" w14:textId="77777777" w:rsidR="007728D0" w:rsidRDefault="0077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DCDE" w14:textId="77777777" w:rsidR="00681B94" w:rsidRDefault="00681B94">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247783"/>
      <w:docPartObj>
        <w:docPartGallery w:val="Page Numbers (Bottom of Page)"/>
        <w:docPartUnique/>
      </w:docPartObj>
    </w:sdtPr>
    <w:sdtContent>
      <w:p w14:paraId="569828E3" w14:textId="2B88A675" w:rsidR="00CE7899" w:rsidRDefault="00CE7899">
        <w:pPr>
          <w:pStyle w:val="Porat"/>
          <w:jc w:val="center"/>
        </w:pPr>
        <w:r>
          <w:fldChar w:fldCharType="begin"/>
        </w:r>
        <w:r>
          <w:instrText>PAGE   \* MERGEFORMAT</w:instrText>
        </w:r>
        <w:r>
          <w:fldChar w:fldCharType="separate"/>
        </w:r>
        <w:r w:rsidR="004B71D7">
          <w:rPr>
            <w:noProof/>
          </w:rPr>
          <w:t>2</w:t>
        </w:r>
        <w:r>
          <w:fldChar w:fldCharType="end"/>
        </w:r>
      </w:p>
    </w:sdtContent>
  </w:sdt>
  <w:p w14:paraId="21A52E0D" w14:textId="77777777" w:rsidR="00681B94" w:rsidRDefault="00681B94">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8DFB" w14:textId="77777777" w:rsidR="00681B94" w:rsidRDefault="00681B9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7D0C9" w14:textId="77777777" w:rsidR="007728D0" w:rsidRDefault="007728D0">
      <w:r>
        <w:separator/>
      </w:r>
    </w:p>
  </w:footnote>
  <w:footnote w:type="continuationSeparator" w:id="0">
    <w:p w14:paraId="32E054F1" w14:textId="77777777" w:rsidR="007728D0" w:rsidRDefault="00772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3FAC" w14:textId="77777777" w:rsidR="00681B94" w:rsidRDefault="00681B94">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60CB" w14:textId="77777777" w:rsidR="00681B94" w:rsidRDefault="00647A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B71D7">
      <w:rPr>
        <w:noProof/>
        <w:color w:val="000000"/>
      </w:rPr>
      <w:t>2</w:t>
    </w:r>
    <w:r>
      <w:rPr>
        <w:color w:val="000000"/>
      </w:rPr>
      <w:fldChar w:fldCharType="end"/>
    </w:r>
  </w:p>
  <w:p w14:paraId="30300957" w14:textId="77777777" w:rsidR="00681B94" w:rsidRDefault="00681B94">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99AA" w14:textId="77777777" w:rsidR="00681B94" w:rsidRDefault="00681B94">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2476"/>
    <w:multiLevelType w:val="hybridMultilevel"/>
    <w:tmpl w:val="49C8D82C"/>
    <w:lvl w:ilvl="0" w:tplc="04270017">
      <w:start w:val="1"/>
      <w:numFmt w:val="lowerLetter"/>
      <w:lvlText w:val="%1)"/>
      <w:lvlJc w:val="left"/>
      <w:pPr>
        <w:ind w:left="501"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7911E5"/>
    <w:multiLevelType w:val="hybridMultilevel"/>
    <w:tmpl w:val="6130F62E"/>
    <w:lvl w:ilvl="0" w:tplc="0427000F">
      <w:start w:val="1"/>
      <w:numFmt w:val="decimal"/>
      <w:lvlText w:val="%1."/>
      <w:lvlJc w:val="left"/>
      <w:pPr>
        <w:ind w:left="1037" w:hanging="360"/>
      </w:p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2" w15:restartNumberingAfterBreak="0">
    <w:nsid w:val="0B125FA7"/>
    <w:multiLevelType w:val="multilevel"/>
    <w:tmpl w:val="91783F60"/>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35E13921"/>
    <w:multiLevelType w:val="multilevel"/>
    <w:tmpl w:val="AEBC010A"/>
    <w:lvl w:ilvl="0">
      <w:start w:val="1"/>
      <w:numFmt w:val="decimal"/>
      <w:lvlText w:val="%1."/>
      <w:lvlJc w:val="left"/>
      <w:pPr>
        <w:ind w:left="720" w:hanging="360"/>
      </w:pPr>
      <w:rPr>
        <w:b w:val="0"/>
      </w:rPr>
    </w:lvl>
    <w:lvl w:ilvl="1">
      <w:start w:val="1"/>
      <w:numFmt w:val="decimal"/>
      <w:lvlText w:val="%1.%2."/>
      <w:lvlJc w:val="left"/>
      <w:pPr>
        <w:ind w:left="1037" w:hanging="360"/>
      </w:pPr>
      <w:rPr>
        <w:b w:val="0"/>
      </w:rPr>
    </w:lvl>
    <w:lvl w:ilvl="2">
      <w:start w:val="1"/>
      <w:numFmt w:val="decimal"/>
      <w:lvlText w:val="%1.%2.%3."/>
      <w:lvlJc w:val="left"/>
      <w:pPr>
        <w:ind w:left="1714" w:hanging="720"/>
      </w:pPr>
      <w:rPr>
        <w:b w:val="0"/>
      </w:rPr>
    </w:lvl>
    <w:lvl w:ilvl="3">
      <w:start w:val="1"/>
      <w:numFmt w:val="decimal"/>
      <w:lvlText w:val="%1.%2.%3.%4."/>
      <w:lvlJc w:val="left"/>
      <w:pPr>
        <w:ind w:left="2031" w:hanging="720"/>
      </w:pPr>
      <w:rPr>
        <w:b w:val="0"/>
      </w:rPr>
    </w:lvl>
    <w:lvl w:ilvl="4">
      <w:start w:val="1"/>
      <w:numFmt w:val="decimal"/>
      <w:lvlText w:val="%1.%2.%3.%4.%5."/>
      <w:lvlJc w:val="left"/>
      <w:pPr>
        <w:ind w:left="2708" w:hanging="1080"/>
      </w:pPr>
      <w:rPr>
        <w:b w:val="0"/>
      </w:rPr>
    </w:lvl>
    <w:lvl w:ilvl="5">
      <w:start w:val="1"/>
      <w:numFmt w:val="decimal"/>
      <w:lvlText w:val="%1.%2.%3.%4.%5.%6."/>
      <w:lvlJc w:val="left"/>
      <w:pPr>
        <w:ind w:left="3025" w:hanging="1080"/>
      </w:pPr>
      <w:rPr>
        <w:b w:val="0"/>
      </w:rPr>
    </w:lvl>
    <w:lvl w:ilvl="6">
      <w:start w:val="1"/>
      <w:numFmt w:val="decimal"/>
      <w:lvlText w:val="%1.%2.%3.%4.%5.%6.%7."/>
      <w:lvlJc w:val="left"/>
      <w:pPr>
        <w:ind w:left="3702" w:hanging="1440"/>
      </w:pPr>
      <w:rPr>
        <w:b w:val="0"/>
      </w:rPr>
    </w:lvl>
    <w:lvl w:ilvl="7">
      <w:start w:val="1"/>
      <w:numFmt w:val="decimal"/>
      <w:lvlText w:val="%1.%2.%3.%4.%5.%6.%7.%8."/>
      <w:lvlJc w:val="left"/>
      <w:pPr>
        <w:ind w:left="4019" w:hanging="1440"/>
      </w:pPr>
      <w:rPr>
        <w:b w:val="0"/>
      </w:rPr>
    </w:lvl>
    <w:lvl w:ilvl="8">
      <w:start w:val="1"/>
      <w:numFmt w:val="decimal"/>
      <w:lvlText w:val="%1.%2.%3.%4.%5.%6.%7.%8.%9."/>
      <w:lvlJc w:val="left"/>
      <w:pPr>
        <w:ind w:left="4696" w:hanging="1800"/>
      </w:pPr>
      <w:rPr>
        <w:b w:val="0"/>
      </w:rPr>
    </w:lvl>
  </w:abstractNum>
  <w:abstractNum w:abstractNumId="4" w15:restartNumberingAfterBreak="0">
    <w:nsid w:val="3AB441D0"/>
    <w:multiLevelType w:val="hybridMultilevel"/>
    <w:tmpl w:val="D3E6B21C"/>
    <w:lvl w:ilvl="0" w:tplc="C5804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E162B"/>
    <w:multiLevelType w:val="multilevel"/>
    <w:tmpl w:val="43044F4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A310927"/>
    <w:multiLevelType w:val="hybridMultilevel"/>
    <w:tmpl w:val="A6EAD0FE"/>
    <w:lvl w:ilvl="0" w:tplc="7C881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B5381E"/>
    <w:multiLevelType w:val="hybridMultilevel"/>
    <w:tmpl w:val="56161624"/>
    <w:lvl w:ilvl="0" w:tplc="BB88C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9" w15:restartNumberingAfterBreak="0">
    <w:nsid w:val="70D9771C"/>
    <w:multiLevelType w:val="multilevel"/>
    <w:tmpl w:val="78AE46D4"/>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27920220">
    <w:abstractNumId w:val="3"/>
  </w:num>
  <w:num w:numId="2" w16cid:durableId="1760590916">
    <w:abstractNumId w:val="5"/>
  </w:num>
  <w:num w:numId="3" w16cid:durableId="876089715">
    <w:abstractNumId w:val="0"/>
  </w:num>
  <w:num w:numId="4" w16cid:durableId="103352144">
    <w:abstractNumId w:val="8"/>
  </w:num>
  <w:num w:numId="5" w16cid:durableId="789665041">
    <w:abstractNumId w:val="6"/>
  </w:num>
  <w:num w:numId="6" w16cid:durableId="2147164652">
    <w:abstractNumId w:val="7"/>
  </w:num>
  <w:num w:numId="7" w16cid:durableId="951520452">
    <w:abstractNumId w:val="4"/>
  </w:num>
  <w:num w:numId="8" w16cid:durableId="1962804360">
    <w:abstractNumId w:val="1"/>
  </w:num>
  <w:num w:numId="9" w16cid:durableId="1723601232">
    <w:abstractNumId w:val="2"/>
  </w:num>
  <w:num w:numId="10" w16cid:durableId="7534307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94"/>
    <w:rsid w:val="00016711"/>
    <w:rsid w:val="000234E0"/>
    <w:rsid w:val="00035EE4"/>
    <w:rsid w:val="0004037A"/>
    <w:rsid w:val="00040595"/>
    <w:rsid w:val="000574AA"/>
    <w:rsid w:val="00061142"/>
    <w:rsid w:val="000641AB"/>
    <w:rsid w:val="00075A69"/>
    <w:rsid w:val="00087B53"/>
    <w:rsid w:val="000A183B"/>
    <w:rsid w:val="000A3237"/>
    <w:rsid w:val="000B24F8"/>
    <w:rsid w:val="000C5D83"/>
    <w:rsid w:val="000D14D9"/>
    <w:rsid w:val="00103AA2"/>
    <w:rsid w:val="00121659"/>
    <w:rsid w:val="00122C6C"/>
    <w:rsid w:val="00126E6B"/>
    <w:rsid w:val="001349A6"/>
    <w:rsid w:val="00163D83"/>
    <w:rsid w:val="00180B1B"/>
    <w:rsid w:val="001A448D"/>
    <w:rsid w:val="001E01CD"/>
    <w:rsid w:val="001E112D"/>
    <w:rsid w:val="0020011B"/>
    <w:rsid w:val="00216C31"/>
    <w:rsid w:val="002215DD"/>
    <w:rsid w:val="00225A29"/>
    <w:rsid w:val="0024431D"/>
    <w:rsid w:val="00244D6B"/>
    <w:rsid w:val="00245A2E"/>
    <w:rsid w:val="00246DB8"/>
    <w:rsid w:val="00251CA7"/>
    <w:rsid w:val="00255E0A"/>
    <w:rsid w:val="00271B0B"/>
    <w:rsid w:val="00272092"/>
    <w:rsid w:val="00281637"/>
    <w:rsid w:val="00281CBE"/>
    <w:rsid w:val="002B19E1"/>
    <w:rsid w:val="002C2CF9"/>
    <w:rsid w:val="002E4414"/>
    <w:rsid w:val="0030304E"/>
    <w:rsid w:val="003126D9"/>
    <w:rsid w:val="0032152A"/>
    <w:rsid w:val="003235DA"/>
    <w:rsid w:val="00342C52"/>
    <w:rsid w:val="00383BFB"/>
    <w:rsid w:val="003A4A12"/>
    <w:rsid w:val="003B4A7F"/>
    <w:rsid w:val="003B6B1A"/>
    <w:rsid w:val="003C6C26"/>
    <w:rsid w:val="003D2859"/>
    <w:rsid w:val="003D7758"/>
    <w:rsid w:val="003E0D7D"/>
    <w:rsid w:val="003F1190"/>
    <w:rsid w:val="003F450B"/>
    <w:rsid w:val="00412C5B"/>
    <w:rsid w:val="004164C2"/>
    <w:rsid w:val="00416650"/>
    <w:rsid w:val="00426193"/>
    <w:rsid w:val="00470CA1"/>
    <w:rsid w:val="004776EF"/>
    <w:rsid w:val="00477DB1"/>
    <w:rsid w:val="004A00DD"/>
    <w:rsid w:val="004B71D7"/>
    <w:rsid w:val="004C0F60"/>
    <w:rsid w:val="004E0FA4"/>
    <w:rsid w:val="004E3BC2"/>
    <w:rsid w:val="00502568"/>
    <w:rsid w:val="00505684"/>
    <w:rsid w:val="00535382"/>
    <w:rsid w:val="00540A4E"/>
    <w:rsid w:val="0054581C"/>
    <w:rsid w:val="00554FC4"/>
    <w:rsid w:val="00570430"/>
    <w:rsid w:val="00580ED3"/>
    <w:rsid w:val="005A4774"/>
    <w:rsid w:val="005C4566"/>
    <w:rsid w:val="005E2559"/>
    <w:rsid w:val="005E638E"/>
    <w:rsid w:val="00611C8D"/>
    <w:rsid w:val="00615D01"/>
    <w:rsid w:val="00633CC6"/>
    <w:rsid w:val="00647A2C"/>
    <w:rsid w:val="00663006"/>
    <w:rsid w:val="006656D4"/>
    <w:rsid w:val="00681B94"/>
    <w:rsid w:val="006879EC"/>
    <w:rsid w:val="006908CB"/>
    <w:rsid w:val="006B3B41"/>
    <w:rsid w:val="006D377B"/>
    <w:rsid w:val="006E5A72"/>
    <w:rsid w:val="006F171D"/>
    <w:rsid w:val="00703F22"/>
    <w:rsid w:val="00710745"/>
    <w:rsid w:val="00726084"/>
    <w:rsid w:val="007457CC"/>
    <w:rsid w:val="00762C2D"/>
    <w:rsid w:val="007728D0"/>
    <w:rsid w:val="007842F3"/>
    <w:rsid w:val="00794C24"/>
    <w:rsid w:val="007A0149"/>
    <w:rsid w:val="007A1868"/>
    <w:rsid w:val="007A2E18"/>
    <w:rsid w:val="007E4E9B"/>
    <w:rsid w:val="007F6C89"/>
    <w:rsid w:val="008242A1"/>
    <w:rsid w:val="00826D87"/>
    <w:rsid w:val="008423BC"/>
    <w:rsid w:val="008519D9"/>
    <w:rsid w:val="008941B2"/>
    <w:rsid w:val="00895866"/>
    <w:rsid w:val="008B0442"/>
    <w:rsid w:val="008C09DA"/>
    <w:rsid w:val="00905183"/>
    <w:rsid w:val="009066D7"/>
    <w:rsid w:val="00917C34"/>
    <w:rsid w:val="00925BC0"/>
    <w:rsid w:val="00926062"/>
    <w:rsid w:val="00930226"/>
    <w:rsid w:val="00936568"/>
    <w:rsid w:val="00945452"/>
    <w:rsid w:val="009538EB"/>
    <w:rsid w:val="00963E93"/>
    <w:rsid w:val="00966399"/>
    <w:rsid w:val="009C2A66"/>
    <w:rsid w:val="009E6FD1"/>
    <w:rsid w:val="00A00DCE"/>
    <w:rsid w:val="00A04700"/>
    <w:rsid w:val="00A06DE8"/>
    <w:rsid w:val="00A10A42"/>
    <w:rsid w:val="00A205EC"/>
    <w:rsid w:val="00A246D1"/>
    <w:rsid w:val="00A27E2D"/>
    <w:rsid w:val="00A36607"/>
    <w:rsid w:val="00A45C77"/>
    <w:rsid w:val="00A52620"/>
    <w:rsid w:val="00A6403E"/>
    <w:rsid w:val="00A77421"/>
    <w:rsid w:val="00A92D1B"/>
    <w:rsid w:val="00AA03CA"/>
    <w:rsid w:val="00AB2981"/>
    <w:rsid w:val="00AC795F"/>
    <w:rsid w:val="00AD08C3"/>
    <w:rsid w:val="00AD4D99"/>
    <w:rsid w:val="00AE722E"/>
    <w:rsid w:val="00B00643"/>
    <w:rsid w:val="00B2244F"/>
    <w:rsid w:val="00B25DD2"/>
    <w:rsid w:val="00B33FC1"/>
    <w:rsid w:val="00B4592E"/>
    <w:rsid w:val="00B663A6"/>
    <w:rsid w:val="00B67424"/>
    <w:rsid w:val="00B8276C"/>
    <w:rsid w:val="00B85341"/>
    <w:rsid w:val="00BE439A"/>
    <w:rsid w:val="00C02B8E"/>
    <w:rsid w:val="00C12B81"/>
    <w:rsid w:val="00C131D2"/>
    <w:rsid w:val="00C1551C"/>
    <w:rsid w:val="00C606C0"/>
    <w:rsid w:val="00C72A11"/>
    <w:rsid w:val="00C84447"/>
    <w:rsid w:val="00CA6995"/>
    <w:rsid w:val="00CC04E7"/>
    <w:rsid w:val="00CD30CE"/>
    <w:rsid w:val="00CD6AA6"/>
    <w:rsid w:val="00CE1E19"/>
    <w:rsid w:val="00CE7899"/>
    <w:rsid w:val="00D14DA5"/>
    <w:rsid w:val="00D152A4"/>
    <w:rsid w:val="00D2775A"/>
    <w:rsid w:val="00D41A79"/>
    <w:rsid w:val="00D51972"/>
    <w:rsid w:val="00D73675"/>
    <w:rsid w:val="00D740E0"/>
    <w:rsid w:val="00D804A2"/>
    <w:rsid w:val="00D84477"/>
    <w:rsid w:val="00D87DD6"/>
    <w:rsid w:val="00D95297"/>
    <w:rsid w:val="00DD43D9"/>
    <w:rsid w:val="00DF0092"/>
    <w:rsid w:val="00DF0A05"/>
    <w:rsid w:val="00DF6693"/>
    <w:rsid w:val="00DF7EC8"/>
    <w:rsid w:val="00E16A4F"/>
    <w:rsid w:val="00E342CF"/>
    <w:rsid w:val="00E41410"/>
    <w:rsid w:val="00E5278F"/>
    <w:rsid w:val="00E530EA"/>
    <w:rsid w:val="00E6411E"/>
    <w:rsid w:val="00E91A43"/>
    <w:rsid w:val="00E92426"/>
    <w:rsid w:val="00E92A3B"/>
    <w:rsid w:val="00E956C3"/>
    <w:rsid w:val="00EA1479"/>
    <w:rsid w:val="00EB6139"/>
    <w:rsid w:val="00EC3078"/>
    <w:rsid w:val="00ED6B6B"/>
    <w:rsid w:val="00EE262C"/>
    <w:rsid w:val="00F25603"/>
    <w:rsid w:val="00F6507B"/>
    <w:rsid w:val="00F81A56"/>
    <w:rsid w:val="00F86F94"/>
    <w:rsid w:val="00F9495F"/>
    <w:rsid w:val="00FA2714"/>
    <w:rsid w:val="00FD1FF6"/>
    <w:rsid w:val="00FD51E8"/>
    <w:rsid w:val="00FF4796"/>
    <w:rsid w:val="00FF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AFEC"/>
  <w15:docId w15:val="{6894CBA8-FD67-42D3-B3B6-5350D57F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0" w:type="dxa"/>
        <w:right w:w="10" w:type="dxa"/>
      </w:tblCellMar>
    </w:tblPr>
  </w:style>
  <w:style w:type="table" w:customStyle="1" w:styleId="a0">
    <w:basedOn w:val="prastojilentel"/>
    <w:tblPr>
      <w:tblStyleRowBandSize w:val="1"/>
      <w:tblStyleColBandSize w:val="1"/>
    </w:tblPr>
  </w:style>
  <w:style w:type="paragraph" w:customStyle="1" w:styleId="pf0">
    <w:name w:val="pf0"/>
    <w:basedOn w:val="prastasis"/>
    <w:rsid w:val="009538EB"/>
    <w:pPr>
      <w:spacing w:before="100" w:beforeAutospacing="1" w:after="100" w:afterAutospacing="1"/>
    </w:pPr>
    <w:rPr>
      <w:lang w:eastAsia="lt-LT"/>
    </w:rPr>
  </w:style>
  <w:style w:type="character" w:customStyle="1" w:styleId="cf01">
    <w:name w:val="cf01"/>
    <w:basedOn w:val="Numatytasispastraiposriftas"/>
    <w:rsid w:val="009538EB"/>
    <w:rPr>
      <w:rFonts w:ascii="Segoe UI" w:hAnsi="Segoe UI" w:cs="Segoe UI" w:hint="default"/>
      <w:sz w:val="18"/>
      <w:szCs w:val="18"/>
    </w:rPr>
  </w:style>
  <w:style w:type="table" w:styleId="Lentelstinklelis">
    <w:name w:val="Table Grid"/>
    <w:basedOn w:val="prastojilentel"/>
    <w:uiPriority w:val="39"/>
    <w:rsid w:val="009538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9538E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9538EB"/>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9538EB"/>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9538EB"/>
    <w:rPr>
      <w:rFonts w:ascii="Calibri" w:eastAsia="Calibri" w:hAnsi="Calibri"/>
      <w:sz w:val="22"/>
      <w:szCs w:val="22"/>
    </w:rPr>
  </w:style>
  <w:style w:type="paragraph" w:customStyle="1" w:styleId="Skaiiai2lygis">
    <w:name w:val="Skaičiai_2 lygis"/>
    <w:basedOn w:val="prastasis"/>
    <w:link w:val="Skaiiai2lygisChar"/>
    <w:qFormat/>
    <w:rsid w:val="009538EB"/>
    <w:pPr>
      <w:numPr>
        <w:ilvl w:val="1"/>
        <w:numId w:val="4"/>
      </w:numPr>
      <w:jc w:val="both"/>
    </w:pPr>
    <w:rPr>
      <w:color w:val="000000"/>
      <w:sz w:val="22"/>
      <w:szCs w:val="22"/>
      <w:lang w:val="en-US"/>
    </w:rPr>
  </w:style>
  <w:style w:type="character" w:customStyle="1" w:styleId="Skaiiai2lygisChar">
    <w:name w:val="Skaičiai_2 lygis Char"/>
    <w:basedOn w:val="Numatytasispastraiposriftas"/>
    <w:link w:val="Skaiiai2lygis"/>
    <w:locked/>
    <w:rsid w:val="009538EB"/>
    <w:rPr>
      <w:color w:val="000000"/>
      <w:sz w:val="22"/>
      <w:szCs w:val="22"/>
      <w:lang w:val="en-US"/>
    </w:rPr>
  </w:style>
  <w:style w:type="character" w:customStyle="1" w:styleId="PavadinimasDiagrama">
    <w:name w:val="Pavadinimas Diagrama"/>
    <w:basedOn w:val="Numatytasispastraiposriftas"/>
    <w:link w:val="Pavadinimas"/>
    <w:rsid w:val="00122C6C"/>
    <w:rPr>
      <w:b/>
      <w:sz w:val="72"/>
      <w:szCs w:val="72"/>
    </w:rPr>
  </w:style>
  <w:style w:type="paragraph" w:styleId="Porat">
    <w:name w:val="footer"/>
    <w:basedOn w:val="prastasis"/>
    <w:link w:val="PoratDiagrama"/>
    <w:uiPriority w:val="99"/>
    <w:unhideWhenUsed/>
    <w:rsid w:val="00CE7899"/>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CE7899"/>
    <w:rPr>
      <w:rFonts w:asciiTheme="minorHAnsi" w:eastAsiaTheme="minorEastAsia" w:hAnsiTheme="minorHAnsi"/>
      <w:sz w:val="22"/>
      <w:szCs w:val="22"/>
      <w:lang w:eastAsia="lt-LT"/>
    </w:rPr>
  </w:style>
  <w:style w:type="paragraph" w:customStyle="1" w:styleId="Standard">
    <w:name w:val="Standard"/>
    <w:rsid w:val="00AC795F"/>
    <w:pPr>
      <w:widowControl w:val="0"/>
      <w:suppressAutoHyphens/>
      <w:autoSpaceDN w:val="0"/>
      <w:textAlignment w:val="baseline"/>
    </w:pPr>
    <w:rPr>
      <w:rFonts w:eastAsia="SimSun" w:cs="Arial"/>
      <w:kern w:val="3"/>
      <w:lang w:eastAsia="zh-CN" w:bidi="hi-IN"/>
    </w:rPr>
  </w:style>
  <w:style w:type="paragraph" w:styleId="Debesliotekstas">
    <w:name w:val="Balloon Text"/>
    <w:basedOn w:val="prastasis"/>
    <w:link w:val="DebesliotekstasDiagrama"/>
    <w:uiPriority w:val="99"/>
    <w:semiHidden/>
    <w:unhideWhenUsed/>
    <w:rsid w:val="00EC307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C3078"/>
    <w:rPr>
      <w:rFonts w:ascii="Tahoma" w:hAnsi="Tahoma" w:cs="Tahoma"/>
      <w:sz w:val="16"/>
      <w:szCs w:val="16"/>
    </w:rPr>
  </w:style>
  <w:style w:type="character" w:styleId="Vietosrezervavimoenklotekstas">
    <w:name w:val="Placeholder Text"/>
    <w:basedOn w:val="Numatytasispastraiposriftas"/>
    <w:uiPriority w:val="99"/>
    <w:semiHidden/>
    <w:rsid w:val="00B4592E"/>
    <w:rPr>
      <w:color w:val="808080"/>
    </w:rPr>
  </w:style>
  <w:style w:type="character" w:styleId="Komentaronuoroda">
    <w:name w:val="annotation reference"/>
    <w:basedOn w:val="Numatytasispastraiposriftas"/>
    <w:uiPriority w:val="99"/>
    <w:semiHidden/>
    <w:unhideWhenUsed/>
    <w:rsid w:val="00DD43D9"/>
    <w:rPr>
      <w:sz w:val="16"/>
      <w:szCs w:val="16"/>
    </w:rPr>
  </w:style>
  <w:style w:type="paragraph" w:styleId="Komentarotekstas">
    <w:name w:val="annotation text"/>
    <w:basedOn w:val="prastasis"/>
    <w:link w:val="KomentarotekstasDiagrama"/>
    <w:uiPriority w:val="99"/>
    <w:semiHidden/>
    <w:unhideWhenUsed/>
    <w:rsid w:val="00DD43D9"/>
    <w:rPr>
      <w:sz w:val="20"/>
      <w:szCs w:val="20"/>
    </w:rPr>
  </w:style>
  <w:style w:type="character" w:customStyle="1" w:styleId="KomentarotekstasDiagrama">
    <w:name w:val="Komentaro tekstas Diagrama"/>
    <w:basedOn w:val="Numatytasispastraiposriftas"/>
    <w:link w:val="Komentarotekstas"/>
    <w:uiPriority w:val="99"/>
    <w:semiHidden/>
    <w:rsid w:val="00DD43D9"/>
    <w:rPr>
      <w:sz w:val="20"/>
      <w:szCs w:val="20"/>
    </w:rPr>
  </w:style>
  <w:style w:type="paragraph" w:styleId="Komentarotema">
    <w:name w:val="annotation subject"/>
    <w:basedOn w:val="Komentarotekstas"/>
    <w:next w:val="Komentarotekstas"/>
    <w:link w:val="KomentarotemaDiagrama"/>
    <w:uiPriority w:val="99"/>
    <w:semiHidden/>
    <w:unhideWhenUsed/>
    <w:rsid w:val="00DD43D9"/>
    <w:rPr>
      <w:b/>
      <w:bCs/>
    </w:rPr>
  </w:style>
  <w:style w:type="character" w:customStyle="1" w:styleId="KomentarotemaDiagrama">
    <w:name w:val="Komentaro tema Diagrama"/>
    <w:basedOn w:val="KomentarotekstasDiagrama"/>
    <w:link w:val="Komentarotema"/>
    <w:uiPriority w:val="99"/>
    <w:semiHidden/>
    <w:rsid w:val="00DD43D9"/>
    <w:rPr>
      <w:b/>
      <w:bCs/>
      <w:sz w:val="20"/>
      <w:szCs w:val="20"/>
    </w:rPr>
  </w:style>
  <w:style w:type="paragraph" w:styleId="Pataisymai">
    <w:name w:val="Revision"/>
    <w:hidden/>
    <w:uiPriority w:val="99"/>
    <w:semiHidden/>
    <w:rsid w:val="00D95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2613</Words>
  <Characters>1490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Palmira J</cp:lastModifiedBy>
  <cp:revision>9</cp:revision>
  <dcterms:created xsi:type="dcterms:W3CDTF">2025-07-21T08:02:00Z</dcterms:created>
  <dcterms:modified xsi:type="dcterms:W3CDTF">2025-09-08T08:07:00Z</dcterms:modified>
</cp:coreProperties>
</file>