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5D77F571"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w:t>
          </w:r>
          <w:r w:rsidR="00AE7746">
            <w:rPr>
              <w:rFonts w:ascii="Times New Roman" w:eastAsia="Calibri" w:hAnsi="Times New Roman" w:cs="Times New Roman"/>
              <w:kern w:val="19"/>
              <w:sz w:val="18"/>
              <w:szCs w:val="18"/>
            </w:rPr>
            <w:t>41</w:t>
          </w:r>
          <w:r w:rsidRPr="006B16BB">
            <w:rPr>
              <w:rFonts w:ascii="Times New Roman" w:eastAsia="Calibri" w:hAnsi="Times New Roman" w:cs="Times New Roman"/>
              <w:kern w:val="19"/>
              <w:sz w:val="18"/>
              <w:szCs w:val="18"/>
            </w:rPr>
            <w:t xml:space="preserve">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34A637F4"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AE7746">
            <w:rPr>
              <w:rFonts w:ascii="Times New Roman" w:hAnsi="Times New Roman" w:cs="Times New Roman"/>
              <w:b/>
              <w:bCs/>
              <w:sz w:val="24"/>
              <w:szCs w:val="24"/>
            </w:rPr>
            <w:t>JOTVINGIŲ MUGĖS IR FESTIVALIO ORGANIZAVIMO PASLAUGOS</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58E9E5F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2027650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r w:rsidRPr="006B16BB">
            <w:rPr>
              <w:rFonts w:ascii="Times New Roman" w:hAnsi="Times New Roman" w:cs="Times New Roman"/>
              <w:sz w:val="24"/>
              <w:szCs w:val="24"/>
            </w:rPr>
            <w:br w:type="page"/>
          </w:r>
        </w:p>
        <w:sdt>
          <w:sdtPr>
            <w:rPr>
              <w:rFonts w:ascii="Times New Roman" w:hAnsi="Times New Roman" w:cs="Times New Roman"/>
              <w:b/>
              <w:bCs/>
              <w:sz w:val="24"/>
              <w:szCs w:val="24"/>
            </w:rPr>
            <w:id w:val="-860046342"/>
            <w:docPartObj>
              <w:docPartGallery w:val="Table of Contents"/>
              <w:docPartUnique/>
            </w:docPartObj>
          </w:sdtPr>
          <w:sdtContent>
            <w:p w14:paraId="225ACD61" w14:textId="77777777"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77EC" w14:textId="77777777" w:rsidR="000F35FD" w:rsidRDefault="000F35FD" w:rsidP="00D05666">
      <w:r>
        <w:separator/>
      </w:r>
    </w:p>
  </w:endnote>
  <w:endnote w:type="continuationSeparator" w:id="0">
    <w:p w14:paraId="6ED9D30D" w14:textId="77777777" w:rsidR="000F35FD" w:rsidRDefault="000F35FD" w:rsidP="00D05666">
      <w:r>
        <w:continuationSeparator/>
      </w:r>
    </w:p>
  </w:endnote>
  <w:endnote w:type="continuationNotice" w:id="1">
    <w:p w14:paraId="6D6F1564" w14:textId="77777777" w:rsidR="000F35FD" w:rsidRDefault="000F3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9494" w14:textId="77777777" w:rsidR="000F35FD" w:rsidRDefault="000F35FD" w:rsidP="00D05666">
      <w:r>
        <w:separator/>
      </w:r>
    </w:p>
  </w:footnote>
  <w:footnote w:type="continuationSeparator" w:id="0">
    <w:p w14:paraId="497EB86A" w14:textId="77777777" w:rsidR="000F35FD" w:rsidRDefault="000F35FD" w:rsidP="00D05666">
      <w:r>
        <w:continuationSeparator/>
      </w:r>
    </w:p>
  </w:footnote>
  <w:footnote w:type="continuationNotice" w:id="1">
    <w:p w14:paraId="42B4CCE9" w14:textId="77777777" w:rsidR="000F35FD" w:rsidRDefault="000F35F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5FD"/>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746"/>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328"/>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37280</Words>
  <Characters>21250</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4</cp:revision>
  <dcterms:created xsi:type="dcterms:W3CDTF">2024-11-27T12:11:00Z</dcterms:created>
  <dcterms:modified xsi:type="dcterms:W3CDTF">2025-09-05T10:19:00Z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