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4BDC" w14:textId="6BD984DE" w:rsidR="00CD7D95" w:rsidRPr="00512EAE" w:rsidRDefault="00CD7D95" w:rsidP="00CD7D95">
      <w:pPr>
        <w:pStyle w:val="Antrat1"/>
        <w:jc w:val="right"/>
        <w:rPr>
          <w:rFonts w:ascii="Times New Roman" w:hAnsi="Times New Roman" w:cs="Times New Roman"/>
          <w:color w:val="auto"/>
          <w:sz w:val="18"/>
          <w:szCs w:val="18"/>
          <w:lang w:val="lt-LT"/>
        </w:rPr>
      </w:pPr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 xml:space="preserve">Pirkimo sąlygų </w:t>
      </w:r>
      <w:r w:rsidRPr="00CD7D95">
        <w:rPr>
          <w:rFonts w:ascii="Times New Roman" w:hAnsi="Times New Roman" w:cs="Times New Roman"/>
          <w:color w:val="auto"/>
          <w:sz w:val="18"/>
          <w:szCs w:val="18"/>
          <w:highlight w:val="yellow"/>
          <w:lang w:val="lt-LT"/>
        </w:rPr>
        <w:t>___</w:t>
      </w:r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 xml:space="preserve"> priedas</w:t>
      </w:r>
    </w:p>
    <w:p w14:paraId="72CB3180" w14:textId="77777777" w:rsidR="00CD7D95" w:rsidRPr="00512EAE" w:rsidRDefault="00CD7D95" w:rsidP="00CD7D95">
      <w:pPr>
        <w:pStyle w:val="Antrat1"/>
        <w:spacing w:before="0"/>
        <w:jc w:val="right"/>
        <w:rPr>
          <w:rFonts w:ascii="Times New Roman" w:hAnsi="Times New Roman" w:cs="Times New Roman"/>
          <w:color w:val="auto"/>
          <w:sz w:val="18"/>
          <w:szCs w:val="18"/>
          <w:lang w:val="lt-LT"/>
        </w:rPr>
      </w:pPr>
      <w:bookmarkStart w:id="0" w:name="_Toc164153410"/>
      <w:bookmarkStart w:id="1" w:name="_Toc164154884"/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>„Pasiūlymų vertinimo kriterijai ir sąlygos“</w:t>
      </w:r>
      <w:bookmarkEnd w:id="0"/>
      <w:bookmarkEnd w:id="1"/>
    </w:p>
    <w:p w14:paraId="783701FE" w14:textId="77777777" w:rsidR="00CD7D95" w:rsidRDefault="00CD7D95" w:rsidP="00CD7D95">
      <w:pPr>
        <w:tabs>
          <w:tab w:val="left" w:pos="1052"/>
        </w:tabs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71546F45" w14:textId="77777777" w:rsidR="00CD7D95" w:rsidRDefault="00CD7D95" w:rsidP="00CD7D95">
      <w:pPr>
        <w:tabs>
          <w:tab w:val="left" w:pos="105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VERTINIMO KRITERIJAI IR SĄLYGOS</w:t>
      </w:r>
    </w:p>
    <w:p w14:paraId="4F3DAFF6" w14:textId="05F3717F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1. </w:t>
      </w:r>
      <w:r w:rsidRPr="00566446">
        <w:rPr>
          <w:rFonts w:ascii="Times New Roman" w:hAnsi="Times New Roman" w:cs="Times New Roman"/>
          <w:sz w:val="22"/>
          <w:szCs w:val="22"/>
          <w:lang w:val="lt-LT"/>
        </w:rPr>
        <w:t>Ekonomiškai naudingiausias pasiūlymas bus išrenkamas pagal kainos ir kokybės santykį.</w:t>
      </w:r>
    </w:p>
    <w:p w14:paraId="0C9460FD" w14:textId="15C1D7B1" w:rsidR="00CD7D95" w:rsidRDefault="00CD7D95" w:rsidP="00CD7D95">
      <w:pPr>
        <w:tabs>
          <w:tab w:val="left" w:pos="1052"/>
        </w:tabs>
        <w:spacing w:after="0"/>
        <w:ind w:left="-284" w:firstLine="142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2. 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>Pasiūlymų vertinimo kriterijai:</w:t>
      </w:r>
    </w:p>
    <w:tbl>
      <w:tblPr>
        <w:tblStyle w:val="Lentelstinklelis"/>
        <w:tblW w:w="0" w:type="auto"/>
        <w:tblInd w:w="-284" w:type="dxa"/>
        <w:tblLook w:val="04A0" w:firstRow="1" w:lastRow="0" w:firstColumn="1" w:lastColumn="0" w:noHBand="0" w:noVBand="1"/>
      </w:tblPr>
      <w:tblGrid>
        <w:gridCol w:w="4941"/>
        <w:gridCol w:w="4693"/>
      </w:tblGrid>
      <w:tr w:rsidR="00CD7D95" w:rsidRPr="00F216CB" w14:paraId="7F5A5446" w14:textId="77777777" w:rsidTr="00B91924">
        <w:tc>
          <w:tcPr>
            <w:tcW w:w="4941" w:type="dxa"/>
            <w:vAlign w:val="center"/>
          </w:tcPr>
          <w:p w14:paraId="33597D9D" w14:textId="77777777" w:rsidR="00CD7D95" w:rsidRPr="00F216CB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216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Vertinimo kriterijus</w:t>
            </w:r>
          </w:p>
        </w:tc>
        <w:tc>
          <w:tcPr>
            <w:tcW w:w="4693" w:type="dxa"/>
            <w:vAlign w:val="center"/>
          </w:tcPr>
          <w:p w14:paraId="0B34B041" w14:textId="77777777" w:rsidR="00CD7D95" w:rsidRPr="00F216CB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216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Lyginamasis svoris ekonominio naudingumo įvertinime, proc.</w:t>
            </w:r>
          </w:p>
        </w:tc>
      </w:tr>
      <w:tr w:rsidR="00CD7D95" w:rsidRPr="00F216CB" w14:paraId="54C9663F" w14:textId="77777777" w:rsidTr="00EA5A29">
        <w:trPr>
          <w:trHeight w:val="452"/>
        </w:trPr>
        <w:tc>
          <w:tcPr>
            <w:tcW w:w="4941" w:type="dxa"/>
            <w:vAlign w:val="center"/>
          </w:tcPr>
          <w:p w14:paraId="475FF724" w14:textId="77777777" w:rsidR="00CD7D95" w:rsidRPr="004D7FED" w:rsidRDefault="00CD7D95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Pirmas kriterijus</w:t>
            </w:r>
            <w:r w:rsidRPr="004D7F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Kaina (C)</w:t>
            </w:r>
          </w:p>
        </w:tc>
        <w:tc>
          <w:tcPr>
            <w:tcW w:w="4693" w:type="dxa"/>
            <w:vAlign w:val="center"/>
          </w:tcPr>
          <w:p w14:paraId="479907B4" w14:textId="3D826BC5" w:rsidR="00CD7D95" w:rsidRPr="004D7FED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7F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X = </w:t>
            </w:r>
            <w:r w:rsidR="00B9192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</w:t>
            </w:r>
          </w:p>
        </w:tc>
      </w:tr>
      <w:tr w:rsidR="00CD7D95" w:rsidRPr="00F216CB" w14:paraId="1F40B073" w14:textId="77777777" w:rsidTr="00EA5A29">
        <w:trPr>
          <w:trHeight w:val="434"/>
        </w:trPr>
        <w:tc>
          <w:tcPr>
            <w:tcW w:w="4941" w:type="dxa"/>
            <w:vAlign w:val="center"/>
          </w:tcPr>
          <w:p w14:paraId="4D646144" w14:textId="14E6C072" w:rsidR="00CD7D95" w:rsidRPr="004D7FED" w:rsidRDefault="00CD7D95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Antras </w:t>
            </w:r>
            <w:r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Techninės įrangos garantijos trukmė, mėnesiais (</w:t>
            </w:r>
            <w:r w:rsidR="007913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1EF45A80" w14:textId="20303CBA" w:rsidR="00CD7D95" w:rsidRPr="002767FF" w:rsidRDefault="00343FB1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="00CD7D9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1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CD7D95" w:rsidRPr="002767F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=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E674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</w:tr>
      <w:tr w:rsidR="00CD7D95" w:rsidRPr="00F216CB" w14:paraId="7A607C88" w14:textId="77777777" w:rsidTr="00B91924">
        <w:trPr>
          <w:trHeight w:val="434"/>
        </w:trPr>
        <w:tc>
          <w:tcPr>
            <w:tcW w:w="4941" w:type="dxa"/>
            <w:vAlign w:val="center"/>
          </w:tcPr>
          <w:p w14:paraId="0FBDFE5A" w14:textId="29DF65A9" w:rsidR="00CD7D95" w:rsidRPr="0066709D" w:rsidRDefault="00CD7D95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Trečias</w:t>
            </w:r>
            <w:r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: 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Tiekėjo siūlomos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papildomos 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sistemos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funkcijos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F360E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ir neprivalomos charakteristikos </w:t>
            </w:r>
            <w:r w:rsidRPr="007A7CE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</w:t>
            </w:r>
            <w:r w:rsidR="007913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Pr="007A7CE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2</w:t>
            </w:r>
            <w:r w:rsidRPr="007A7CE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06D37C9E" w14:textId="2BDA4133" w:rsidR="00CD7D95" w:rsidRPr="002767FF" w:rsidRDefault="00343FB1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="00CD7D9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 xml:space="preserve">2 </w:t>
            </w:r>
            <w:r w:rsidR="00CD7D95" w:rsidRPr="002767F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=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E674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</w:tr>
      <w:tr w:rsidR="00B91924" w:rsidRPr="00F216CB" w14:paraId="14932706" w14:textId="77777777" w:rsidTr="00B91924">
        <w:trPr>
          <w:trHeight w:val="434"/>
        </w:trPr>
        <w:tc>
          <w:tcPr>
            <w:tcW w:w="4941" w:type="dxa"/>
            <w:vAlign w:val="center"/>
          </w:tcPr>
          <w:p w14:paraId="6CE3F306" w14:textId="6E08588D" w:rsidR="00B91924" w:rsidRPr="00B91924" w:rsidRDefault="00B91924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919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Ketvirtas 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Tiekėjo siūlomos Sistemos palaikymo valandos</w:t>
            </w:r>
            <w:r w:rsidR="007913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(K</w:t>
            </w:r>
            <w:r w:rsidR="00791303" w:rsidRPr="0079130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3</w:t>
            </w:r>
            <w:r w:rsidR="007913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7FEF2609" w14:textId="43C2DDD7" w:rsidR="00B91924" w:rsidRDefault="00343FB1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="00B91924" w:rsidRPr="00B9192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3</w:t>
            </w:r>
            <w:r w:rsidR="00B9192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=</w:t>
            </w:r>
            <w:r w:rsidR="00E674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15</w:t>
            </w:r>
          </w:p>
        </w:tc>
      </w:tr>
      <w:tr w:rsidR="00791303" w:rsidRPr="00F216CB" w14:paraId="4F41EF71" w14:textId="77777777" w:rsidTr="00EA5A29">
        <w:trPr>
          <w:trHeight w:val="434"/>
        </w:trPr>
        <w:tc>
          <w:tcPr>
            <w:tcW w:w="4941" w:type="dxa"/>
            <w:vAlign w:val="center"/>
          </w:tcPr>
          <w:p w14:paraId="60910073" w14:textId="587D5554" w:rsidR="00791303" w:rsidRPr="00791303" w:rsidRDefault="00791303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Penktas 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Sistemos įvedimo į eksploataciją terminas (K</w:t>
            </w:r>
            <w:r w:rsidRPr="0079130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35CB31CA" w14:textId="5CF9E3B1" w:rsidR="00791303" w:rsidRDefault="00343FB1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="00791303" w:rsidRPr="0079130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4</w:t>
            </w:r>
            <w:r w:rsidR="0079130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=</w:t>
            </w:r>
            <w:r w:rsidR="00E674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5</w:t>
            </w:r>
          </w:p>
        </w:tc>
      </w:tr>
    </w:tbl>
    <w:p w14:paraId="62966404" w14:textId="77777777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3E87DBF9" w14:textId="2DB5B5F6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3. </w:t>
      </w:r>
      <w:r w:rsidRPr="00A41990">
        <w:rPr>
          <w:rFonts w:ascii="Times New Roman" w:hAnsi="Times New Roman" w:cs="Times New Roman"/>
          <w:sz w:val="22"/>
          <w:szCs w:val="22"/>
          <w:lang w:val="lt-LT"/>
        </w:rPr>
        <w:t>Ekonominis naudingumas (S) apskaičiuojamas sudedant Tiekėjo pasiūlymo kainos C ir kriterijų (</w:t>
      </w:r>
      <w:r w:rsidR="00791303">
        <w:rPr>
          <w:rFonts w:ascii="Times New Roman" w:hAnsi="Times New Roman" w:cs="Times New Roman"/>
          <w:sz w:val="22"/>
          <w:szCs w:val="22"/>
          <w:lang w:val="lt-LT"/>
        </w:rPr>
        <w:t>K</w:t>
      </w:r>
      <w:r w:rsidRPr="00A41990">
        <w:rPr>
          <w:rFonts w:ascii="Times New Roman" w:hAnsi="Times New Roman" w:cs="Times New Roman"/>
          <w:sz w:val="22"/>
          <w:szCs w:val="22"/>
          <w:lang w:val="lt-LT"/>
        </w:rPr>
        <w:t>) balus (ekonominio naudingumo balas apvalinamas keturių skaičių po kablelio tikslumu):</w:t>
      </w:r>
    </w:p>
    <w:p w14:paraId="38718F96" w14:textId="2BC13CCF" w:rsidR="00CD7D95" w:rsidRDefault="00CD7D95" w:rsidP="00EC5659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A4199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S = C + </w:t>
      </w:r>
      <w:r w:rsidR="00343FB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T</w:t>
      </w:r>
    </w:p>
    <w:p w14:paraId="0AA841A5" w14:textId="185884AB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4.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Pasiūlymo kainos C reikšmė apskaičiuojama vertinamo pasiūlymo kainos (</w:t>
      </w:r>
      <w:proofErr w:type="spellStart"/>
      <w:r w:rsidRPr="009A4D8A">
        <w:rPr>
          <w:rFonts w:ascii="Times New Roman" w:hAnsi="Times New Roman" w:cs="Times New Roman"/>
          <w:sz w:val="22"/>
          <w:szCs w:val="22"/>
          <w:lang w:val="lt-LT"/>
        </w:rPr>
        <w:t>C</w:t>
      </w:r>
      <w:r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maksimalios priimtinos </w:t>
      </w:r>
      <w:r w:rsidR="00791303">
        <w:rPr>
          <w:rFonts w:ascii="Times New Roman" w:hAnsi="Times New Roman" w:cs="Times New Roman"/>
          <w:sz w:val="22"/>
          <w:szCs w:val="22"/>
          <w:lang w:val="lt-LT"/>
        </w:rPr>
        <w:t>Perkančiajai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791303">
        <w:rPr>
          <w:rFonts w:ascii="Times New Roman" w:hAnsi="Times New Roman" w:cs="Times New Roman"/>
          <w:sz w:val="22"/>
          <w:szCs w:val="22"/>
          <w:lang w:val="lt-LT"/>
        </w:rPr>
        <w:t xml:space="preserve">organizacijai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pasiūlymo kainos (</w:t>
      </w:r>
      <w:proofErr w:type="spellStart"/>
      <w:r w:rsidRPr="009A4D8A">
        <w:rPr>
          <w:rFonts w:ascii="Times New Roman" w:hAnsi="Times New Roman" w:cs="Times New Roman"/>
          <w:sz w:val="22"/>
          <w:szCs w:val="22"/>
          <w:lang w:val="lt-LT"/>
        </w:rPr>
        <w:t>C</w:t>
      </w:r>
      <w:r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>) santykį atimant iš 1 ir padauginant iš kainos lyginamojo svorio (X):</w:t>
      </w:r>
    </w:p>
    <w:p w14:paraId="1CA4E968" w14:textId="77777777" w:rsidR="00CD7D95" w:rsidRPr="00EC5659" w:rsidRDefault="00CD7D95" w:rsidP="00EC5659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C = (1 - </w:t>
      </w:r>
      <w:proofErr w:type="spellStart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Cp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/ </w:t>
      </w:r>
      <w:proofErr w:type="spellStart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Cmax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) × X</w:t>
      </w:r>
    </w:p>
    <w:p w14:paraId="3C3D2571" w14:textId="19AB47EB" w:rsidR="00CD7D95" w:rsidRPr="000B5BD1" w:rsidRDefault="00791303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5. 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>Kriterijų (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T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>) balai apskaičiuojami sudedant Antrojo</w:t>
      </w:r>
      <w:r>
        <w:rPr>
          <w:rFonts w:ascii="Times New Roman" w:hAnsi="Times New Roman" w:cs="Times New Roman"/>
          <w:sz w:val="22"/>
          <w:szCs w:val="22"/>
          <w:lang w:val="lt-LT"/>
        </w:rPr>
        <w:t>, Trečiojo, Ketvirtojo ir Penktojo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 xml:space="preserve"> kriterijų reikšmes:</w:t>
      </w:r>
    </w:p>
    <w:p w14:paraId="472BC11D" w14:textId="01A26266" w:rsidR="004A6A91" w:rsidRDefault="004A6A91" w:rsidP="004A6A91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T=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lt-LT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i</m:t>
                  </m:r>
                </m:sub>
              </m:sSub>
            </m:e>
          </m:nary>
        </m:oMath>
      </m:oMathPara>
    </w:p>
    <w:p w14:paraId="52FC82B6" w14:textId="1914105C" w:rsidR="00CD7D95" w:rsidRDefault="00791303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6</w:t>
      </w:r>
      <w:r w:rsidR="00CD7D95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Antro k</w:t>
      </w:r>
      <w:r w:rsidR="00CD7D95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riterijaus </w:t>
      </w:r>
      <w:r>
        <w:rPr>
          <w:rFonts w:ascii="Times New Roman" w:hAnsi="Times New Roman" w:cs="Times New Roman"/>
          <w:sz w:val="22"/>
          <w:szCs w:val="22"/>
          <w:lang w:val="lt-LT"/>
        </w:rPr>
        <w:t>K</w:t>
      </w:r>
      <w:r w:rsidR="00CD7D95" w:rsidRPr="007A7CE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1</w:t>
      </w:r>
      <w:r w:rsidR="00CD7D95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bal</w:t>
      </w:r>
      <w:r w:rsidR="00CD7D95">
        <w:rPr>
          <w:rFonts w:ascii="Times New Roman" w:hAnsi="Times New Roman" w:cs="Times New Roman"/>
          <w:sz w:val="22"/>
          <w:szCs w:val="22"/>
          <w:lang w:val="lt-LT"/>
        </w:rPr>
        <w:t>o reikšmė</w:t>
      </w:r>
      <w:r w:rsidR="00CD7D95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R</w:t>
      </w:r>
      <w:r w:rsidR="00CD7D95"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1</w:t>
      </w:r>
      <w:r w:rsidR="00CD7D95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>apskaičiuojama vertinamo</w:t>
      </w:r>
      <w:r w:rsidR="00B8154D">
        <w:rPr>
          <w:rFonts w:ascii="Times New Roman" w:hAnsi="Times New Roman" w:cs="Times New Roman"/>
          <w:sz w:val="22"/>
          <w:szCs w:val="22"/>
          <w:lang w:val="lt-LT"/>
        </w:rPr>
        <w:t>s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B8154D">
        <w:rPr>
          <w:rFonts w:ascii="Times New Roman" w:hAnsi="Times New Roman" w:cs="Times New Roman"/>
          <w:sz w:val="22"/>
          <w:szCs w:val="22"/>
          <w:lang w:val="lt-LT"/>
        </w:rPr>
        <w:t xml:space="preserve">Techninės įrangos garantijos trukmės 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 w:rsidR="00CD7D95">
        <w:rPr>
          <w:rFonts w:ascii="Times New Roman" w:hAnsi="Times New Roman" w:cs="Times New Roman"/>
          <w:sz w:val="22"/>
          <w:szCs w:val="22"/>
          <w:lang w:val="lt-LT"/>
        </w:rPr>
        <w:t>R</w:t>
      </w:r>
      <w:r w:rsidR="00CD7D95"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</w:t>
      </w:r>
      <w:r w:rsidR="00CD7D95">
        <w:rPr>
          <w:rFonts w:ascii="Times New Roman" w:hAnsi="Times New Roman" w:cs="Times New Roman"/>
          <w:sz w:val="22"/>
          <w:szCs w:val="22"/>
          <w:lang w:val="lt-LT"/>
        </w:rPr>
        <w:t>maksimal</w:t>
      </w:r>
      <w:r w:rsidR="00B8154D">
        <w:rPr>
          <w:rFonts w:ascii="Times New Roman" w:hAnsi="Times New Roman" w:cs="Times New Roman"/>
          <w:sz w:val="22"/>
          <w:szCs w:val="22"/>
          <w:lang w:val="lt-LT"/>
        </w:rPr>
        <w:t>ios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priimtino</w:t>
      </w:r>
      <w:r w:rsidR="00B8154D">
        <w:rPr>
          <w:rFonts w:ascii="Times New Roman" w:hAnsi="Times New Roman" w:cs="Times New Roman"/>
          <w:sz w:val="22"/>
          <w:szCs w:val="22"/>
          <w:lang w:val="lt-LT"/>
        </w:rPr>
        <w:t>s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Perkančiajai organizacijai </w:t>
      </w:r>
      <w:r w:rsidR="00B8154D">
        <w:rPr>
          <w:rFonts w:ascii="Times New Roman" w:hAnsi="Times New Roman" w:cs="Times New Roman"/>
          <w:sz w:val="22"/>
          <w:szCs w:val="22"/>
          <w:lang w:val="lt-LT"/>
        </w:rPr>
        <w:t xml:space="preserve">Techninės įrangos garantijos trukmės 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 w:rsidR="00CD7D95">
        <w:rPr>
          <w:rFonts w:ascii="Times New Roman" w:hAnsi="Times New Roman" w:cs="Times New Roman"/>
          <w:sz w:val="22"/>
          <w:szCs w:val="22"/>
          <w:lang w:val="lt-LT"/>
        </w:rPr>
        <w:t>R</w:t>
      </w:r>
      <w:r w:rsidR="00CD7D95"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santykį atimant iš 1 ir padauginant iš </w:t>
      </w:r>
      <w:r w:rsidR="00CD7D95">
        <w:rPr>
          <w:rFonts w:ascii="Times New Roman" w:hAnsi="Times New Roman" w:cs="Times New Roman"/>
          <w:sz w:val="22"/>
          <w:szCs w:val="22"/>
          <w:lang w:val="lt-LT"/>
        </w:rPr>
        <w:t xml:space="preserve">kriterijaus 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>lyginamojo svorio (</w:t>
      </w:r>
      <w:r w:rsidR="004A6A91">
        <w:rPr>
          <w:rFonts w:ascii="Times New Roman" w:hAnsi="Times New Roman" w:cs="Times New Roman"/>
          <w:sz w:val="22"/>
          <w:szCs w:val="22"/>
          <w:lang w:val="lt-LT"/>
        </w:rPr>
        <w:t>K</w:t>
      </w:r>
      <w:r w:rsidR="00CD7D95"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1</w:t>
      </w:r>
      <w:r w:rsidR="00CD7D95" w:rsidRPr="009A4D8A">
        <w:rPr>
          <w:rFonts w:ascii="Times New Roman" w:hAnsi="Times New Roman" w:cs="Times New Roman"/>
          <w:sz w:val="22"/>
          <w:szCs w:val="22"/>
          <w:lang w:val="lt-LT"/>
        </w:rPr>
        <w:t>):</w:t>
      </w:r>
    </w:p>
    <w:p w14:paraId="3C2F72D5" w14:textId="67B6F3BC" w:rsidR="00CD7D95" w:rsidRPr="00EC5659" w:rsidRDefault="00EC5659" w:rsidP="00EC5659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R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1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= (1 - </w:t>
      </w:r>
      <w:proofErr w:type="spellStart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R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p</w:t>
      </w:r>
      <w:proofErr w:type="spellEnd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/ </w:t>
      </w:r>
      <w:proofErr w:type="spellStart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R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max</w:t>
      </w:r>
      <w:proofErr w:type="spellEnd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) × </w:t>
      </w:r>
      <w:r w:rsidR="00343FB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1</w:t>
      </w:r>
    </w:p>
    <w:p w14:paraId="2CB2E2D0" w14:textId="77777777" w:rsidR="00EC5659" w:rsidRDefault="00EC5659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</w:p>
    <w:p w14:paraId="035532BE" w14:textId="4DA68E0F" w:rsidR="00CD7D95" w:rsidRPr="00D71B42" w:rsidRDefault="004A6A91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i/>
          <w:iCs/>
          <w:sz w:val="22"/>
          <w:szCs w:val="22"/>
          <w:lang w:val="lt-LT"/>
        </w:rPr>
      </w:pPr>
      <w:r w:rsidRPr="00D71B42">
        <w:rPr>
          <w:rFonts w:ascii="Times New Roman" w:hAnsi="Times New Roman" w:cs="Times New Roman"/>
          <w:i/>
          <w:iCs/>
          <w:sz w:val="22"/>
          <w:szCs w:val="22"/>
          <w:lang w:val="lt-LT"/>
        </w:rPr>
        <w:t>PASTABA:</w:t>
      </w:r>
      <w:r w:rsidR="00D71B42" w:rsidRPr="00D71B42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 pagal Lietuvos Respublikos teisės aktus prekės įstatyminė garantija yra 2 metai, todėl Tiekėjas negali siūlyti trumpesnės garantinio aptarnavimo trukmės nei 24 mėnesiai. Maksimalus vertinamas garantinio aptarnavimo terminas – </w:t>
      </w:r>
      <w:r w:rsidR="003866BB">
        <w:rPr>
          <w:rFonts w:ascii="Times New Roman" w:hAnsi="Times New Roman" w:cs="Times New Roman"/>
          <w:i/>
          <w:iCs/>
          <w:sz w:val="22"/>
          <w:szCs w:val="22"/>
          <w:lang w:val="lt-LT"/>
        </w:rPr>
        <w:t>84</w:t>
      </w:r>
      <w:r w:rsidR="00D71B42" w:rsidRPr="00D71B42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 mėnesiai. Už ilgesnį garantinio aptarnavimo terminą Tiekėjui papildomi balai neskiriami</w:t>
      </w:r>
      <w:r w:rsidR="00EC5659" w:rsidRPr="00D71B42">
        <w:rPr>
          <w:rFonts w:ascii="Times New Roman" w:hAnsi="Times New Roman" w:cs="Times New Roman"/>
          <w:i/>
          <w:iCs/>
          <w:sz w:val="22"/>
          <w:szCs w:val="22"/>
          <w:lang w:val="lt-LT"/>
        </w:rPr>
        <w:t>.</w:t>
      </w:r>
    </w:p>
    <w:p w14:paraId="4BA00778" w14:textId="2F574F87" w:rsidR="0023224D" w:rsidRPr="0023224D" w:rsidRDefault="004A6A91" w:rsidP="0023224D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3224D">
        <w:rPr>
          <w:rFonts w:ascii="Times New Roman" w:hAnsi="Times New Roman" w:cs="Times New Roman"/>
          <w:sz w:val="22"/>
          <w:szCs w:val="22"/>
          <w:lang w:val="lt-LT"/>
        </w:rPr>
        <w:t>7. Trečio kriterijaus</w:t>
      </w:r>
      <w:r w:rsidR="0023224D">
        <w:rPr>
          <w:rFonts w:ascii="Times New Roman" w:hAnsi="Times New Roman" w:cs="Times New Roman"/>
          <w:sz w:val="22"/>
          <w:szCs w:val="22"/>
          <w:lang w:val="lt-LT"/>
        </w:rPr>
        <w:t xml:space="preserve"> K</w:t>
      </w:r>
      <w:r w:rsidR="0023224D" w:rsidRPr="0023224D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23224D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vertinimas atliekamas </w:t>
      </w:r>
      <w:r w:rsid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vertinant</w:t>
      </w:r>
      <w:r w:rsidR="0023224D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toliau pateikiamoje lentelėje nurodytus parametrus (nuo 1 iki 1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0023224D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ir </w:t>
      </w:r>
      <w:r w:rsid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jų atitikties </w:t>
      </w:r>
      <w:r w:rsidR="0023224D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balus:</w:t>
      </w:r>
    </w:p>
    <w:p w14:paraId="554B75A3" w14:textId="2E7CE184" w:rsidR="0023224D" w:rsidRPr="00BB2343" w:rsidRDefault="00000000" w:rsidP="0023224D">
      <w:pPr>
        <w:tabs>
          <w:tab w:val="left" w:pos="567"/>
          <w:tab w:val="left" w:pos="709"/>
          <w:tab w:val="left" w:pos="851"/>
          <w:tab w:val="left" w:pos="993"/>
        </w:tabs>
        <w:ind w:left="720"/>
        <w:contextualSpacing/>
        <w:rPr>
          <w:rFonts w:ascii="Montserrat" w:eastAsia="Times New Roman" w:hAnsi="Montserrat" w:cs="Arial"/>
          <w:i/>
          <w:iCs/>
          <w:sz w:val="20"/>
          <w:szCs w:val="20"/>
          <w:lang w:eastAsia="lt-L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R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Arial"/>
                      <w:i/>
                      <w:iCs/>
                      <w:sz w:val="20"/>
                      <w:szCs w:val="20"/>
                      <w:lang w:eastAsia="lt-LT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iCs/>
                          <w:sz w:val="20"/>
                          <w:szCs w:val="20"/>
                          <w:lang w:eastAsia="lt-L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iCs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iCs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×</m:t>
          </m:r>
          <m:sSub>
            <m:sSubPr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, kur:</m:t>
          </m:r>
        </m:oMath>
      </m:oMathPara>
    </w:p>
    <w:p w14:paraId="4AECCF66" w14:textId="4931B66E" w:rsidR="0023224D" w:rsidRPr="0023224D" w:rsidRDefault="0023224D" w:rsidP="0023224D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proofErr w:type="spellStart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L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j</w:t>
      </w:r>
      <w:proofErr w:type="spellEnd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kriterijaus parametro lyginamasis svoris;</w:t>
      </w:r>
    </w:p>
    <w:p w14:paraId="79DD4615" w14:textId="133079A6" w:rsidR="0023224D" w:rsidRPr="0023224D" w:rsidRDefault="0023224D" w:rsidP="0023224D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proofErr w:type="spellStart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P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j</w:t>
      </w:r>
      <w:proofErr w:type="spellEnd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Tiekėjo kiekvieno parametro įvertinimo reikšmė (1, 0,5 arba 0);</w:t>
      </w:r>
    </w:p>
    <w:p w14:paraId="38D67F27" w14:textId="2E60FF6A" w:rsidR="0023224D" w:rsidRPr="0023224D" w:rsidRDefault="0023224D" w:rsidP="0023224D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K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 xml:space="preserve">2 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– kriterijaus lyginamasis svoris.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991"/>
        <w:gridCol w:w="1702"/>
        <w:gridCol w:w="1416"/>
      </w:tblGrid>
      <w:tr w:rsidR="0023224D" w:rsidRPr="0023224D" w14:paraId="1EDB0A37" w14:textId="77777777" w:rsidTr="000A5C63">
        <w:trPr>
          <w:trHeight w:val="300"/>
          <w:tblHeader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C7D3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14:paraId="72769628" w14:textId="07E45FB2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L</w:t>
            </w: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78B0" w14:textId="5F37E1DD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(</w:t>
            </w:r>
            <w:proofErr w:type="spellStart"/>
            <w:r w:rsidRPr="002322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P</w:t>
            </w:r>
            <w:r w:rsidRPr="002322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lt-LT" w:eastAsia="lt-LT"/>
              </w:rPr>
              <w:t>j</w:t>
            </w:r>
            <w:proofErr w:type="spellEnd"/>
            <w:r w:rsidRPr="002322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)</w:t>
            </w:r>
          </w:p>
          <w:p w14:paraId="1801D108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Balai skiriami už: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D243" w14:textId="34967000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P</w:t>
            </w: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 xml:space="preserve"> x </w:t>
            </w:r>
            <w:proofErr w:type="spellStart"/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L</w:t>
            </w: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</w:p>
        </w:tc>
      </w:tr>
      <w:tr w:rsidR="0023224D" w:rsidRPr="0023224D" w14:paraId="35B60A80" w14:textId="77777777" w:rsidTr="000A5C63">
        <w:trPr>
          <w:trHeight w:val="300"/>
          <w:tblHeader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AA75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14:paraId="774F3978" w14:textId="5F75CCD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B12C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B323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4</w:t>
            </w:r>
          </w:p>
        </w:tc>
      </w:tr>
      <w:tr w:rsidR="0023224D" w:rsidRPr="0023224D" w14:paraId="6289B1D9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99DF" w14:textId="77777777" w:rsidR="0023224D" w:rsidRPr="0023224D" w:rsidRDefault="0023224D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siūlomas sprendimas užtikrina  saugų popierinių trumpalaikių ir ilgalaikių bilietų (su persėdimų galimybe) funkcionalumą su apsaugos sprendimais, skirtais tokio tipo bilietų apsaugai nuo bilietų tiražavimo ir perdavimo naudoti kitiems asmenims.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DBD14" w14:textId="7A464170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8386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2FD1B506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7F13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70D5BDD0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C9A4" w14:textId="6628B422" w:rsidR="0023224D" w:rsidRPr="0023224D" w:rsidRDefault="0023224D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siūlomas sprendimas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aptarnauja dispečerinės balso pokalbius su konkrečią TP vairuojančiu vairuotoju borto kompiuterio / vairuotojo konsolės pagalba.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C836D" w14:textId="59228012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C72F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7A84712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2DB7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145A8DA4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C9D3" w14:textId="77777777" w:rsidR="0023224D" w:rsidRPr="0023224D" w:rsidRDefault="0023224D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siūlomas sprendimas palaiko kontrolei aktualia maršruto vykdymo kryptimi judančios ir į Sistemoje nustatyto atstumo spindulio zoną įvažiavusios TP automatinio bilietų skaitytuvų blokavimo sprendimą.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E87D4" w14:textId="1BF470C5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CA99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6D122FB6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5B0A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0A5C63" w:rsidRPr="0023224D" w14:paraId="26841E27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3806" w14:textId="442977DE" w:rsidR="000A5C63" w:rsidRPr="0023224D" w:rsidRDefault="000A5C63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siūlomas sprendimas leidžia tęsti keleivių kontrolės procesą nutrūkus interneto ryšiui, t. y.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offline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“ režimu.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1ED7" w14:textId="082C8995" w:rsidR="000A5C63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0,025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B862" w14:textId="77777777" w:rsidR="000A5C63" w:rsidRPr="0023224D" w:rsidRDefault="000A5C63" w:rsidP="000A5C6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BE6DDB9" w14:textId="425C7D04" w:rsidR="000A5C63" w:rsidRPr="0023224D" w:rsidRDefault="000A5C63" w:rsidP="000A5C6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BDDA" w14:textId="77777777" w:rsidR="000A5C63" w:rsidRPr="0023224D" w:rsidRDefault="000A5C63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179F7BBB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7B8E" w14:textId="3F3F9E91" w:rsidR="0023224D" w:rsidRPr="0023224D" w:rsidRDefault="0023224D" w:rsidP="0023224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Tiekėjo siūlomo sprendimo integracinės sąsajos su visomis techninės specifikacijos </w:t>
            </w:r>
            <w:r w:rsidR="00F360E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5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skyriuje paminėtomis išorinėmis informacinėmis sistemomis (angl. API) dokumentuotos PO pilna apimtimi prieinamomis / perduotomis interaktyvios skaitmeninės programinės įrangos priemonėmis (pvz., </w:t>
            </w:r>
            <w:proofErr w:type="spellStart"/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Swagger</w:t>
            </w:r>
            <w:proofErr w:type="spellEnd"/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Postman</w:t>
            </w:r>
            <w:proofErr w:type="spellEnd"/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arba kita lygiavertį funkcionalumą turinti priemonė).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8F285" w14:textId="2FA6D79F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0,025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9C93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1CBF9F74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D5EA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0A5C63" w:rsidRPr="0023224D" w14:paraId="3CCF5A6D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51D9" w14:textId="100DFB37" w:rsidR="000A5C63" w:rsidRPr="0023224D" w:rsidRDefault="000A5C63" w:rsidP="0023224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Tiekėjo siūlomas sprendimas užtikrins nuolatinį duomenų apie studentų ir moksleivių teisę į lengvatą atnaujinimą, periodiškai kreipiantis į </w:t>
            </w:r>
            <w:r w:rsidR="00D440DE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Mokinių ir Studentų registrus.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BE394" w14:textId="0D27D5BC" w:rsidR="000A5C63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832A" w14:textId="14A46FEE" w:rsidR="00D167B4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Tik studentams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0,5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;</w:t>
            </w:r>
          </w:p>
          <w:p w14:paraId="15FAB4B9" w14:textId="31778FC3" w:rsidR="00D167B4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Tik moksleiviams – 0,5;</w:t>
            </w:r>
          </w:p>
          <w:p w14:paraId="00BF41BA" w14:textId="3A5FBEDE" w:rsidR="00D167B4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lastRenderedPageBreak/>
              <w:t>Studentams ir moksleiviams – 1;</w:t>
            </w:r>
          </w:p>
          <w:p w14:paraId="5C064E0D" w14:textId="2FB2CFC6" w:rsidR="000A5C63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25C8" w14:textId="77777777" w:rsidR="000A5C63" w:rsidRPr="0023224D" w:rsidRDefault="000A5C63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458EA" w:rsidRPr="0023224D" w14:paraId="632672B6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54C1" w14:textId="07CF59B9" w:rsidR="00F458EA" w:rsidRDefault="00F458EA" w:rsidP="0023224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siūlomas sprendimas gali išsiųsti realaus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laiko pranešim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us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apie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viešojo transporto 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sutrikimus, vėlavimus ar pakeitimus per el. paštą, SMS ar </w:t>
            </w:r>
            <w:proofErr w:type="spellStart"/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push</w:t>
            </w:r>
            <w:proofErr w:type="spellEnd"/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pranešimus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(naudojant integracinę sąsają su mobilia programėle, aprašytą Techninės specifikacijos 5.4 skyriuje).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A6394" w14:textId="3D7B45BA" w:rsidR="00F458EA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AD3D" w14:textId="77777777" w:rsidR="00D167B4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610AFB15" w14:textId="5DFEC923" w:rsidR="00F458EA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380E" w14:textId="77777777" w:rsidR="00F458EA" w:rsidRPr="0023224D" w:rsidRDefault="00F458EA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458EA" w:rsidRPr="0023224D" w14:paraId="6820BC60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D355" w14:textId="32DCCD85" w:rsidR="00F458EA" w:rsidRPr="0023224D" w:rsidRDefault="00F458EA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 sistema leidžia automatiškai kaupti lojalumo taškus, vykdyti jų panaudojimą, įgyvendinti išmokų mechanizmus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74823" w14:textId="341BF79A" w:rsidR="00F458EA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8746" w14:textId="77777777" w:rsidR="00D167B4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EE71B8B" w14:textId="1D233983" w:rsidR="00F458EA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5925" w14:textId="77777777" w:rsidR="00F458EA" w:rsidRPr="0023224D" w:rsidRDefault="00F458EA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93540" w:rsidRPr="0023224D" w14:paraId="737A4E68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5965" w14:textId="1412B192" w:rsidR="00793540" w:rsidRPr="00F458EA" w:rsidRDefault="00793540" w:rsidP="0023224D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Tiekėjas integracinėje sąsajoje su mobilia programėle „Kauno rajonas“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užtikrina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teisėtą 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bilietų aktyvavim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ą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, inicijuojam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ą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ne 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nuskaičius QR kod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ą, bet programėlės viduje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C55A6" w14:textId="493DAB63" w:rsidR="00793540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83B6" w14:textId="77777777" w:rsidR="00D167B4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721EB8F6" w14:textId="51AA8DE5" w:rsidR="00793540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B8A5" w14:textId="77777777" w:rsidR="00793540" w:rsidRPr="0023224D" w:rsidRDefault="00793540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458EA" w:rsidRPr="0023224D" w14:paraId="12FA7E95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B645" w14:textId="3CC3F3D2" w:rsidR="00793540" w:rsidRPr="00793540" w:rsidRDefault="00793540" w:rsidP="00793540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klientų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savitarnos svetainė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turi integruotą pagalbinę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D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I funkciją arba virtualų asistentą, kuris geba:</w:t>
            </w:r>
          </w:p>
          <w:p w14:paraId="1FDC3F3F" w14:textId="77777777" w:rsidR="00793540" w:rsidRPr="00793540" w:rsidRDefault="00793540" w:rsidP="00793540">
            <w:pPr>
              <w:numPr>
                <w:ilvl w:val="0"/>
                <w:numId w:val="5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atsakyti į naudotojo klausimus apie bilietų pirkimą, sąskaitas, paskyros valdymą;</w:t>
            </w:r>
          </w:p>
          <w:p w14:paraId="5F7326FB" w14:textId="77777777" w:rsidR="00793540" w:rsidRPr="00793540" w:rsidRDefault="00793540" w:rsidP="00793540">
            <w:pPr>
              <w:numPr>
                <w:ilvl w:val="0"/>
                <w:numId w:val="5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padėti atlikti bilietų pirkimą, perkėlimą, grąžinimą ar kitus su e. bilietais susijusius veiksmus;</w:t>
            </w:r>
          </w:p>
          <w:p w14:paraId="6295985A" w14:textId="4558A0B8" w:rsidR="00F458EA" w:rsidRPr="00793540" w:rsidRDefault="00793540" w:rsidP="00793540">
            <w:pPr>
              <w:numPr>
                <w:ilvl w:val="0"/>
                <w:numId w:val="5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pateikti atsakymus realiuoju laik</w:t>
            </w:r>
            <w:r w:rsidR="00D167B4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2A70A" w14:textId="1126B817" w:rsidR="00F458EA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6D8D" w14:textId="77777777" w:rsidR="00D167B4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20CEE527" w14:textId="39016828" w:rsidR="00F458EA" w:rsidRPr="0023224D" w:rsidRDefault="00D167B4" w:rsidP="00D167B4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DDB0" w14:textId="77777777" w:rsidR="00F458EA" w:rsidRPr="0023224D" w:rsidRDefault="00F458EA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387C066D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7F60" w14:textId="2A177EB6" w:rsidR="0023224D" w:rsidRPr="00793540" w:rsidRDefault="0023224D" w:rsidP="00793540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Bilietų skaitytuvų aparatinė įranga (visi išoriniai komponentai) atitinka IK8 ar aukštesnį atsparumo mechaniniam poveikiui lygį.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A828E" w14:textId="23D8CAA9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6503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AB325B8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C09D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2C383313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50B4" w14:textId="77777777" w:rsidR="0023224D" w:rsidRPr="0023224D" w:rsidRDefault="0023224D" w:rsidP="00793540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Bilietų skaitytuvų lietimui jautraus ekrano įstrižainė didesnė kaip 4,5 colio (ne didesnė nei 10 colių).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7B959" w14:textId="5B2CC18D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4865" w14:textId="77777777" w:rsidR="0023224D" w:rsidRPr="0023224D" w:rsidRDefault="0023224D" w:rsidP="00A32B59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</w:p>
          <w:p w14:paraId="171C4C52" w14:textId="77777777" w:rsidR="0023224D" w:rsidRPr="0023224D" w:rsidRDefault="0023224D" w:rsidP="00D167B4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4,5 - 6,99 colio imtinai – 0,5 balo;</w:t>
            </w:r>
          </w:p>
          <w:p w14:paraId="33A8A28F" w14:textId="77777777" w:rsidR="0023224D" w:rsidRPr="0023224D" w:rsidRDefault="0023224D" w:rsidP="00D167B4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7 - 9,99 colio imtinai – 1 balas.</w:t>
            </w:r>
          </w:p>
          <w:p w14:paraId="67710756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61B4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4560A1AB" w14:textId="77777777" w:rsidTr="000A5C63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1CF9" w14:textId="77777777" w:rsidR="0023224D" w:rsidRPr="0023224D" w:rsidRDefault="0023224D" w:rsidP="00793540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Bilietų skaitytuvų lietimui jautraus ekrano raiška didesnė nei 800 x 460.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0315C" w14:textId="055371DB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530B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7FA89572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216A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23224D" w:rsidRPr="0023224D" w14:paraId="489DF896" w14:textId="77777777" w:rsidTr="000A5C63">
        <w:trPr>
          <w:trHeight w:val="1548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05E0" w14:textId="77777777" w:rsidR="0023224D" w:rsidRPr="0023224D" w:rsidRDefault="0023224D" w:rsidP="00793540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Bilietų skaitytuvų lietimui jautraus ekrano ryškumas didesnis nei 600cd/m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(ne daugiau kaip 1200 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).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91EC5" w14:textId="746FB95D" w:rsidR="0023224D" w:rsidRPr="0023224D" w:rsidRDefault="00D167B4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2E7B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601-1000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– 0,5 balo;</w:t>
            </w:r>
          </w:p>
          <w:p w14:paraId="1809E008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1001-1200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– 1 balas.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40FD" w14:textId="77777777" w:rsidR="0023224D" w:rsidRPr="0023224D" w:rsidRDefault="0023224D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</w:tbl>
    <w:p w14:paraId="17FE106C" w14:textId="77777777" w:rsidR="004A6A91" w:rsidRDefault="004A6A91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5BCC5C2" w14:textId="37DAAFBD" w:rsidR="00EA5A29" w:rsidRPr="0023224D" w:rsidRDefault="004A6A91" w:rsidP="00EA5A2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lastRenderedPageBreak/>
        <w:t>8. Ketvirto kriterijaus</w:t>
      </w:r>
      <w:r w:rsidR="00EA5A29" w:rsidRPr="00EA5A29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EA5A29">
        <w:rPr>
          <w:rFonts w:ascii="Times New Roman" w:hAnsi="Times New Roman" w:cs="Times New Roman"/>
          <w:sz w:val="22"/>
          <w:szCs w:val="22"/>
          <w:lang w:val="lt-LT"/>
        </w:rPr>
        <w:t>K</w:t>
      </w:r>
      <w:r w:rsidR="00EA5A29" w:rsidRPr="00EA5A29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3</w:t>
      </w:r>
      <w:r w:rsidR="00EA5A29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bal</w:t>
      </w:r>
      <w:r w:rsidR="00EA5A29">
        <w:rPr>
          <w:rFonts w:ascii="Times New Roman" w:hAnsi="Times New Roman" w:cs="Times New Roman"/>
          <w:sz w:val="22"/>
          <w:szCs w:val="22"/>
          <w:lang w:val="lt-LT"/>
        </w:rPr>
        <w:t>o reikšmė</w:t>
      </w:r>
      <w:r w:rsidR="00EA5A29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EA5A29">
        <w:rPr>
          <w:rFonts w:ascii="Times New Roman" w:hAnsi="Times New Roman" w:cs="Times New Roman"/>
          <w:sz w:val="22"/>
          <w:szCs w:val="22"/>
          <w:lang w:val="lt-LT"/>
        </w:rPr>
        <w:t>R</w:t>
      </w:r>
      <w:r w:rsidR="00EA5A29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3</w:t>
      </w:r>
      <w:r w:rsidR="00EA5A29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EA5A29" w:rsidRPr="009A4D8A">
        <w:rPr>
          <w:rFonts w:ascii="Times New Roman" w:hAnsi="Times New Roman" w:cs="Times New Roman"/>
          <w:sz w:val="22"/>
          <w:szCs w:val="22"/>
          <w:lang w:val="lt-LT"/>
        </w:rPr>
        <w:t>apskaičiuojama</w:t>
      </w:r>
      <w:r w:rsidR="00EA5A29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vertinant</w:t>
      </w:r>
      <w:r w:rsidR="00EA5A29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toliau pateikiamoje lentelėje nurodyt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ų</w:t>
      </w:r>
      <w:r w:rsidR="00EA5A29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parametr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ų reikšmes</w:t>
      </w:r>
      <w:r w:rsidR="00EA5A29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pagal intervalus </w:t>
      </w:r>
      <w:r w:rsidR="00EA5A29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</w:t>
      </w:r>
      <w:r w:rsidR="00EA5A2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jų atitikties </w:t>
      </w:r>
      <w:r w:rsidR="00EA5A29" w:rsidRPr="0023224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balus:</w:t>
      </w:r>
    </w:p>
    <w:p w14:paraId="15FB7E4B" w14:textId="725EF2ED" w:rsidR="00EA5A29" w:rsidRPr="00BB2343" w:rsidRDefault="00000000" w:rsidP="00EA5A29">
      <w:pPr>
        <w:tabs>
          <w:tab w:val="left" w:pos="567"/>
          <w:tab w:val="left" w:pos="709"/>
          <w:tab w:val="left" w:pos="851"/>
          <w:tab w:val="left" w:pos="993"/>
        </w:tabs>
        <w:ind w:left="720"/>
        <w:contextualSpacing/>
        <w:rPr>
          <w:rFonts w:ascii="Montserrat" w:eastAsia="Times New Roman" w:hAnsi="Montserrat" w:cs="Arial"/>
          <w:i/>
          <w:iCs/>
          <w:sz w:val="20"/>
          <w:szCs w:val="20"/>
          <w:lang w:eastAsia="lt-L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R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3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=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  <w:lang w:eastAsia="lt-LT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siūlomas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max</m:t>
                          </m:r>
                        </m:sub>
                      </m:sSub>
                    </m:sub>
                  </m:sSub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lt-LT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siūlomas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  <w:lang w:eastAsia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max</m:t>
                          </m:r>
                        </m:sub>
                      </m:sSub>
                    </m:sub>
                  </m:sSub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  <w:lang w:eastAsia="lt-LT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×</m:t>
          </m:r>
          <m:sSub>
            <m:sSub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3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, kur:</m:t>
          </m:r>
        </m:oMath>
      </m:oMathPara>
    </w:p>
    <w:p w14:paraId="09EEE1BA" w14:textId="5022E8B7" w:rsidR="00EA5A29" w:rsidRDefault="00000000" w:rsidP="00EA5A29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T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2"/>
                    <w:szCs w:val="22"/>
                    <w:lang w:val="lt-LT" w:eastAsia="lt-LT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1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siūlomas</m:t>
                </m:r>
              </m:sub>
            </m:sSub>
          </m:sub>
        </m:sSub>
      </m:oMath>
      <w:r w:rsidR="00EA5A29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</w:t>
      </w:r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Tiekėjo siūloma Sistemos palaikymo trukmė per parą darbo dienomis</w:t>
      </w:r>
      <w:r w:rsidR="00EA5A29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;</w:t>
      </w:r>
    </w:p>
    <w:p w14:paraId="29838E39" w14:textId="7E29ED72" w:rsidR="00B8755A" w:rsidRDefault="00000000" w:rsidP="00EA5A29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T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2"/>
                    <w:szCs w:val="22"/>
                    <w:lang w:val="lt-LT" w:eastAsia="lt-LT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1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max</m:t>
                </m:r>
              </m:sub>
            </m:sSub>
          </m:sub>
        </m:sSub>
      </m:oMath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Maksimali iš visų Tiekėjų pasiūlymų išrinkta Sistemos palaikymo trukmė per parą darbo dienomis;</w:t>
      </w:r>
    </w:p>
    <w:p w14:paraId="51482426" w14:textId="606BDE96" w:rsidR="00B8755A" w:rsidRDefault="00000000" w:rsidP="00EA5A29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1</m:t>
            </m:r>
          </m:sub>
        </m:sSub>
      </m:oMath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svorio koeficientas palaikymo valandų trukmei darbo dienomis;</w:t>
      </w:r>
    </w:p>
    <w:p w14:paraId="12FEED1D" w14:textId="5FF3132A" w:rsidR="00B8755A" w:rsidRDefault="00000000" w:rsidP="00B8755A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T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2"/>
                    <w:szCs w:val="22"/>
                    <w:lang w:val="lt-LT" w:eastAsia="lt-LT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2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siūlomas</m:t>
                </m:r>
              </m:sub>
            </m:sSub>
          </m:sub>
        </m:sSub>
      </m:oMath>
      <w:r w:rsidR="00B8755A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</w:t>
      </w:r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Tiekėjo siūloma Sistemos palaikymo trukmė per parą savaitgaliais ir švenčių dienomis</w:t>
      </w:r>
      <w:r w:rsidR="00B8755A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;</w:t>
      </w:r>
    </w:p>
    <w:p w14:paraId="58DB35F2" w14:textId="61CEBDF3" w:rsidR="00B8755A" w:rsidRDefault="00000000" w:rsidP="00B8755A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T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2"/>
                    <w:szCs w:val="22"/>
                    <w:lang w:val="lt-LT" w:eastAsia="lt-LT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2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2"/>
                    <w:szCs w:val="22"/>
                    <w:lang w:val="lt-LT" w:eastAsia="lt-LT"/>
                  </w:rPr>
                  <m:t>max</m:t>
                </m:r>
              </m:sub>
            </m:sSub>
          </m:sub>
        </m:sSub>
      </m:oMath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Maksimali iš visų Tiekėjų pasiūlymų išrinkta Sistemos palaikymo trukmė per parą savaitgaliais ir švenčių dienomis;</w:t>
      </w:r>
    </w:p>
    <w:p w14:paraId="6CB15888" w14:textId="3CD33F18" w:rsidR="00B8755A" w:rsidRDefault="00000000" w:rsidP="00B8755A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2"/>
                <w:szCs w:val="22"/>
                <w:lang w:val="lt-LT" w:eastAsia="lt-LT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  <w:lang w:val="lt-LT" w:eastAsia="lt-LT"/>
              </w:rPr>
              <m:t>2</m:t>
            </m:r>
          </m:sub>
        </m:sSub>
      </m:oMath>
      <w:r w:rsidR="00B8755A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svorio koeficientas palaikymo valandų trukmei savaitgaliais ir švenčių dienomis;</w:t>
      </w:r>
    </w:p>
    <w:p w14:paraId="7EA108F7" w14:textId="114E7518" w:rsidR="00EA5A29" w:rsidRDefault="00EA5A29" w:rsidP="00EA5A29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K</w:t>
      </w:r>
      <w:r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3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 xml:space="preserve"> 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– kriterijaus lyginamasis svoris.</w:t>
      </w:r>
    </w:p>
    <w:p w14:paraId="097CE92D" w14:textId="77777777" w:rsidR="00EA5A29" w:rsidRPr="00EA5A29" w:rsidRDefault="00EA5A29" w:rsidP="00EA5A29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889"/>
        <w:gridCol w:w="2079"/>
      </w:tblGrid>
      <w:tr w:rsidR="00EA5A29" w:rsidRPr="0023224D" w14:paraId="7A58AD6D" w14:textId="77777777" w:rsidTr="00EA5A29">
        <w:trPr>
          <w:trHeight w:val="300"/>
          <w:tblHeader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E472" w14:textId="3CE75EA7" w:rsidR="00EA5A29" w:rsidRPr="0023224D" w:rsidRDefault="00EA5A29" w:rsidP="00EA5A2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EA5A29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Tiekėjo siūlomos Sistemos palaikymo valand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ų trukmė per parą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198B33E" w14:textId="52A6D513" w:rsidR="00EA5A29" w:rsidRDefault="00EA5A29" w:rsidP="00EA5A2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Siūloma palaikymo trukmė per parą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BBE3" w14:textId="75103CD5" w:rsidR="00EA5A29" w:rsidRPr="0023224D" w:rsidRDefault="00EA5A29" w:rsidP="00EA5A2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Koeficientas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Z</w:t>
            </w:r>
            <w:r w:rsidRPr="00EA5A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lt-LT" w:eastAsia="lt-LT"/>
              </w:rPr>
              <w:t>i</w:t>
            </w:r>
            <w:proofErr w:type="spellEnd"/>
            <w:r w:rsidRPr="00EA5A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)</w:t>
            </w:r>
          </w:p>
        </w:tc>
      </w:tr>
      <w:tr w:rsidR="00EA5A29" w:rsidRPr="0023224D" w14:paraId="17649066" w14:textId="77777777" w:rsidTr="00EA5A29">
        <w:trPr>
          <w:trHeight w:val="300"/>
          <w:tblHeader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1C98" w14:textId="77777777" w:rsidR="00EA5A29" w:rsidRPr="0023224D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50CF36E7" w14:textId="0A42F080" w:rsidR="00EA5A29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2166" w14:textId="3A6CFB2F" w:rsidR="00EA5A29" w:rsidRPr="0023224D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3</w:t>
            </w:r>
          </w:p>
        </w:tc>
      </w:tr>
      <w:tr w:rsidR="00EA5A29" w:rsidRPr="00EA5A29" w14:paraId="1DEF976E" w14:textId="77777777" w:rsidTr="00EA5A29">
        <w:trPr>
          <w:trHeight w:val="30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5287" w14:textId="0FB32CFE" w:rsidR="00EA5A29" w:rsidRPr="00EA5A29" w:rsidRDefault="00EA5A29" w:rsidP="00EA5A29">
            <w:p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Darbo dienomis (T</w:t>
            </w:r>
            <w:r w:rsidRPr="00EA5A29">
              <w:rPr>
                <w:rFonts w:ascii="Times New Roman" w:eastAsia="Calibri" w:hAnsi="Times New Roman" w:cs="Times New Roman"/>
                <w:b/>
                <w:sz w:val="22"/>
                <w:szCs w:val="22"/>
                <w:vertAlign w:val="subscript"/>
                <w:lang w:val="lt-LT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 xml:space="preserve">): 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minimali palaikymo trukmė – 10,5 val. (nuo 07:30 iki 17:00).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AD70D" w14:textId="713ADE05" w:rsidR="00EA5A29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0A7A" w14:textId="4E71B19F" w:rsidR="00EA5A29" w:rsidRPr="00EA5A29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0,7</w:t>
            </w:r>
          </w:p>
        </w:tc>
      </w:tr>
      <w:tr w:rsidR="00EA5A29" w:rsidRPr="00EA5A29" w14:paraId="7E72B613" w14:textId="77777777" w:rsidTr="00EA5A29">
        <w:trPr>
          <w:trHeight w:val="300"/>
        </w:trPr>
        <w:tc>
          <w:tcPr>
            <w:tcW w:w="2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8CB2" w14:textId="3002F381" w:rsidR="00EA5A29" w:rsidRPr="00EA5A29" w:rsidRDefault="00EA5A29" w:rsidP="00EA5A29">
            <w:p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Savaitgaliais ir švenčių dienomis (T</w:t>
            </w:r>
            <w:r w:rsidRPr="00EA5A29">
              <w:rPr>
                <w:rFonts w:ascii="Times New Roman" w:eastAsia="Calibri" w:hAnsi="Times New Roman" w:cs="Times New Roman"/>
                <w:b/>
                <w:sz w:val="22"/>
                <w:szCs w:val="22"/>
                <w:vertAlign w:val="subscript"/>
                <w:lang w:val="lt-L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 xml:space="preserve">): 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minimali palaikymo trukmė –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8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val. (nuo 0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8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0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0 iki 1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6</w:t>
            </w:r>
            <w:r w:rsidRPr="00EA5A29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:00).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30E69" w14:textId="77777777" w:rsidR="00EA5A29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437B" w14:textId="5CA8AFEB" w:rsidR="00EA5A29" w:rsidRDefault="00EA5A29" w:rsidP="00A32B59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0,3</w:t>
            </w:r>
          </w:p>
        </w:tc>
      </w:tr>
    </w:tbl>
    <w:p w14:paraId="4F99D186" w14:textId="0B910DE3" w:rsidR="004A6A91" w:rsidRDefault="004A6A91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51B631A" w14:textId="1A68978B" w:rsidR="00343FB1" w:rsidRDefault="004A6A91" w:rsidP="00343FB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9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Penkto k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riterijaus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K</w:t>
      </w:r>
      <w:r w:rsidR="00343FB1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4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bal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o reikšmė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R</w:t>
      </w:r>
      <w:r w:rsidR="00343FB1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4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apskaičiuojama vertinamo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Sistemos įvedimo į eksploataciją termino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M</w:t>
      </w:r>
      <w:r w:rsidR="00343FB1"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maksimalaus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priimtino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Perkančiajai organizacijai Sistemos įvedimo į eksploataciją termino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M</w:t>
      </w:r>
      <w:r w:rsidR="00343FB1"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santykį atimant iš 1 ir padauginant iš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kriterijaus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lyginamojo svorio (</w:t>
      </w:r>
      <w:r>
        <w:rPr>
          <w:rFonts w:ascii="Times New Roman" w:hAnsi="Times New Roman" w:cs="Times New Roman"/>
          <w:sz w:val="22"/>
          <w:szCs w:val="22"/>
          <w:lang w:val="lt-LT"/>
        </w:rPr>
        <w:t>K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4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):</w:t>
      </w:r>
    </w:p>
    <w:p w14:paraId="46B5A8A6" w14:textId="10A6D713" w:rsidR="00343FB1" w:rsidRPr="00EC5659" w:rsidRDefault="00343FB1" w:rsidP="00343FB1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4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= (1 - </w:t>
      </w:r>
      <w:proofErr w:type="spellStart"/>
      <w:r w:rsidR="004A6A9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M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p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/ </w:t>
      </w:r>
      <w:proofErr w:type="spellStart"/>
      <w:r w:rsidR="004A6A9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M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max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) × </w:t>
      </w:r>
      <w:r w:rsidR="004A6A9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4</w:t>
      </w:r>
    </w:p>
    <w:p w14:paraId="28AAC484" w14:textId="5888220C" w:rsidR="00877662" w:rsidRDefault="004A6A91" w:rsidP="004A6A9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PASTABA: 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Pasiūlyme nurodoma </w:t>
      </w:r>
      <w:r>
        <w:rPr>
          <w:rFonts w:ascii="Times New Roman" w:hAnsi="Times New Roman" w:cs="Times New Roman"/>
          <w:sz w:val="22"/>
          <w:szCs w:val="22"/>
          <w:lang w:val="lt-LT"/>
        </w:rPr>
        <w:t>Sistemos įvedimo į eksploataciją trukmė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 negali būti trumpesnė nei </w:t>
      </w:r>
      <w:r>
        <w:rPr>
          <w:rFonts w:ascii="Times New Roman" w:hAnsi="Times New Roman" w:cs="Times New Roman"/>
          <w:sz w:val="22"/>
          <w:szCs w:val="22"/>
          <w:lang w:val="lt-LT"/>
        </w:rPr>
        <w:t>12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 mėn.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ir negali būti ilgesnė nei </w:t>
      </w:r>
      <w:r w:rsidR="00C51D5E">
        <w:rPr>
          <w:rFonts w:ascii="Times New Roman" w:hAnsi="Times New Roman" w:cs="Times New Roman"/>
          <w:sz w:val="22"/>
          <w:szCs w:val="22"/>
          <w:lang w:val="lt-LT"/>
        </w:rPr>
        <w:t xml:space="preserve">18 </w:t>
      </w:r>
      <w:r>
        <w:rPr>
          <w:rFonts w:ascii="Times New Roman" w:hAnsi="Times New Roman" w:cs="Times New Roman"/>
          <w:sz w:val="22"/>
          <w:szCs w:val="22"/>
          <w:lang w:val="lt-LT"/>
        </w:rPr>
        <w:t>mėn. nuo pirkimo sutarties įsigaliojimo dienos.</w:t>
      </w:r>
    </w:p>
    <w:p w14:paraId="1936172E" w14:textId="16AED52E" w:rsidR="0023224D" w:rsidRPr="004A6A91" w:rsidRDefault="0023224D" w:rsidP="004A6A9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Pr="00B3722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ais atvejais,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jei</w:t>
      </w:r>
      <w:r w:rsidRPr="00B3722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kelių dalyvių pasiūlymų ekonominis naudingumas yra vienodas, nustatant pasiūlymų eilę, pirmesnis į eilę įrašomas dalyvis, kurio pasiūlymas pateiktas anksčiausiai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sectPr w:rsidR="0023224D" w:rsidRPr="004A6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E0D"/>
    <w:multiLevelType w:val="hybridMultilevel"/>
    <w:tmpl w:val="698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E70"/>
    <w:multiLevelType w:val="hybridMultilevel"/>
    <w:tmpl w:val="B698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26DFB"/>
    <w:multiLevelType w:val="hybridMultilevel"/>
    <w:tmpl w:val="7A42AF88"/>
    <w:lvl w:ilvl="0" w:tplc="38BC0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73C9"/>
    <w:multiLevelType w:val="hybridMultilevel"/>
    <w:tmpl w:val="4E929E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0696E"/>
    <w:multiLevelType w:val="multilevel"/>
    <w:tmpl w:val="F8EE6332"/>
    <w:lvl w:ilvl="0">
      <w:start w:val="1"/>
      <w:numFmt w:val="decimal"/>
      <w:lvlText w:val="%1."/>
      <w:lvlJc w:val="left"/>
      <w:pPr>
        <w:ind w:left="1344" w:hanging="494"/>
      </w:pPr>
      <w:rPr>
        <w:rFonts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ind w:left="10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2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5" w:hanging="1440"/>
      </w:pPr>
      <w:rPr>
        <w:rFonts w:hint="default"/>
      </w:rPr>
    </w:lvl>
  </w:abstractNum>
  <w:num w:numId="1" w16cid:durableId="137768266">
    <w:abstractNumId w:val="4"/>
  </w:num>
  <w:num w:numId="2" w16cid:durableId="1818447764">
    <w:abstractNumId w:val="2"/>
  </w:num>
  <w:num w:numId="3" w16cid:durableId="1615743259">
    <w:abstractNumId w:val="1"/>
  </w:num>
  <w:num w:numId="4" w16cid:durableId="894436464">
    <w:abstractNumId w:val="3"/>
  </w:num>
  <w:num w:numId="5" w16cid:durableId="18240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7A"/>
    <w:rsid w:val="00002044"/>
    <w:rsid w:val="00081998"/>
    <w:rsid w:val="000A5C63"/>
    <w:rsid w:val="000E404D"/>
    <w:rsid w:val="0010653A"/>
    <w:rsid w:val="0023224D"/>
    <w:rsid w:val="002700B5"/>
    <w:rsid w:val="002C0069"/>
    <w:rsid w:val="003213BE"/>
    <w:rsid w:val="00343FB1"/>
    <w:rsid w:val="003866BB"/>
    <w:rsid w:val="00410A7A"/>
    <w:rsid w:val="004A6A91"/>
    <w:rsid w:val="004D0454"/>
    <w:rsid w:val="00791303"/>
    <w:rsid w:val="00793540"/>
    <w:rsid w:val="00850C71"/>
    <w:rsid w:val="00877662"/>
    <w:rsid w:val="008E634C"/>
    <w:rsid w:val="009C43CD"/>
    <w:rsid w:val="00B43B84"/>
    <w:rsid w:val="00B8154D"/>
    <w:rsid w:val="00B8755A"/>
    <w:rsid w:val="00B91924"/>
    <w:rsid w:val="00C51D5E"/>
    <w:rsid w:val="00CD0092"/>
    <w:rsid w:val="00CD7D95"/>
    <w:rsid w:val="00CE65A3"/>
    <w:rsid w:val="00D167B4"/>
    <w:rsid w:val="00D440DE"/>
    <w:rsid w:val="00D71B42"/>
    <w:rsid w:val="00E67449"/>
    <w:rsid w:val="00EA5A29"/>
    <w:rsid w:val="00EC5659"/>
    <w:rsid w:val="00ED49E4"/>
    <w:rsid w:val="00F360E5"/>
    <w:rsid w:val="00F4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8A37"/>
  <w15:chartTrackingRefBased/>
  <w15:docId w15:val="{8410F4D0-1146-4F85-A6B3-919E18D0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7D95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0A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0A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0A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0A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A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0A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0A7A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2,List Paragraph21,Lentele,Buletai,Bullet EY,List Paragraph1,lp1,Bullet 1,Use Case List Paragraph,List Paragraph111,Paragraph,List Paragraph Red,Table of contents number"/>
    <w:basedOn w:val="prastasis"/>
    <w:link w:val="SraopastraipaDiagrama"/>
    <w:uiPriority w:val="34"/>
    <w:qFormat/>
    <w:rsid w:val="00410A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0A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0A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0A7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D7D9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C56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56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5659"/>
    <w:rPr>
      <w:rFonts w:eastAsiaTheme="minorEastAsi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6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659"/>
    <w:rPr>
      <w:rFonts w:eastAsiaTheme="minorEastAsia"/>
      <w:b/>
      <w:bCs/>
      <w:kern w:val="0"/>
      <w:sz w:val="20"/>
      <w:szCs w:val="2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4A6A91"/>
    <w:rPr>
      <w:color w:val="666666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Buletai Diagrama,Bullet EY Diagrama,List Paragraph1 Diagrama,lp1 Diagrama"/>
    <w:link w:val="Sraopastraipa"/>
    <w:uiPriority w:val="34"/>
    <w:rsid w:val="0023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4667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Svajūnas Ramanauskas</cp:lastModifiedBy>
  <cp:revision>3</cp:revision>
  <dcterms:created xsi:type="dcterms:W3CDTF">2025-09-03T06:13:00Z</dcterms:created>
  <dcterms:modified xsi:type="dcterms:W3CDTF">2025-09-03T06:14:00Z</dcterms:modified>
</cp:coreProperties>
</file>