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EAA0B" w14:textId="5719279E" w:rsidR="001A3638" w:rsidRPr="00856D94" w:rsidRDefault="001A3638" w:rsidP="001A3638">
      <w:pPr>
        <w:spacing w:after="0" w:line="240" w:lineRule="auto"/>
        <w:ind w:left="557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56D94">
        <w:rPr>
          <w:rFonts w:ascii="Times New Roman" w:hAnsi="Times New Roman" w:cs="Times New Roman"/>
          <w:sz w:val="24"/>
          <w:szCs w:val="24"/>
        </w:rPr>
        <w:t>Speciali</w:t>
      </w:r>
      <w:r w:rsidR="00A72CB8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Pr="00856D94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856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9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856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94">
        <w:rPr>
          <w:rFonts w:ascii="Times New Roman" w:hAnsi="Times New Roman" w:cs="Times New Roman"/>
          <w:sz w:val="24"/>
          <w:szCs w:val="24"/>
        </w:rPr>
        <w:t>sąlygų</w:t>
      </w:r>
      <w:proofErr w:type="spellEnd"/>
    </w:p>
    <w:p w14:paraId="290E24EA" w14:textId="52BE21B2" w:rsidR="001A3638" w:rsidRDefault="001A3638" w:rsidP="001A3638">
      <w:pPr>
        <w:spacing w:after="0" w:line="240" w:lineRule="auto"/>
        <w:ind w:left="557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856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94">
        <w:rPr>
          <w:rFonts w:ascii="Times New Roman" w:hAnsi="Times New Roman" w:cs="Times New Roman"/>
          <w:sz w:val="24"/>
          <w:szCs w:val="24"/>
        </w:rPr>
        <w:t>priedas</w:t>
      </w:r>
      <w:proofErr w:type="spellEnd"/>
    </w:p>
    <w:p w14:paraId="4CFF9A71" w14:textId="05876076" w:rsidR="0071562C" w:rsidRPr="00856D94" w:rsidRDefault="0071562C" w:rsidP="001A3638">
      <w:pPr>
        <w:spacing w:after="0" w:line="240" w:lineRule="auto"/>
        <w:ind w:left="55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sąlygos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186ECA59" w14:textId="77777777" w:rsidR="003F1833" w:rsidRDefault="003F1833" w:rsidP="009C099B">
      <w:pPr>
        <w:spacing w:after="120" w:line="240" w:lineRule="auto"/>
        <w:ind w:left="720"/>
        <w:jc w:val="center"/>
        <w:rPr>
          <w:rFonts w:asciiTheme="majorBidi" w:hAnsiTheme="majorBidi" w:cstheme="majorBidi"/>
          <w:sz w:val="24"/>
          <w:szCs w:val="24"/>
          <w:lang w:val="lt-LT" w:eastAsia="lt-LT"/>
        </w:rPr>
      </w:pPr>
    </w:p>
    <w:p w14:paraId="7C2B6399" w14:textId="77777777" w:rsidR="002A5F36" w:rsidRPr="009C099B" w:rsidRDefault="002A5F36" w:rsidP="009C099B">
      <w:pPr>
        <w:spacing w:after="120" w:line="240" w:lineRule="auto"/>
        <w:ind w:left="720"/>
        <w:jc w:val="center"/>
        <w:rPr>
          <w:rFonts w:asciiTheme="majorBidi" w:hAnsiTheme="majorBidi" w:cstheme="majorBidi"/>
          <w:sz w:val="24"/>
          <w:szCs w:val="24"/>
          <w:lang w:val="lt-LT" w:eastAsia="lt-LT"/>
        </w:rPr>
      </w:pPr>
    </w:p>
    <w:p w14:paraId="466BD7B9" w14:textId="77777777" w:rsidR="002A5F36" w:rsidRPr="00330DDA" w:rsidRDefault="002A5F36" w:rsidP="002A5F36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  <w:lang w:val="lt-LT"/>
        </w:rPr>
      </w:pPr>
      <w:r w:rsidRPr="00330DDA">
        <w:rPr>
          <w:rFonts w:ascii="Times New Roman" w:hAnsi="Times New Roman" w:cs="Times New Roman"/>
          <w:b/>
          <w:sz w:val="24"/>
          <w:szCs w:val="24"/>
          <w:lang w:val="lt-LT"/>
        </w:rPr>
        <w:t>PASIŪLYMŲ VERTINIMO KRITERIJAI IR SĄLYGOS</w:t>
      </w:r>
    </w:p>
    <w:p w14:paraId="323FB983" w14:textId="77777777" w:rsidR="002A5F36" w:rsidRPr="00330DDA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330DDA">
        <w:rPr>
          <w:rFonts w:asciiTheme="majorBidi" w:hAnsiTheme="majorBidi" w:cstheme="majorBidi"/>
          <w:sz w:val="24"/>
          <w:szCs w:val="24"/>
          <w:lang w:val="lt-LT"/>
        </w:rPr>
        <w:t>1. Ekonomiškai naudingiausias pasiūlymas išrenkamas pagal kainą ir su pirkimo objektu susijusius kriterijus, vadovaujantis šiame priede nustatyta vertinimo tvarka.</w:t>
      </w:r>
    </w:p>
    <w:p w14:paraId="51BCA03E" w14:textId="77777777" w:rsidR="002A5F36" w:rsidRPr="00F4189D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bCs/>
          <w:iCs/>
          <w:sz w:val="24"/>
          <w:szCs w:val="24"/>
          <w:lang w:val="lt-LT"/>
        </w:rPr>
      </w:pPr>
      <w:r w:rsidRPr="00F4189D">
        <w:rPr>
          <w:rFonts w:asciiTheme="majorBidi" w:hAnsiTheme="majorBidi" w:cstheme="majorBidi"/>
          <w:sz w:val="24"/>
          <w:szCs w:val="24"/>
          <w:lang w:val="lt-LT"/>
        </w:rPr>
        <w:t>2. Pasiūlymų vertinimo kriterijai ir jų lyginamieji svoriai: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127"/>
        <w:gridCol w:w="3260"/>
      </w:tblGrid>
      <w:tr w:rsidR="002A5F36" w:rsidRPr="007526A9" w14:paraId="4366E2CD" w14:textId="77777777" w:rsidTr="00E27857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5991" w14:textId="77777777" w:rsidR="002A5F36" w:rsidRPr="007526A9" w:rsidRDefault="002A5F36" w:rsidP="00E27857">
            <w:pPr>
              <w:spacing w:after="120" w:line="240" w:lineRule="auto"/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7526A9">
              <w:rPr>
                <w:rFonts w:asciiTheme="majorBidi" w:hAnsiTheme="majorBidi" w:cstheme="majorBidi"/>
                <w:b/>
                <w:lang w:val="lt-LT"/>
              </w:rPr>
              <w:t>Kriterijai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F0DC" w14:textId="77777777" w:rsidR="002A5F36" w:rsidRPr="007526A9" w:rsidRDefault="002A5F36" w:rsidP="00E27857">
            <w:pPr>
              <w:autoSpaceDE w:val="0"/>
              <w:adjustRightInd w:val="0"/>
              <w:spacing w:after="12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val="lt-LT"/>
              </w:rPr>
            </w:pPr>
            <w:r w:rsidRPr="007526A9">
              <w:rPr>
                <w:rFonts w:asciiTheme="majorBidi" w:hAnsiTheme="majorBidi" w:cstheme="majorBidi"/>
                <w:b/>
                <w:lang w:val="lt-LT"/>
              </w:rPr>
              <w:t>Kriterijaus įvertinimas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F4" w14:textId="77777777" w:rsidR="002A5F36" w:rsidRPr="007526A9" w:rsidRDefault="002A5F36" w:rsidP="00E27857">
            <w:pPr>
              <w:spacing w:after="120" w:line="240" w:lineRule="auto"/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7526A9">
              <w:rPr>
                <w:rFonts w:asciiTheme="majorBidi" w:hAnsiTheme="majorBidi" w:cstheme="majorBidi"/>
                <w:b/>
                <w:lang w:val="lt-LT"/>
              </w:rPr>
              <w:t>Kriterijaus lyginamasis svoris</w:t>
            </w:r>
          </w:p>
        </w:tc>
      </w:tr>
      <w:tr w:rsidR="002A5F36" w:rsidRPr="007526A9" w14:paraId="246EA546" w14:textId="77777777" w:rsidTr="00E278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9F0C" w14:textId="77777777" w:rsidR="002A5F36" w:rsidRPr="007526A9" w:rsidRDefault="002A5F36" w:rsidP="00E27857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 w:eastAsia="lt-LT"/>
              </w:rPr>
            </w:pPr>
            <w:r>
              <w:rPr>
                <w:rFonts w:asciiTheme="majorBidi" w:hAnsiTheme="majorBidi" w:cstheme="majorBidi"/>
                <w:lang w:val="lt-LT" w:eastAsia="lt-LT"/>
              </w:rPr>
              <w:t>Pirmasis kriterijus (</w:t>
            </w:r>
            <w:r w:rsidRPr="00204CED">
              <w:rPr>
                <w:rFonts w:asciiTheme="majorBidi" w:hAnsiTheme="majorBidi" w:cstheme="majorBidi"/>
                <w:i/>
                <w:color w:val="C00000"/>
                <w:lang w:val="lt-LT" w:eastAsia="lt-LT"/>
              </w:rPr>
              <w:t>C</w:t>
            </w:r>
            <w:r>
              <w:rPr>
                <w:rFonts w:asciiTheme="majorBidi" w:hAnsiTheme="majorBidi" w:cstheme="majorBidi"/>
                <w:lang w:val="lt-LT" w:eastAsia="lt-LT"/>
              </w:rPr>
              <w:t xml:space="preserve">): </w:t>
            </w:r>
            <w:r w:rsidRPr="007526A9">
              <w:rPr>
                <w:rFonts w:asciiTheme="majorBidi" w:hAnsiTheme="majorBidi" w:cstheme="majorBidi"/>
                <w:lang w:val="lt-LT" w:eastAsia="lt-LT"/>
              </w:rPr>
              <w:t>Kaina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819F" w14:textId="77777777" w:rsidR="002A5F36" w:rsidRPr="007526A9" w:rsidRDefault="002A5F36" w:rsidP="00E27857">
            <w:pPr>
              <w:spacing w:after="120" w:line="240" w:lineRule="auto"/>
              <w:jc w:val="both"/>
              <w:rPr>
                <w:rFonts w:asciiTheme="majorBidi" w:hAnsiTheme="majorBidi" w:cstheme="majorBidi"/>
                <w:b/>
                <w:lang w:val="lt-LT"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B10A" w14:textId="77777777" w:rsidR="002A5F36" w:rsidRPr="007526A9" w:rsidRDefault="002A5F36" w:rsidP="00E27857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 w:eastAsia="lt-LT"/>
              </w:rPr>
            </w:pPr>
            <w:r w:rsidRPr="007526A9">
              <w:rPr>
                <w:rFonts w:asciiTheme="majorBidi" w:hAnsiTheme="majorBidi" w:cstheme="majorBidi"/>
                <w:i/>
                <w:color w:val="C00000"/>
                <w:lang w:val="lt-LT" w:eastAsia="lt-LT"/>
              </w:rPr>
              <w:t>X</w:t>
            </w:r>
            <w:r>
              <w:rPr>
                <w:rFonts w:asciiTheme="majorBidi" w:hAnsiTheme="majorBidi" w:cstheme="majorBidi"/>
                <w:i/>
                <w:color w:val="C00000"/>
                <w:lang w:val="lt-LT" w:eastAsia="lt-LT"/>
              </w:rPr>
              <w:t xml:space="preserve"> </w:t>
            </w:r>
            <w:r w:rsidRPr="007526A9">
              <w:rPr>
                <w:rFonts w:asciiTheme="majorBidi" w:hAnsiTheme="majorBidi" w:cstheme="majorBidi"/>
                <w:lang w:val="lt-LT" w:eastAsia="lt-LT"/>
              </w:rPr>
              <w:t>=</w:t>
            </w:r>
            <w:r>
              <w:rPr>
                <w:rFonts w:asciiTheme="majorBidi" w:hAnsiTheme="majorBidi" w:cstheme="majorBidi"/>
                <w:lang w:val="lt-LT" w:eastAsia="lt-LT"/>
              </w:rPr>
              <w:t xml:space="preserve"> </w:t>
            </w:r>
            <w:r w:rsidRPr="007526A9">
              <w:rPr>
                <w:rFonts w:asciiTheme="majorBidi" w:hAnsiTheme="majorBidi" w:cstheme="majorBidi"/>
                <w:lang w:val="lt-LT" w:eastAsia="lt-LT"/>
              </w:rPr>
              <w:t>30</w:t>
            </w:r>
          </w:p>
        </w:tc>
      </w:tr>
      <w:tr w:rsidR="002A5F36" w:rsidRPr="007526A9" w14:paraId="5D377094" w14:textId="77777777" w:rsidTr="00E278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43B3" w14:textId="77777777" w:rsidR="002A5F36" w:rsidRPr="008F3812" w:rsidRDefault="002A5F36" w:rsidP="00E27857">
            <w:pPr>
              <w:spacing w:after="120" w:line="240" w:lineRule="auto"/>
              <w:jc w:val="both"/>
              <w:rPr>
                <w:rFonts w:asciiTheme="majorBidi" w:hAnsiTheme="majorBidi" w:cstheme="majorBidi"/>
                <w:color w:val="000000"/>
                <w:lang w:val="lt-LT"/>
              </w:rPr>
            </w:pPr>
            <w:r>
              <w:rPr>
                <w:rFonts w:asciiTheme="majorBidi" w:hAnsiTheme="majorBidi" w:cstheme="majorBidi"/>
                <w:lang w:val="lt-LT" w:eastAsia="lt-LT"/>
              </w:rPr>
              <w:t>Antrasis kriterijus (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 w:eastAsia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1</m:t>
                  </m:r>
                </m:sub>
              </m:sSub>
            </m:oMath>
            <w:r>
              <w:rPr>
                <w:rFonts w:asciiTheme="majorBidi" w:hAnsiTheme="majorBidi" w:cstheme="majorBidi"/>
                <w:lang w:val="lt-LT" w:eastAsia="lt-LT"/>
              </w:rPr>
              <w:t>):</w:t>
            </w:r>
            <w:r w:rsidRPr="008F3812">
              <w:rPr>
                <w:rFonts w:asciiTheme="majorBidi" w:hAnsiTheme="majorBidi" w:cstheme="majorBidi"/>
                <w:color w:val="000000"/>
                <w:lang w:val="lt-LT"/>
              </w:rPr>
              <w:t xml:space="preserve"> Techniniai kriterijai pirkimo objekte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F8A0" w14:textId="77777777" w:rsidR="002A5F36" w:rsidRPr="007526A9" w:rsidRDefault="00A72CB8" w:rsidP="00E27857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/>
                    </w:rPr>
                    <m:t>max</m:t>
                  </m:r>
                  <m:r>
                    <w:rPr>
                      <w:rFonts w:ascii="Cambria Math" w:hAnsi="Cambria Math" w:cstheme="majorBidi"/>
                      <w:color w:val="C00000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color w:val="C00000"/>
                  <w:lang w:val="lt-LT"/>
                </w:rPr>
                <m:t xml:space="preserve"> </m:t>
              </m:r>
            </m:oMath>
            <w:r w:rsidR="002A5F36" w:rsidRPr="007526A9">
              <w:rPr>
                <w:rFonts w:asciiTheme="majorBidi" w:hAnsiTheme="majorBidi" w:cstheme="majorBidi"/>
                <w:lang w:val="lt-LT"/>
              </w:rPr>
              <w:t>=</w:t>
            </w:r>
            <w:r w:rsidR="002A5F36">
              <w:rPr>
                <w:rFonts w:asciiTheme="majorBidi" w:hAnsiTheme="majorBidi" w:cstheme="majorBidi"/>
                <w:lang w:val="lt-LT"/>
              </w:rPr>
              <w:t xml:space="preserve">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00B9" w14:textId="77777777" w:rsidR="002A5F36" w:rsidRPr="007526A9" w:rsidRDefault="00A72CB8" w:rsidP="00E27857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 w:eastAsia="lt-LT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 w:eastAsia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1</m:t>
                  </m:r>
                </m:sub>
              </m:sSub>
            </m:oMath>
            <w:r w:rsidR="002A5F36" w:rsidRPr="007526A9">
              <w:rPr>
                <w:rFonts w:asciiTheme="majorBidi" w:hAnsiTheme="majorBidi" w:cstheme="majorBidi"/>
                <w:color w:val="C00000"/>
                <w:lang w:val="lt-LT" w:eastAsia="lt-LT"/>
              </w:rPr>
              <w:t xml:space="preserve"> </w:t>
            </w:r>
            <w:r w:rsidR="002A5F36" w:rsidRPr="007526A9">
              <w:rPr>
                <w:rFonts w:asciiTheme="majorBidi" w:hAnsiTheme="majorBidi" w:cstheme="majorBidi"/>
                <w:lang w:val="lt-LT" w:eastAsia="lt-LT"/>
              </w:rPr>
              <w:t>= 65</w:t>
            </w:r>
          </w:p>
        </w:tc>
      </w:tr>
      <w:tr w:rsidR="002A5F36" w:rsidRPr="007526A9" w14:paraId="355A31C2" w14:textId="77777777" w:rsidTr="00E278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086" w14:textId="77777777" w:rsidR="002A5F36" w:rsidRPr="007526A9" w:rsidRDefault="002A5F36" w:rsidP="00E27857">
            <w:pPr>
              <w:spacing w:after="120" w:line="240" w:lineRule="auto"/>
              <w:jc w:val="both"/>
              <w:rPr>
                <w:rFonts w:asciiTheme="majorBidi" w:hAnsiTheme="majorBidi" w:cstheme="majorBidi"/>
                <w:color w:val="000000"/>
                <w:lang w:val="lt-LT"/>
              </w:rPr>
            </w:pPr>
            <w:r>
              <w:rPr>
                <w:rFonts w:asciiTheme="majorBidi" w:hAnsiTheme="majorBidi" w:cstheme="majorBidi"/>
                <w:lang w:val="lt-LT" w:eastAsia="lt-LT"/>
              </w:rPr>
              <w:t>Trečiasis kriterijus (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 w:eastAsia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2</m:t>
                  </m:r>
                </m:sub>
              </m:sSub>
            </m:oMath>
            <w:r>
              <w:rPr>
                <w:rFonts w:asciiTheme="majorBidi" w:hAnsiTheme="majorBidi" w:cstheme="majorBidi"/>
                <w:lang w:val="lt-LT" w:eastAsia="lt-LT"/>
              </w:rPr>
              <w:t>):</w:t>
            </w:r>
            <w:r w:rsidRPr="001B67B1">
              <w:rPr>
                <w:rFonts w:asciiTheme="majorBidi" w:hAnsiTheme="majorBidi" w:cstheme="majorBidi"/>
                <w:color w:val="000000"/>
                <w:lang w:val="lt-LT"/>
              </w:rPr>
              <w:t xml:space="preserve"> Neprivalomi, bet savarankiškai Teikėjo teikiami siūlymai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9797" w14:textId="77777777" w:rsidR="002A5F36" w:rsidRPr="007526A9" w:rsidRDefault="00A72CB8" w:rsidP="00E27857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 w:eastAsia="ar-SA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/>
                    </w:rPr>
                    <m:t>max</m:t>
                  </m:r>
                  <m:r>
                    <w:rPr>
                      <w:rFonts w:ascii="Cambria Math" w:hAnsi="Cambria Math" w:cstheme="majorBidi"/>
                      <w:color w:val="C00000"/>
                      <w:lang w:val="lt-LT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color w:val="C00000"/>
                  <w:lang w:val="lt-LT"/>
                </w:rPr>
                <m:t xml:space="preserve"> </m:t>
              </m:r>
            </m:oMath>
            <w:r w:rsidR="002A5F36" w:rsidRPr="007526A9">
              <w:rPr>
                <w:rFonts w:asciiTheme="majorBidi" w:hAnsiTheme="majorBidi" w:cstheme="majorBidi"/>
                <w:lang w:val="lt-LT"/>
              </w:rPr>
              <w:t>=</w:t>
            </w:r>
            <w:r w:rsidR="002A5F36">
              <w:rPr>
                <w:rFonts w:asciiTheme="majorBidi" w:hAnsiTheme="majorBidi" w:cstheme="majorBidi"/>
                <w:lang w:val="lt-LT"/>
              </w:rPr>
              <w:t xml:space="preserve">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5D8F" w14:textId="77777777" w:rsidR="002A5F36" w:rsidRPr="007526A9" w:rsidRDefault="00A72CB8" w:rsidP="00E27857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 w:eastAsia="lt-LT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 w:eastAsia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color w:val="C00000"/>
                  <w:lang w:val="lt-LT" w:eastAsia="lt-LT"/>
                </w:rPr>
                <m:t xml:space="preserve"> </m:t>
              </m:r>
            </m:oMath>
            <w:r w:rsidR="002A5F36" w:rsidRPr="007526A9">
              <w:rPr>
                <w:rFonts w:asciiTheme="majorBidi" w:hAnsiTheme="majorBidi" w:cstheme="majorBidi"/>
                <w:lang w:val="lt-LT" w:eastAsia="lt-LT"/>
              </w:rPr>
              <w:t>=</w:t>
            </w:r>
            <w:r w:rsidR="002A5F36">
              <w:rPr>
                <w:rFonts w:asciiTheme="majorBidi" w:hAnsiTheme="majorBidi" w:cstheme="majorBidi"/>
                <w:lang w:val="lt-LT" w:eastAsia="lt-LT"/>
              </w:rPr>
              <w:t xml:space="preserve"> </w:t>
            </w:r>
            <w:r w:rsidR="002A5F36" w:rsidRPr="007526A9">
              <w:rPr>
                <w:rFonts w:asciiTheme="majorBidi" w:hAnsiTheme="majorBidi" w:cstheme="majorBidi"/>
                <w:lang w:val="lt-LT" w:eastAsia="lt-LT"/>
              </w:rPr>
              <w:t>5</w:t>
            </w:r>
          </w:p>
        </w:tc>
      </w:tr>
      <w:tr w:rsidR="002A5F36" w:rsidRPr="007526A9" w14:paraId="39ACDD5E" w14:textId="77777777" w:rsidTr="00E2785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AE26" w14:textId="77777777" w:rsidR="002A5F36" w:rsidRPr="00204CED" w:rsidRDefault="002A5F36" w:rsidP="00E2785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color w:val="C00000"/>
                <w:lang w:val="lt-LT" w:eastAsia="lt-LT"/>
              </w:rPr>
            </w:pPr>
            <w:r w:rsidRPr="00204CED">
              <w:rPr>
                <w:rFonts w:asciiTheme="majorBidi" w:hAnsiTheme="majorBidi" w:cstheme="majorBidi"/>
                <w:b/>
                <w:lang w:val="lt-LT" w:eastAsia="lt-LT"/>
              </w:rPr>
              <w:t>Maksimalius balų skaičius  – 100.</w:t>
            </w:r>
          </w:p>
        </w:tc>
      </w:tr>
    </w:tbl>
    <w:p w14:paraId="37B538C3" w14:textId="77777777" w:rsidR="002A5F36" w:rsidRPr="007526A9" w:rsidRDefault="002A5F36" w:rsidP="002A5F36">
      <w:pPr>
        <w:tabs>
          <w:tab w:val="left" w:pos="720"/>
        </w:tabs>
        <w:spacing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2.1.</w:t>
      </w:r>
      <w:r w:rsidRPr="007526A9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Ekonominis naudingumas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S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apskaičiuojamas sudedant tiekėjo pasiūlymo kainos 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C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kitų kriterijų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T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balus</w:t>
      </w:r>
      <w:r w:rsidRPr="00204CE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:</w:t>
      </w:r>
    </w:p>
    <w:p w14:paraId="3E4F73F8" w14:textId="77777777" w:rsidR="002A5F36" w:rsidRPr="00204CED" w:rsidRDefault="002A5F36" w:rsidP="002A5F36">
      <w:pPr>
        <w:spacing w:after="120" w:line="240" w:lineRule="auto"/>
        <w:ind w:firstLine="851"/>
        <w:jc w:val="both"/>
        <w:rPr>
          <w:rFonts w:asciiTheme="majorBidi" w:eastAsia="Calibri" w:hAnsiTheme="majorBidi" w:cstheme="majorBidi"/>
          <w:color w:val="C00000"/>
          <w:sz w:val="24"/>
          <w:szCs w:val="24"/>
          <w:lang w:val="lt-LT"/>
        </w:rPr>
      </w:pPr>
      <m:oMathPara>
        <m:oMath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>S=C+T</m:t>
          </m:r>
        </m:oMath>
      </m:oMathPara>
    </w:p>
    <w:p w14:paraId="0920D6DA" w14:textId="77777777" w:rsidR="002A5F36" w:rsidRPr="00204CED" w:rsidRDefault="002A5F36" w:rsidP="002A5F36">
      <w:pPr>
        <w:pStyle w:val="ListParagraph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Pasiūlymo kainos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C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balai apskaičiuojami mažiausios pasiūlytos kainos (</w:t>
      </w:r>
      <w:proofErr w:type="spellStart"/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C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vertAlign w:val="subscript"/>
          <w:lang w:val="lt-LT"/>
        </w:rPr>
        <w:t>min</w:t>
      </w:r>
      <w:proofErr w:type="spellEnd"/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ir vertinamo pasiūlymo kainos (</w:t>
      </w:r>
      <w:proofErr w:type="spellStart"/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C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vertAlign w:val="subscript"/>
          <w:lang w:val="lt-LT"/>
        </w:rPr>
        <w:t>p</w:t>
      </w:r>
      <w:proofErr w:type="spellEnd"/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santykį padauginant iš kainos lyginamojo svorio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X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):</w:t>
      </w:r>
    </w:p>
    <w:p w14:paraId="4BDF0FEF" w14:textId="77777777" w:rsidR="002A5F36" w:rsidRPr="0001566B" w:rsidRDefault="002A5F36" w:rsidP="002A5F36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7731A24" w14:textId="77777777" w:rsidR="002A5F36" w:rsidRPr="00204CED" w:rsidRDefault="002A5F36" w:rsidP="002A5F36">
      <w:pPr>
        <w:spacing w:after="120" w:line="240" w:lineRule="auto"/>
        <w:ind w:firstLine="851"/>
        <w:jc w:val="both"/>
        <w:rPr>
          <w:rFonts w:asciiTheme="majorBidi" w:eastAsia="Calibri" w:hAnsiTheme="majorBidi" w:cstheme="majorBidi"/>
          <w:color w:val="C00000"/>
          <w:sz w:val="24"/>
          <w:szCs w:val="24"/>
          <w:lang w:val="lt-LT"/>
        </w:rPr>
      </w:pPr>
      <m:oMathPara>
        <m:oMath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 xml:space="preserve">C=X × </m:t>
          </m:r>
          <m:f>
            <m:fPr>
              <m:ctrlPr>
                <w:rPr>
                  <w:rFonts w:ascii="Cambria Math" w:eastAsia="Calibri" w:hAnsi="Cambria Math" w:cstheme="majorBidi"/>
                  <w:i/>
                  <w:color w:val="C00000"/>
                  <w:sz w:val="24"/>
                  <w:szCs w:val="24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p</m:t>
                  </m:r>
                </m:sub>
              </m:sSub>
            </m:den>
          </m:f>
        </m:oMath>
      </m:oMathPara>
    </w:p>
    <w:p w14:paraId="25BEBA83" w14:textId="77777777" w:rsidR="002A5F36" w:rsidRPr="00204CED" w:rsidRDefault="002A5F36" w:rsidP="002A5F36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Kriterijų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T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balai apskaičiuojami sudedant atskirų kriterijų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T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vertAlign w:val="subscript"/>
          <w:lang w:val="lt-LT"/>
        </w:rPr>
        <w:t xml:space="preserve">1 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 xml:space="preserve"> T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vertAlign w:val="subscript"/>
          <w:lang w:val="lt-LT"/>
        </w:rPr>
        <w:t>2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balus:</w:t>
      </w:r>
    </w:p>
    <w:p w14:paraId="2105E87E" w14:textId="77777777" w:rsidR="002A5F36" w:rsidRPr="00204CED" w:rsidRDefault="002A5F36" w:rsidP="002A5F3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val="lt-LT"/>
        </w:rPr>
      </w:pPr>
    </w:p>
    <w:p w14:paraId="7AB4E663" w14:textId="77777777" w:rsidR="002A5F36" w:rsidRDefault="002A5F36" w:rsidP="002A5F36">
      <w:pPr>
        <w:spacing w:after="120" w:line="240" w:lineRule="auto"/>
        <w:jc w:val="center"/>
        <w:rPr>
          <w:rFonts w:asciiTheme="majorBidi" w:eastAsia="Calibri" w:hAnsiTheme="majorBidi" w:cstheme="majorBidi"/>
          <w:color w:val="C00000"/>
          <w:lang w:val="lt-LT" w:eastAsia="lt-LT"/>
        </w:rPr>
      </w:pPr>
      <m:oMath>
        <m:r>
          <w:rPr>
            <w:rFonts w:ascii="Cambria Math" w:eastAsia="Calibri" w:hAnsi="Cambria Math" w:cstheme="majorBidi"/>
            <w:color w:val="C00000"/>
            <w:sz w:val="24"/>
            <w:szCs w:val="24"/>
            <w:lang w:val="lt-LT"/>
          </w:rPr>
          <m:t>T=</m:t>
        </m:r>
        <m:sSub>
          <m:sSubPr>
            <m:ctrlPr>
              <w:rPr>
                <w:rFonts w:ascii="Cambria Math" w:hAnsi="Cambria Math" w:cstheme="majorBidi"/>
                <w:i/>
                <w:color w:val="C00000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T</m:t>
            </m:r>
          </m:e>
          <m:sub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1</m:t>
            </m:r>
          </m:sub>
        </m:sSub>
      </m:oMath>
      <w:r>
        <w:rPr>
          <w:rFonts w:asciiTheme="majorBidi" w:eastAsia="Calibri" w:hAnsiTheme="majorBidi" w:cstheme="majorBidi"/>
          <w:color w:val="C00000"/>
          <w:lang w:val="lt-LT" w:eastAsia="lt-LT"/>
        </w:rPr>
        <w:t>+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 xml:space="preserve"> T</m:t>
            </m:r>
          </m:e>
          <m:sub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2</m:t>
            </m:r>
          </m:sub>
        </m:sSub>
      </m:oMath>
    </w:p>
    <w:p w14:paraId="08F76226" w14:textId="77777777" w:rsidR="002A5F36" w:rsidRPr="00CF2D66" w:rsidRDefault="002A5F36" w:rsidP="002A5F36">
      <w:pPr>
        <w:pStyle w:val="ListParagraph"/>
        <w:numPr>
          <w:ilvl w:val="1"/>
          <w:numId w:val="3"/>
        </w:numPr>
        <w:tabs>
          <w:tab w:val="left" w:pos="426"/>
        </w:tabs>
        <w:spacing w:after="120" w:line="240" w:lineRule="auto"/>
        <w:ind w:left="0" w:firstLine="0"/>
        <w:rPr>
          <w:rFonts w:asciiTheme="majorBidi" w:eastAsia="Calibri" w:hAnsiTheme="majorBidi" w:cstheme="majorBidi"/>
          <w:color w:val="C00000"/>
          <w:lang w:val="lt-LT" w:eastAsia="lt-LT"/>
        </w:rPr>
      </w:pP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Antrojo kriterijaus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T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1</m:t>
            </m:r>
          </m:sub>
        </m:sSub>
      </m:oMath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)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balai 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apskaičiuojam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i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suteikt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balo reikšm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ės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w:proofErr w:type="spellStart"/>
      <w:r w:rsidRPr="00CF2D66">
        <w:rPr>
          <w:rFonts w:asciiTheme="majorBidi" w:eastAsia="Times New Roman" w:hAnsiTheme="majorBidi" w:cstheme="majorBidi"/>
          <w:i/>
          <w:color w:val="C00000"/>
          <w:sz w:val="24"/>
          <w:szCs w:val="24"/>
          <w:lang w:val="lt-LT"/>
        </w:rPr>
        <w:t>R</w:t>
      </w:r>
      <w:r w:rsidRPr="00CF2D66">
        <w:rPr>
          <w:rFonts w:asciiTheme="majorBidi" w:eastAsia="Times New Roman" w:hAnsiTheme="majorBidi" w:cstheme="majorBidi"/>
          <w:i/>
          <w:color w:val="C00000"/>
          <w:sz w:val="24"/>
          <w:szCs w:val="24"/>
          <w:vertAlign w:val="subscript"/>
          <w:lang w:val="lt-LT"/>
        </w:rPr>
        <w:t>p</w:t>
      </w:r>
      <w:proofErr w:type="spellEnd"/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)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ir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galim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geriausi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to paties balo reikšm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ės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/>
              </w:rPr>
              <m:t>R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/>
              </w:rPr>
              <m:t>max1</m:t>
            </m:r>
          </m:sub>
        </m:sSub>
      </m:oMath>
      <w:r w:rsidRPr="00CF2D66">
        <w:rPr>
          <w:rFonts w:asciiTheme="majorBidi" w:eastAsia="Times New Roman" w:hAnsiTheme="majorBidi" w:cstheme="majorBidi"/>
          <w:lang w:val="lt-LT"/>
        </w:rPr>
        <w:t>)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santykį padauginant iš kainos lyginamojo svorio 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Y</m:t>
            </m:r>
          </m:e>
          <m:sub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C00000"/>
            <w:lang w:val="lt-LT" w:eastAsia="lt-LT"/>
          </w:rPr>
          <m:t xml:space="preserve"> </m:t>
        </m:r>
      </m:oMath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):</w:t>
      </w:r>
    </w:p>
    <w:p w14:paraId="157CFACA" w14:textId="77777777" w:rsidR="002A5F36" w:rsidRPr="00CF2D66" w:rsidRDefault="002A5F36" w:rsidP="002A5F3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</w:p>
    <w:p w14:paraId="76ADC696" w14:textId="77777777" w:rsidR="002A5F36" w:rsidRPr="00CF2D66" w:rsidRDefault="00A72CB8" w:rsidP="002A5F36">
      <w:pPr>
        <w:pStyle w:val="ListParagraph"/>
        <w:spacing w:after="120" w:line="240" w:lineRule="auto"/>
        <w:ind w:left="360"/>
        <w:jc w:val="both"/>
        <w:rPr>
          <w:rFonts w:asciiTheme="majorBidi" w:eastAsia="Calibri" w:hAnsiTheme="majorBidi" w:cstheme="majorBidi"/>
          <w:color w:val="C00000"/>
          <w:sz w:val="24"/>
          <w:szCs w:val="24"/>
          <w:lang w:val="lt-LT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C00000"/>
                  <w:lang w:val="lt-LT" w:eastAsia="lt-LT"/>
                </w:rPr>
              </m:ctrlPr>
            </m:sSubPr>
            <m:e>
              <m:r>
                <w:rPr>
                  <w:rFonts w:ascii="Cambria Math" w:hAnsi="Cambria Math" w:cstheme="majorBidi"/>
                  <w:color w:val="C00000"/>
                  <w:lang w:val="lt-LT" w:eastAsia="lt-LT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color w:val="C00000"/>
                  <w:lang w:val="lt-LT" w:eastAsia="lt-LT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color w:val="C00000"/>
                  <w:sz w:val="24"/>
                  <w:szCs w:val="24"/>
                  <w:lang w:val="lt-LT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color w:val="C00000"/>
                  <w:sz w:val="24"/>
                  <w:szCs w:val="24"/>
                  <w:lang w:val="lt-LT"/>
                </w:rPr>
                <m:t>Y</m:t>
              </m:r>
            </m:e>
            <m:sub>
              <m:r>
                <w:rPr>
                  <w:rFonts w:ascii="Cambria Math" w:eastAsia="Calibri" w:hAnsi="Cambria Math" w:cstheme="majorBidi"/>
                  <w:color w:val="C00000"/>
                  <w:sz w:val="24"/>
                  <w:szCs w:val="24"/>
                  <w:lang w:val="lt-LT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 xml:space="preserve"> ×</m:t>
          </m:r>
          <m:f>
            <m:fPr>
              <m:ctrlPr>
                <w:rPr>
                  <w:rFonts w:ascii="Cambria Math" w:eastAsia="Calibri" w:hAnsi="Cambria Math" w:cstheme="majorBidi"/>
                  <w:i/>
                  <w:color w:val="C00000"/>
                  <w:sz w:val="24"/>
                  <w:szCs w:val="24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max</m:t>
                  </m:r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</m:den>
          </m:f>
        </m:oMath>
      </m:oMathPara>
    </w:p>
    <w:p w14:paraId="03A852F8" w14:textId="77777777" w:rsidR="002A5F36" w:rsidRPr="00CF2D66" w:rsidRDefault="002A5F36" w:rsidP="002A5F3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</w:p>
    <w:p w14:paraId="6B83ABEA" w14:textId="77777777" w:rsidR="002A5F36" w:rsidRPr="00CF2D66" w:rsidRDefault="002A5F36" w:rsidP="002A5F3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Antrojo kriterijaus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T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)</w:t>
      </w:r>
      <w:r w:rsidRPr="00CF2D6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balai paskirstyti taip</w:t>
      </w: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4800" w:type="dxa"/>
        <w:tblInd w:w="2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248"/>
      </w:tblGrid>
      <w:tr w:rsidR="002A5F36" w:rsidRPr="00F4189D" w14:paraId="7F49BD35" w14:textId="77777777" w:rsidTr="00E27857">
        <w:trPr>
          <w:trHeight w:val="30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1636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Vertinimas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E62A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Balai</w:t>
            </w:r>
          </w:p>
        </w:tc>
      </w:tr>
      <w:tr w:rsidR="002A5F36" w:rsidRPr="00F4189D" w14:paraId="6D656E55" w14:textId="77777777" w:rsidTr="00E27857">
        <w:trPr>
          <w:trHeight w:val="30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A64B" w14:textId="77777777" w:rsidR="002A5F36" w:rsidRPr="006C09CA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Silpnai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77D0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</w:tr>
      <w:tr w:rsidR="002A5F36" w:rsidRPr="00F4189D" w14:paraId="621BE1C7" w14:textId="77777777" w:rsidTr="00E27857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91D0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Vidutiniškai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B7CD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</w:tr>
      <w:tr w:rsidR="002A5F36" w:rsidRPr="00F4189D" w14:paraId="67DDF85A" w14:textId="77777777" w:rsidTr="00E27857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72DF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Gerai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BE36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</w:tr>
    </w:tbl>
    <w:p w14:paraId="498D93A0" w14:textId="77777777" w:rsidR="002A5F36" w:rsidRPr="00CF2D66" w:rsidRDefault="002A5F36" w:rsidP="002A5F3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</w:p>
    <w:p w14:paraId="57652F6D" w14:textId="77777777" w:rsidR="002A5F36" w:rsidRPr="00CF2D66" w:rsidRDefault="002A5F36" w:rsidP="002A5F36">
      <w:pPr>
        <w:pStyle w:val="ListParagraph"/>
        <w:numPr>
          <w:ilvl w:val="1"/>
          <w:numId w:val="3"/>
        </w:numPr>
        <w:tabs>
          <w:tab w:val="left" w:pos="426"/>
        </w:tabs>
        <w:spacing w:after="120" w:line="240" w:lineRule="auto"/>
        <w:ind w:left="0" w:firstLine="0"/>
        <w:rPr>
          <w:rFonts w:asciiTheme="majorBidi" w:eastAsia="Calibri" w:hAnsiTheme="majorBidi" w:cstheme="majorBidi"/>
          <w:color w:val="C00000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Trečiojo</w:t>
      </w: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kriterijaus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T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2</m:t>
            </m:r>
          </m:sub>
        </m:sSub>
      </m:oMath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)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balai 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apskaičiuojam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i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suteikt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balo reikšm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ės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w:proofErr w:type="spellStart"/>
      <w:r w:rsidRPr="00CF2D66">
        <w:rPr>
          <w:rFonts w:asciiTheme="majorBidi" w:eastAsia="Times New Roman" w:hAnsiTheme="majorBidi" w:cstheme="majorBidi"/>
          <w:i/>
          <w:color w:val="C00000"/>
          <w:sz w:val="24"/>
          <w:szCs w:val="24"/>
          <w:lang w:val="lt-LT"/>
        </w:rPr>
        <w:t>R</w:t>
      </w:r>
      <w:r w:rsidRPr="00CF2D66">
        <w:rPr>
          <w:rFonts w:asciiTheme="majorBidi" w:eastAsia="Times New Roman" w:hAnsiTheme="majorBidi" w:cstheme="majorBidi"/>
          <w:i/>
          <w:color w:val="C00000"/>
          <w:sz w:val="24"/>
          <w:szCs w:val="24"/>
          <w:vertAlign w:val="subscript"/>
          <w:lang w:val="lt-LT"/>
        </w:rPr>
        <w:t>p</w:t>
      </w:r>
      <w:proofErr w:type="spellEnd"/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)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ir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galim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geriausi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to paties balo reikšm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ės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/>
              </w:rPr>
              <m:t>R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/>
              </w:rPr>
              <m:t>max2</m:t>
            </m:r>
          </m:sub>
        </m:sSub>
      </m:oMath>
      <w:r w:rsidRPr="00CF2D66">
        <w:rPr>
          <w:rFonts w:asciiTheme="majorBidi" w:eastAsia="Times New Roman" w:hAnsiTheme="majorBidi" w:cstheme="majorBidi"/>
          <w:lang w:val="lt-LT"/>
        </w:rPr>
        <w:t>)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santykį padauginant iš kainos lyginamojo svorio 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Y</m:t>
            </m:r>
          </m:e>
          <m:sub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C00000"/>
            <w:lang w:val="lt-LT" w:eastAsia="lt-LT"/>
          </w:rPr>
          <m:t xml:space="preserve"> </m:t>
        </m:r>
      </m:oMath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):</w:t>
      </w:r>
    </w:p>
    <w:p w14:paraId="5FD93B51" w14:textId="77777777" w:rsidR="002A5F36" w:rsidRPr="00CF2D66" w:rsidRDefault="00A72CB8" w:rsidP="002A5F36">
      <w:pPr>
        <w:pStyle w:val="ListParagraph"/>
        <w:spacing w:after="120" w:line="240" w:lineRule="auto"/>
        <w:ind w:left="360"/>
        <w:jc w:val="both"/>
        <w:rPr>
          <w:rFonts w:asciiTheme="majorBidi" w:eastAsia="Calibri" w:hAnsiTheme="majorBidi" w:cstheme="majorBidi"/>
          <w:color w:val="C00000"/>
          <w:sz w:val="24"/>
          <w:szCs w:val="24"/>
          <w:lang w:val="lt-LT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C00000"/>
                  <w:lang w:val="lt-LT" w:eastAsia="lt-LT"/>
                </w:rPr>
              </m:ctrlPr>
            </m:sSubPr>
            <m:e>
              <m:r>
                <w:rPr>
                  <w:rFonts w:ascii="Cambria Math" w:hAnsi="Cambria Math" w:cstheme="majorBidi"/>
                  <w:color w:val="C00000"/>
                  <w:lang w:val="lt-LT" w:eastAsia="lt-LT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color w:val="C00000"/>
                  <w:lang w:val="lt-LT" w:eastAsia="lt-LT"/>
                </w:rPr>
                <m:t>2</m:t>
              </m:r>
            </m:sub>
          </m:sSub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color w:val="C00000"/>
                  <w:sz w:val="24"/>
                  <w:szCs w:val="24"/>
                  <w:lang w:val="lt-LT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color w:val="C00000"/>
                  <w:sz w:val="24"/>
                  <w:szCs w:val="24"/>
                  <w:lang w:val="lt-LT"/>
                </w:rPr>
                <m:t>Y</m:t>
              </m:r>
            </m:e>
            <m:sub>
              <m:r>
                <w:rPr>
                  <w:rFonts w:ascii="Cambria Math" w:eastAsia="Calibri" w:hAnsi="Cambria Math" w:cstheme="majorBidi"/>
                  <w:color w:val="C00000"/>
                  <w:sz w:val="24"/>
                  <w:szCs w:val="24"/>
                  <w:lang w:val="lt-LT"/>
                </w:rPr>
                <m:t>2</m:t>
              </m:r>
            </m:sub>
          </m:sSub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 xml:space="preserve"> ×</m:t>
          </m:r>
          <m:f>
            <m:fPr>
              <m:ctrlPr>
                <w:rPr>
                  <w:rFonts w:ascii="Cambria Math" w:eastAsia="Calibri" w:hAnsi="Cambria Math" w:cstheme="majorBidi"/>
                  <w:i/>
                  <w:color w:val="C00000"/>
                  <w:sz w:val="24"/>
                  <w:szCs w:val="24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max</m:t>
                  </m:r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2</m:t>
                  </m:r>
                </m:sub>
              </m:sSub>
            </m:den>
          </m:f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 xml:space="preserve"> </m:t>
          </m:r>
        </m:oMath>
      </m:oMathPara>
    </w:p>
    <w:p w14:paraId="2BC580A6" w14:textId="77777777" w:rsidR="002A5F36" w:rsidRPr="00CF2D66" w:rsidRDefault="002A5F36" w:rsidP="002A5F3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</w:p>
    <w:p w14:paraId="52E51B33" w14:textId="77777777" w:rsidR="002A5F36" w:rsidRPr="00CF2D66" w:rsidRDefault="002A5F36" w:rsidP="002A5F3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Trečiojo</w:t>
      </w: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kriterijaus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T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)</w:t>
      </w:r>
      <w:r w:rsidRPr="00CF2D6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balai paskirstyti taip</w:t>
      </w: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4800" w:type="dxa"/>
        <w:tblInd w:w="2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248"/>
      </w:tblGrid>
      <w:tr w:rsidR="002A5F36" w:rsidRPr="00F4189D" w14:paraId="6075E294" w14:textId="77777777" w:rsidTr="00E27857">
        <w:trPr>
          <w:trHeight w:val="30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4487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Vertinimas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B014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Balai</w:t>
            </w:r>
          </w:p>
        </w:tc>
      </w:tr>
      <w:tr w:rsidR="002A5F36" w:rsidRPr="00F4189D" w14:paraId="2432C612" w14:textId="77777777" w:rsidTr="00E27857">
        <w:trPr>
          <w:trHeight w:val="30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3683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B</w:t>
            </w:r>
            <w:r w:rsidRPr="006C09C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logai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04E7" w14:textId="77777777" w:rsidR="002A5F36" w:rsidRPr="003E616A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</w:pPr>
            <w:r w:rsidRPr="003E616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2A5F36" w:rsidRPr="00F4189D" w14:paraId="414FD066" w14:textId="77777777" w:rsidTr="00E27857">
        <w:trPr>
          <w:trHeight w:val="30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6433" w14:textId="77777777" w:rsidR="002A5F36" w:rsidRPr="006C09CA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Silpnai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D330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</w:tr>
      <w:tr w:rsidR="002A5F36" w:rsidRPr="00F4189D" w14:paraId="525E2080" w14:textId="77777777" w:rsidTr="00E27857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AAB7A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Vidutiniškai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39AC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</w:tr>
      <w:tr w:rsidR="002A5F36" w:rsidRPr="00F4189D" w14:paraId="46EDDF46" w14:textId="77777777" w:rsidTr="00E27857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9E01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Gerai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73520" w14:textId="77777777" w:rsidR="002A5F36" w:rsidRPr="00F4189D" w:rsidRDefault="002A5F36" w:rsidP="00E27857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</w:tr>
    </w:tbl>
    <w:p w14:paraId="2E9B4EF5" w14:textId="77777777" w:rsidR="002A5F36" w:rsidRPr="00CF2D66" w:rsidRDefault="002A5F36" w:rsidP="002A5F3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</w:p>
    <w:p w14:paraId="1730CE45" w14:textId="77777777" w:rsidR="002A5F36" w:rsidRPr="00382BBC" w:rsidRDefault="002A5F36" w:rsidP="002A5F36">
      <w:pPr>
        <w:pStyle w:val="ListParagraph"/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382BBC">
        <w:rPr>
          <w:rFonts w:asciiTheme="majorBidi" w:hAnsiTheme="majorBidi" w:cstheme="majorBidi"/>
          <w:sz w:val="24"/>
          <w:szCs w:val="24"/>
          <w:lang w:val="lt-LT"/>
        </w:rPr>
        <w:t>Bus apskaičiuojamas kiekvienam teikėjui komisijos narių</w:t>
      </w:r>
      <w:r>
        <w:rPr>
          <w:rFonts w:asciiTheme="majorBidi" w:hAnsiTheme="majorBidi" w:cstheme="majorBidi"/>
          <w:sz w:val="24"/>
          <w:szCs w:val="24"/>
          <w:lang w:val="lt-LT"/>
        </w:rPr>
        <w:t>,</w:t>
      </w:r>
      <w:r w:rsidRPr="00382BBC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atsakingų už techninės dalies vertinimą,</w:t>
      </w:r>
      <w:r w:rsidRPr="00382BBC">
        <w:rPr>
          <w:rFonts w:asciiTheme="majorBidi" w:hAnsiTheme="majorBidi" w:cstheme="majorBidi"/>
          <w:sz w:val="24"/>
          <w:szCs w:val="24"/>
          <w:lang w:val="lt-LT"/>
        </w:rPr>
        <w:t xml:space="preserve"> suteiktų balų aritmetinis vidurkis, paliekant du skaitmenis po kablelio.</w:t>
      </w:r>
    </w:p>
    <w:p w14:paraId="4665E88F" w14:textId="77777777" w:rsidR="002A5F36" w:rsidRPr="006001D4" w:rsidRDefault="002A5F36" w:rsidP="002A5F3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001D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Tais atvejais, kai kelių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teikėjų</w:t>
      </w:r>
      <w:r w:rsidRPr="006001D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pasiūlymų ekonominis naudingumas yra vienodas, nustatant pasiūlymų eilę, pirmesnis į šią eilę įrašomas dalyvis, kurio pasiūlymas pateiktas anksčiausiai.</w:t>
      </w:r>
    </w:p>
    <w:p w14:paraId="4E979854" w14:textId="77777777" w:rsidR="002A5F36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p w14:paraId="28BBBB50" w14:textId="77777777" w:rsidR="002A5F36" w:rsidRPr="00F4189D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t>5</w:t>
      </w:r>
      <w:r w:rsidRPr="00F4189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. </w:t>
      </w:r>
      <w:r>
        <w:rPr>
          <w:rFonts w:asciiTheme="majorBidi" w:hAnsiTheme="majorBidi" w:cstheme="majorBidi"/>
          <w:b/>
          <w:color w:val="000000"/>
          <w:sz w:val="24"/>
          <w:szCs w:val="24"/>
          <w:lang w:val="lt-LT"/>
        </w:rPr>
        <w:t>Techniniai kriterijai pirkimo objekte</w:t>
      </w:r>
      <w:r w:rsidRPr="00F4189D">
        <w:rPr>
          <w:rFonts w:asciiTheme="majorBidi" w:hAnsiTheme="majorBidi" w:cstheme="majorBidi"/>
          <w:b/>
          <w:sz w:val="24"/>
          <w:szCs w:val="24"/>
          <w:lang w:val="lt-LT"/>
        </w:rPr>
        <w:t xml:space="preserve"> (</w:t>
      </w:r>
      <w:r>
        <w:rPr>
          <w:rFonts w:asciiTheme="majorBidi" w:hAnsiTheme="majorBidi" w:cstheme="majorBidi"/>
          <w:b/>
          <w:sz w:val="24"/>
          <w:szCs w:val="24"/>
          <w:lang w:val="lt-LT"/>
        </w:rPr>
        <w:t>65</w:t>
      </w:r>
      <w:r w:rsidRPr="00F4189D">
        <w:rPr>
          <w:rFonts w:asciiTheme="majorBidi" w:hAnsiTheme="majorBidi" w:cstheme="majorBidi"/>
          <w:b/>
          <w:sz w:val="24"/>
          <w:szCs w:val="24"/>
          <w:lang w:val="lt-LT"/>
        </w:rPr>
        <w:t xml:space="preserve"> proc.)</w:t>
      </w:r>
      <w:r w:rsidRPr="00F4189D">
        <w:rPr>
          <w:rFonts w:asciiTheme="majorBidi" w:hAnsiTheme="majorBidi" w:cstheme="majorBidi"/>
          <w:b/>
          <w:bCs/>
          <w:sz w:val="24"/>
          <w:szCs w:val="24"/>
          <w:lang w:val="lt-LT"/>
        </w:rPr>
        <w:t>:</w:t>
      </w:r>
    </w:p>
    <w:p w14:paraId="450DBC03" w14:textId="77777777" w:rsidR="002A5F36" w:rsidRPr="00694F94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94F94">
        <w:rPr>
          <w:rFonts w:ascii="Times New Roman" w:hAnsi="Times New Roman" w:cs="Times New Roman"/>
          <w:sz w:val="24"/>
          <w:szCs w:val="24"/>
          <w:lang w:val="lt-LT"/>
        </w:rPr>
        <w:t>Techninio pasiūlymo (</w:t>
      </w:r>
      <w:r>
        <w:rPr>
          <w:rFonts w:ascii="Times New Roman" w:hAnsi="Times New Roman" w:cs="Times New Roman"/>
          <w:sz w:val="24"/>
          <w:szCs w:val="24"/>
          <w:lang w:val="lt-LT"/>
        </w:rPr>
        <w:t>Pasiūlymo</w:t>
      </w:r>
      <w:r w:rsidRPr="00694F94">
        <w:rPr>
          <w:rFonts w:ascii="Times New Roman" w:hAnsi="Times New Roman" w:cs="Times New Roman"/>
          <w:sz w:val="24"/>
          <w:szCs w:val="24"/>
          <w:lang w:val="lt-LT"/>
        </w:rPr>
        <w:t>, kaip ji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694F94">
        <w:rPr>
          <w:rFonts w:ascii="Times New Roman" w:hAnsi="Times New Roman" w:cs="Times New Roman"/>
          <w:sz w:val="24"/>
          <w:szCs w:val="24"/>
          <w:lang w:val="lt-LT"/>
        </w:rPr>
        <w:t xml:space="preserve"> apibrėžta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694F94">
        <w:rPr>
          <w:rFonts w:ascii="Times New Roman" w:hAnsi="Times New Roman" w:cs="Times New Roman"/>
          <w:sz w:val="24"/>
          <w:szCs w:val="24"/>
          <w:lang w:val="lt-LT"/>
        </w:rPr>
        <w:t xml:space="preserve"> Techninėje specifikacijoje) turinys </w:t>
      </w:r>
    </w:p>
    <w:p w14:paraId="3AF291A9" w14:textId="77777777" w:rsidR="002A5F36" w:rsidRPr="00797B5A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highlight w:val="yellow"/>
          <w:lang w:val="lt-LT"/>
        </w:rPr>
      </w:pPr>
      <w:r w:rsidRPr="00E200C7">
        <w:rPr>
          <w:rFonts w:asciiTheme="majorBidi" w:hAnsiTheme="majorBidi" w:cstheme="majorBidi"/>
          <w:b/>
          <w:sz w:val="24"/>
          <w:szCs w:val="24"/>
          <w:lang w:val="lt-LT"/>
        </w:rPr>
        <w:t>1 balas (silpnai):</w:t>
      </w:r>
      <w:r w:rsidRPr="004736A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Pasiūlymo turinys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 tik atkartoja Techninės specifikacijos reikalavimus, paslaugos suteikimo idėja vystoma, bet nėra išbaigta ir neišvystoma iki aiškiai suprantamos vizijos. Iš </w:t>
      </w:r>
      <w:r>
        <w:rPr>
          <w:rFonts w:ascii="Times New Roman" w:hAnsi="Times New Roman" w:cs="Times New Roman"/>
          <w:sz w:val="24"/>
          <w:szCs w:val="24"/>
          <w:lang w:val="lt-LT"/>
        </w:rPr>
        <w:t>Pasiūlymo turinio</w:t>
      </w:r>
      <w:r w:rsidRPr="004736A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 nėra galimybių suprasti Teikėjo </w:t>
      </w:r>
      <w:r w:rsidRPr="00D42420">
        <w:rPr>
          <w:rFonts w:asciiTheme="majorBidi" w:hAnsiTheme="majorBidi" w:cstheme="majorBidi"/>
          <w:sz w:val="24"/>
          <w:szCs w:val="24"/>
          <w:lang w:val="lt-LT"/>
        </w:rPr>
        <w:t>žinių, yra turinio suvokimo ir pateikimo klaidų bei netikslumų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. Neatskleista kiek viešojo sektoriaus organizacijų bus apklausiama, ar yra klaidų nustatant apklausos imtį, apklausos imtis per maža, apklausiamų organizacijų pasiskirstymas nepateiktas arba nėra tolygus ir nepateikti tokio netolygaus pasiskirstymo </w:t>
      </w:r>
      <w:r w:rsidRPr="00797B5A">
        <w:rPr>
          <w:rFonts w:asciiTheme="majorBidi" w:hAnsiTheme="majorBidi" w:cstheme="majorBidi"/>
          <w:sz w:val="24"/>
          <w:szCs w:val="24"/>
          <w:lang w:val="lt-LT"/>
        </w:rPr>
        <w:t>argumentai.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 xml:space="preserve"> Preliminarus apklausos turinys neaiškus, netikslus, neišsamus. Neaiškus apklausos įgyvendinimo būdas. Nenurodyti ar nurodyta be aprašymų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 xml:space="preserve"> 1) 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>apklausos metu renkamos informacijos struktūra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>r 2) brandos modelis saugumo būklei nustatyti. Jei yra pateiktas subrangovų sąrašas, jis nėra priimtinas Perkančiajai organizacijai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pagal reikalavimus, nurodytus Techninėje specifikacijoje ir Sutarties reikalavimuose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>Pasiūlymo įgyvendinimo grafikas nelogiškas, sunkiai įgyvendinamas, sudarytas neįvertinant darbų apimčių. Rizikos plane įtrauktos su paslaugos teikimu nesusijusios rizikos, yra klaidų.</w:t>
      </w:r>
    </w:p>
    <w:p w14:paraId="06CAE0AE" w14:textId="77777777" w:rsidR="002A5F36" w:rsidRPr="0017588A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sz w:val="24"/>
          <w:szCs w:val="24"/>
          <w:lang w:val="lt-LT"/>
        </w:rPr>
        <w:t>2</w:t>
      </w: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balai (vidutiniškai):</w:t>
      </w:r>
      <w:r w:rsidRPr="00102DC6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P</w:t>
      </w:r>
      <w:r>
        <w:rPr>
          <w:rFonts w:ascii="Times New Roman" w:hAnsi="Times New Roman" w:cs="Times New Roman"/>
          <w:sz w:val="24"/>
          <w:szCs w:val="24"/>
          <w:lang w:val="lt-LT"/>
        </w:rPr>
        <w:t>asiūlymo turinys</w:t>
      </w:r>
      <w:r w:rsidRPr="004736A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102DC6">
        <w:rPr>
          <w:rFonts w:asciiTheme="majorBidi" w:hAnsiTheme="majorBidi" w:cstheme="majorBidi"/>
          <w:sz w:val="24"/>
          <w:szCs w:val="24"/>
          <w:lang w:val="lt-LT"/>
        </w:rPr>
        <w:t xml:space="preserve">tik iš dalies atitinka </w:t>
      </w:r>
      <w:r>
        <w:rPr>
          <w:rFonts w:asciiTheme="majorBidi" w:hAnsiTheme="majorBidi" w:cstheme="majorBidi"/>
          <w:sz w:val="24"/>
          <w:szCs w:val="24"/>
          <w:lang w:val="lt-LT"/>
        </w:rPr>
        <w:t>P</w:t>
      </w:r>
      <w:r w:rsidRPr="00102DC6">
        <w:rPr>
          <w:rFonts w:asciiTheme="majorBidi" w:hAnsiTheme="majorBidi" w:cstheme="majorBidi"/>
          <w:sz w:val="24"/>
          <w:szCs w:val="24"/>
          <w:lang w:val="lt-LT"/>
        </w:rPr>
        <w:t>erkančiosios organizacijos suformuluotą užduotį.</w:t>
      </w:r>
      <w:r w:rsidRPr="0073198C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Nėra turinio suvokimo ir pateikimo klaidų bei netikslumų.</w:t>
      </w:r>
      <w:r w:rsidRPr="00102DC6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Teikėjas demonstruoja srities suvokimą.</w:t>
      </w:r>
      <w:r w:rsidRPr="008F3BDB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Atskleista, kiek viešojo sektoriaus organizacijų bus apklausiama, apklausos imtis  tinkama, apklausiamų organizacijų pasiskirstymas pateiktas, bet nėra tolygus ir nepateikti tokio netolygaus pasiskirstymo </w:t>
      </w:r>
      <w:r w:rsidRPr="00797B5A">
        <w:rPr>
          <w:rFonts w:asciiTheme="majorBidi" w:hAnsiTheme="majorBidi" w:cstheme="majorBidi"/>
          <w:sz w:val="24"/>
          <w:szCs w:val="24"/>
          <w:lang w:val="lt-LT"/>
        </w:rPr>
        <w:t>argumentai.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 xml:space="preserve"> Preliminarus apklausos turinys </w:t>
      </w:r>
      <w:r>
        <w:rPr>
          <w:rFonts w:ascii="Times New Roman" w:hAnsi="Times New Roman" w:cs="Times New Roman"/>
          <w:sz w:val="24"/>
          <w:szCs w:val="24"/>
          <w:lang w:val="lt-LT"/>
        </w:rPr>
        <w:t>aiškus, bet klausimų nepakanka nustatyti organizacijos kibernetinio saugumo būklę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>pklausos įgyvendinimo būdas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atskleistas, bet turi trūkumų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N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>urodyta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 xml:space="preserve">1) 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apklausos metu renkamos informacijos struktūra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>r 2) brandos modelis saugumo būklei nustatyti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 bet neatskleista kaip jie bus naudojami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Jei yra pateiktas subrangovų sąrašas, jis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yra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priimtinas Perkančiajai organizacijai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pagal reikalavimus, nurodytus Techninėje specifikacijoje ir Sutarties reikalavimuose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17588A">
        <w:rPr>
          <w:rFonts w:ascii="Times New Roman" w:hAnsi="Times New Roman" w:cs="Times New Roman"/>
          <w:sz w:val="24"/>
          <w:szCs w:val="24"/>
          <w:lang w:val="lt-LT"/>
        </w:rPr>
        <w:t>Pasiūlymo įgyvendinimo grafikas sudarytas logiškai, įvertintos darbų apimtys. Rizikos plane įtrauktos su paslaugos teikimu susijusios standartinės rizikos</w:t>
      </w:r>
      <w:r w:rsidRPr="0017588A">
        <w:rPr>
          <w:rFonts w:asciiTheme="majorBidi" w:hAnsiTheme="majorBidi" w:cstheme="majorBidi"/>
          <w:sz w:val="24"/>
          <w:szCs w:val="24"/>
          <w:lang w:val="lt-LT"/>
        </w:rPr>
        <w:t>, tačiau rizikų valdymo priemonės nepakankamos.</w:t>
      </w:r>
    </w:p>
    <w:p w14:paraId="301A3659" w14:textId="77777777" w:rsidR="002A5F36" w:rsidRPr="0017588A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 w:eastAsia="ar-SA"/>
        </w:rPr>
      </w:pPr>
      <w:r>
        <w:rPr>
          <w:rFonts w:asciiTheme="majorBidi" w:hAnsiTheme="majorBidi" w:cstheme="majorBidi"/>
          <w:b/>
          <w:sz w:val="24"/>
          <w:szCs w:val="24"/>
          <w:lang w:val="lt-LT"/>
        </w:rPr>
        <w:t>3</w:t>
      </w: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balai (gerai):</w:t>
      </w:r>
      <w:r w:rsidRPr="00102DC6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P</w:t>
      </w:r>
      <w:r>
        <w:rPr>
          <w:rFonts w:ascii="Times New Roman" w:hAnsi="Times New Roman" w:cs="Times New Roman"/>
          <w:sz w:val="24"/>
          <w:szCs w:val="24"/>
          <w:lang w:val="lt-LT"/>
        </w:rPr>
        <w:t>asiūlymo turinys</w:t>
      </w:r>
      <w:r w:rsidRPr="004736A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102DC6">
        <w:rPr>
          <w:rFonts w:asciiTheme="majorBidi" w:hAnsiTheme="majorBidi" w:cstheme="majorBidi"/>
          <w:sz w:val="24"/>
          <w:szCs w:val="24"/>
          <w:lang w:val="lt-LT"/>
        </w:rPr>
        <w:t xml:space="preserve">visiškai atitinka </w:t>
      </w:r>
      <w:r>
        <w:rPr>
          <w:rFonts w:asciiTheme="majorBidi" w:hAnsiTheme="majorBidi" w:cstheme="majorBidi"/>
          <w:sz w:val="24"/>
          <w:szCs w:val="24"/>
          <w:lang w:val="lt-LT"/>
        </w:rPr>
        <w:t>P</w:t>
      </w:r>
      <w:r w:rsidRPr="00102DC6">
        <w:rPr>
          <w:rFonts w:asciiTheme="majorBidi" w:hAnsiTheme="majorBidi" w:cstheme="majorBidi"/>
          <w:sz w:val="24"/>
          <w:szCs w:val="24"/>
          <w:lang w:val="lt-LT"/>
        </w:rPr>
        <w:t>erkančiosios organizacijos suformuluotą užduotį. Įvykdyta didžioji dalis perkančiosios organizacijos keliamų reikalavimų užduočiai.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 Nėra turinio suvokimo ir pateikimo klaidų bei netikslumų.</w:t>
      </w:r>
      <w:r w:rsidRPr="004736A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Teikėjas demonstruoja srities suvokimą</w:t>
      </w:r>
      <w:r w:rsidRPr="004736A3">
        <w:rPr>
          <w:rFonts w:asciiTheme="majorBidi" w:hAnsiTheme="majorBidi" w:cstheme="majorBidi"/>
          <w:sz w:val="24"/>
          <w:szCs w:val="24"/>
          <w:lang w:val="lt-LT"/>
        </w:rPr>
        <w:t>.</w:t>
      </w:r>
      <w:r w:rsidRPr="008F3BD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Atskleista, kiek viešojo sektoriaus organizacijų bus apklausiama, apklausos imtis  tinkama, apklausiamų organizacijų pasiskirstymas pateiktas, išsamiai pateikti netolygaus pasiskirstymo </w:t>
      </w:r>
      <w:r w:rsidRPr="00797B5A">
        <w:rPr>
          <w:rFonts w:asciiTheme="majorBidi" w:hAnsiTheme="majorBidi" w:cstheme="majorBidi"/>
          <w:sz w:val="24"/>
          <w:szCs w:val="24"/>
          <w:lang w:val="lt-LT"/>
        </w:rPr>
        <w:t>argumentai.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 xml:space="preserve"> Preliminarus apklausos 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turinys </w:t>
      </w:r>
      <w:r>
        <w:rPr>
          <w:rFonts w:ascii="Times New Roman" w:hAnsi="Times New Roman" w:cs="Times New Roman"/>
          <w:sz w:val="24"/>
          <w:szCs w:val="24"/>
          <w:lang w:val="lt-LT"/>
        </w:rPr>
        <w:t>aiškus, klausimų pakanka nustatyti organizacijos kibernetinio saugumo būklę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>pklausos įgyvendinimo būdas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atskleistas, trūkumų nėra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N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>urodyta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797B5A">
        <w:rPr>
          <w:rFonts w:ascii="Times New Roman" w:hAnsi="Times New Roman" w:cs="Times New Roman"/>
          <w:sz w:val="24"/>
          <w:szCs w:val="24"/>
          <w:lang w:val="lt-LT"/>
        </w:rPr>
        <w:t xml:space="preserve">1) 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apklausos metu renkamos informacijos struktūra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>r 2) brandos modelis saugumo būklei nustatyti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 išsamiai pristatyta, kaip jie bus naudojami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Jei yra pateiktas subrangovų sąrašas, jis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yra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priimtinas Perkančiajai organizacijai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pagal reikalavimus, nurodytus Techninėje specifikacijoje ir Sutarties reikalavimuose</w:t>
      </w:r>
      <w:r w:rsidRPr="00797B5A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17588A">
        <w:rPr>
          <w:rFonts w:ascii="Times New Roman" w:hAnsi="Times New Roman" w:cs="Times New Roman"/>
          <w:sz w:val="24"/>
          <w:szCs w:val="24"/>
          <w:lang w:val="lt-LT"/>
        </w:rPr>
        <w:t>Pasiūlymo įgyvendinimo grafikas sudarytas logiškai, įvertintos darbų apimtys. Rizikos plane įtrauktos su paslaugos teikimu susijusios rizikos</w:t>
      </w:r>
      <w:r w:rsidRPr="0017588A">
        <w:rPr>
          <w:rFonts w:asciiTheme="majorBidi" w:hAnsiTheme="majorBidi" w:cstheme="majorBidi"/>
          <w:sz w:val="24"/>
          <w:szCs w:val="24"/>
          <w:lang w:val="lt-LT"/>
        </w:rPr>
        <w:t xml:space="preserve">, kurios 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išsamiai </w:t>
      </w:r>
      <w:r w:rsidRPr="0017588A">
        <w:rPr>
          <w:rFonts w:asciiTheme="majorBidi" w:hAnsiTheme="majorBidi" w:cstheme="majorBidi"/>
          <w:sz w:val="24"/>
          <w:szCs w:val="24"/>
          <w:lang w:val="lt-LT"/>
        </w:rPr>
        <w:t xml:space="preserve">aprašo </w:t>
      </w:r>
      <w:r>
        <w:rPr>
          <w:rFonts w:asciiTheme="majorBidi" w:hAnsiTheme="majorBidi" w:cstheme="majorBidi"/>
          <w:sz w:val="24"/>
          <w:szCs w:val="24"/>
          <w:lang w:val="lt-LT"/>
        </w:rPr>
        <w:t>visus Paslaugos teikimo elementus</w:t>
      </w:r>
      <w:r w:rsidRPr="0017588A">
        <w:rPr>
          <w:rFonts w:asciiTheme="majorBidi" w:hAnsiTheme="majorBidi" w:cstheme="majorBidi"/>
          <w:sz w:val="24"/>
          <w:szCs w:val="24"/>
          <w:lang w:val="lt-LT"/>
        </w:rPr>
        <w:t>. Rizikų valdymo priemonės pakankamos.</w:t>
      </w:r>
    </w:p>
    <w:p w14:paraId="78A3C494" w14:textId="77777777" w:rsidR="002A5F36" w:rsidRPr="00F4189D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t>6</w:t>
      </w:r>
      <w:r w:rsidRPr="00F4189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. </w:t>
      </w:r>
      <w:r w:rsidRPr="00F4189D">
        <w:rPr>
          <w:rFonts w:asciiTheme="majorBidi" w:hAnsiTheme="majorBidi" w:cstheme="majorBidi"/>
          <w:b/>
          <w:sz w:val="24"/>
          <w:szCs w:val="24"/>
          <w:lang w:val="lt-LT"/>
        </w:rPr>
        <w:t>Neprivalomi, bet savarankiškai Teikėjo teikiami siūlymai (</w:t>
      </w:r>
      <w:r>
        <w:rPr>
          <w:rFonts w:asciiTheme="majorBidi" w:hAnsiTheme="majorBidi" w:cstheme="majorBidi"/>
          <w:b/>
          <w:sz w:val="24"/>
          <w:szCs w:val="24"/>
          <w:lang w:val="lt-LT"/>
        </w:rPr>
        <w:t>5</w:t>
      </w:r>
      <w:r w:rsidRPr="00F4189D">
        <w:rPr>
          <w:rFonts w:asciiTheme="majorBidi" w:hAnsiTheme="majorBidi" w:cstheme="majorBidi"/>
          <w:b/>
          <w:sz w:val="24"/>
          <w:szCs w:val="24"/>
          <w:lang w:val="lt-LT"/>
        </w:rPr>
        <w:t xml:space="preserve"> proc.)</w:t>
      </w:r>
      <w:r w:rsidRPr="00F4189D">
        <w:rPr>
          <w:rFonts w:asciiTheme="majorBidi" w:hAnsiTheme="majorBidi" w:cstheme="majorBidi"/>
          <w:b/>
          <w:bCs/>
          <w:sz w:val="24"/>
          <w:szCs w:val="24"/>
          <w:lang w:val="lt-LT"/>
        </w:rPr>
        <w:t>:</w:t>
      </w:r>
    </w:p>
    <w:p w14:paraId="3DB95036" w14:textId="77777777" w:rsidR="002A5F36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sz w:val="24"/>
          <w:szCs w:val="24"/>
          <w:lang w:val="lt-LT"/>
        </w:rPr>
        <w:t>0</w:t>
      </w: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bal</w:t>
      </w:r>
      <w:r>
        <w:rPr>
          <w:rFonts w:asciiTheme="majorBidi" w:hAnsiTheme="majorBidi" w:cstheme="majorBidi"/>
          <w:b/>
          <w:sz w:val="24"/>
          <w:szCs w:val="24"/>
          <w:lang w:val="lt-LT"/>
        </w:rPr>
        <w:t>ų</w:t>
      </w: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(blogai):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N</w:t>
      </w:r>
      <w:r w:rsidRPr="00E32B20">
        <w:rPr>
          <w:rFonts w:asciiTheme="majorBidi" w:hAnsiTheme="majorBidi" w:cstheme="majorBidi"/>
          <w:sz w:val="24"/>
          <w:szCs w:val="24"/>
          <w:lang w:val="lt-LT"/>
        </w:rPr>
        <w:t>ėra pateikta nė vieno papildomo pasiūlymo</w:t>
      </w:r>
      <w:r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0946F792" w14:textId="77777777" w:rsidR="002A5F36" w:rsidRPr="00FE777F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>1 balas (</w:t>
      </w:r>
      <w:r>
        <w:rPr>
          <w:rFonts w:asciiTheme="majorBidi" w:hAnsiTheme="majorBidi" w:cstheme="majorBidi"/>
          <w:b/>
          <w:sz w:val="24"/>
          <w:szCs w:val="24"/>
          <w:lang w:val="lt-LT"/>
        </w:rPr>
        <w:t>silpnai</w:t>
      </w: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>):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Į </w:t>
      </w:r>
      <w:r>
        <w:rPr>
          <w:rFonts w:asciiTheme="majorBidi" w:hAnsiTheme="majorBidi" w:cstheme="majorBidi"/>
          <w:sz w:val="24"/>
          <w:szCs w:val="24"/>
          <w:lang w:val="lt-LT"/>
        </w:rPr>
        <w:t>P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>asiūlymą įtraukta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s 1 (vienas) 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>papildom</w:t>
      </w:r>
      <w:r>
        <w:rPr>
          <w:rFonts w:asciiTheme="majorBidi" w:hAnsiTheme="majorBidi" w:cstheme="majorBidi"/>
          <w:sz w:val="24"/>
          <w:szCs w:val="24"/>
          <w:lang w:val="lt-LT"/>
        </w:rPr>
        <w:t>as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siūlym</w:t>
      </w:r>
      <w:r>
        <w:rPr>
          <w:rFonts w:asciiTheme="majorBidi" w:hAnsiTheme="majorBidi" w:cstheme="majorBidi"/>
          <w:sz w:val="24"/>
          <w:szCs w:val="24"/>
          <w:lang w:val="lt-LT"/>
        </w:rPr>
        <w:t>as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Paslaugos teikimui, bet jis nėra išvystytas ir aiškiai pristatytas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02944840" w14:textId="77777777" w:rsidR="002A5F36" w:rsidRPr="00FE777F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sz w:val="24"/>
          <w:szCs w:val="24"/>
          <w:lang w:val="lt-LT"/>
        </w:rPr>
        <w:t>2</w:t>
      </w: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balai (vidutiniškai):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Į </w:t>
      </w:r>
      <w:r>
        <w:rPr>
          <w:rFonts w:asciiTheme="majorBidi" w:hAnsiTheme="majorBidi" w:cstheme="majorBidi"/>
          <w:sz w:val="24"/>
          <w:szCs w:val="24"/>
          <w:lang w:val="lt-LT"/>
        </w:rPr>
        <w:t>P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>asiūlymą įtraukta</w:t>
      </w:r>
      <w:r>
        <w:rPr>
          <w:rFonts w:asciiTheme="majorBidi" w:hAnsiTheme="majorBidi" w:cstheme="majorBidi"/>
          <w:sz w:val="24"/>
          <w:szCs w:val="24"/>
          <w:lang w:val="lt-LT"/>
        </w:rPr>
        <w:t>s 1 (vienas)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papildom</w:t>
      </w:r>
      <w:r>
        <w:rPr>
          <w:rFonts w:asciiTheme="majorBidi" w:hAnsiTheme="majorBidi" w:cstheme="majorBidi"/>
          <w:sz w:val="24"/>
          <w:szCs w:val="24"/>
          <w:lang w:val="lt-LT"/>
        </w:rPr>
        <w:t>as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siūlym</w:t>
      </w:r>
      <w:r>
        <w:rPr>
          <w:rFonts w:asciiTheme="majorBidi" w:hAnsiTheme="majorBidi" w:cstheme="majorBidi"/>
          <w:sz w:val="24"/>
          <w:szCs w:val="24"/>
          <w:lang w:val="lt-LT"/>
        </w:rPr>
        <w:t>as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Paslaugos teikimui. Pasiūlymas originalus, aiškiai aprašytas ir išvystytas.</w:t>
      </w:r>
    </w:p>
    <w:p w14:paraId="0DA4792C" w14:textId="77777777" w:rsidR="002A5F36" w:rsidRDefault="002A5F36" w:rsidP="002A5F36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sz w:val="24"/>
          <w:szCs w:val="24"/>
          <w:lang w:val="lt-LT"/>
        </w:rPr>
        <w:t>3</w:t>
      </w: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balai (gerai):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Į </w:t>
      </w:r>
      <w:r>
        <w:rPr>
          <w:rFonts w:asciiTheme="majorBidi" w:hAnsiTheme="majorBidi" w:cstheme="majorBidi"/>
          <w:sz w:val="24"/>
          <w:szCs w:val="24"/>
          <w:lang w:val="lt-LT"/>
        </w:rPr>
        <w:t>P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>asiūlymą įtraukt</w:t>
      </w:r>
      <w:r>
        <w:rPr>
          <w:rFonts w:asciiTheme="majorBidi" w:hAnsiTheme="majorBidi" w:cstheme="majorBidi"/>
          <w:sz w:val="24"/>
          <w:szCs w:val="24"/>
          <w:lang w:val="lt-LT"/>
        </w:rPr>
        <w:t>i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2 (du) ar daugiau 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>papildom</w:t>
      </w:r>
      <w:r>
        <w:rPr>
          <w:rFonts w:asciiTheme="majorBidi" w:hAnsiTheme="majorBidi" w:cstheme="majorBidi"/>
          <w:sz w:val="24"/>
          <w:szCs w:val="24"/>
          <w:lang w:val="lt-LT"/>
        </w:rPr>
        <w:t>ų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siūlym</w:t>
      </w:r>
      <w:r>
        <w:rPr>
          <w:rFonts w:asciiTheme="majorBidi" w:hAnsiTheme="majorBidi" w:cstheme="majorBidi"/>
          <w:sz w:val="24"/>
          <w:szCs w:val="24"/>
          <w:lang w:val="lt-LT"/>
        </w:rPr>
        <w:t>ų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Paslaugos teikimui.</w:t>
      </w:r>
      <w:r w:rsidRPr="00767BB2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Pasiūlymai originalūs, aiškiai aprašyti ir išvystyti.</w:t>
      </w:r>
    </w:p>
    <w:p w14:paraId="79C9501F" w14:textId="77777777" w:rsidR="002A5F36" w:rsidRPr="00F4189D" w:rsidRDefault="002A5F36" w:rsidP="002A5F36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  <w:lang w:val="lt-LT"/>
        </w:rPr>
      </w:pPr>
      <w:r w:rsidRPr="00F4189D">
        <w:rPr>
          <w:rFonts w:asciiTheme="majorBidi" w:hAnsiTheme="majorBidi" w:cstheme="majorBidi"/>
          <w:sz w:val="24"/>
          <w:szCs w:val="24"/>
          <w:lang w:val="lt-LT"/>
        </w:rPr>
        <w:t>_____________________________</w:t>
      </w:r>
    </w:p>
    <w:p w14:paraId="77CC64F5" w14:textId="69A3A7DE" w:rsidR="009932F2" w:rsidRPr="009932F2" w:rsidRDefault="009932F2" w:rsidP="002A5F36">
      <w:pPr>
        <w:spacing w:after="120" w:line="240" w:lineRule="auto"/>
        <w:ind w:firstLine="1296"/>
        <w:rPr>
          <w:rFonts w:asciiTheme="majorBidi" w:hAnsiTheme="majorBidi" w:cstheme="majorBidi"/>
          <w:sz w:val="24"/>
          <w:szCs w:val="24"/>
          <w:lang w:val="lt-LT"/>
        </w:rPr>
      </w:pPr>
    </w:p>
    <w:sectPr w:rsidR="009932F2" w:rsidRPr="009932F2" w:rsidSect="002A5F36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6480D"/>
    <w:multiLevelType w:val="multilevel"/>
    <w:tmpl w:val="A39E545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" w15:restartNumberingAfterBreak="0">
    <w:nsid w:val="3D2E3E83"/>
    <w:multiLevelType w:val="hybridMultilevel"/>
    <w:tmpl w:val="3C8EA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546DB"/>
    <w:multiLevelType w:val="hybridMultilevel"/>
    <w:tmpl w:val="4D506FB8"/>
    <w:lvl w:ilvl="0" w:tplc="9BB031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7"/>
    <w:rsid w:val="00006214"/>
    <w:rsid w:val="0008005F"/>
    <w:rsid w:val="000E12D0"/>
    <w:rsid w:val="00104197"/>
    <w:rsid w:val="00145207"/>
    <w:rsid w:val="001646E6"/>
    <w:rsid w:val="001A3638"/>
    <w:rsid w:val="001A755F"/>
    <w:rsid w:val="002A5F36"/>
    <w:rsid w:val="00327E1E"/>
    <w:rsid w:val="00330CE8"/>
    <w:rsid w:val="00356B64"/>
    <w:rsid w:val="003F1833"/>
    <w:rsid w:val="00425E3E"/>
    <w:rsid w:val="00470D6E"/>
    <w:rsid w:val="004C387D"/>
    <w:rsid w:val="004D4C6B"/>
    <w:rsid w:val="004E3B76"/>
    <w:rsid w:val="00500F29"/>
    <w:rsid w:val="0054421E"/>
    <w:rsid w:val="006A10DA"/>
    <w:rsid w:val="006A38CC"/>
    <w:rsid w:val="006B23E8"/>
    <w:rsid w:val="0070299F"/>
    <w:rsid w:val="0071562C"/>
    <w:rsid w:val="007369D5"/>
    <w:rsid w:val="00781820"/>
    <w:rsid w:val="00831FFE"/>
    <w:rsid w:val="008332C4"/>
    <w:rsid w:val="008C3DDE"/>
    <w:rsid w:val="0092664F"/>
    <w:rsid w:val="009932F2"/>
    <w:rsid w:val="009C099B"/>
    <w:rsid w:val="009C698F"/>
    <w:rsid w:val="00A16FE7"/>
    <w:rsid w:val="00A515C8"/>
    <w:rsid w:val="00A72CB8"/>
    <w:rsid w:val="00AA1F7F"/>
    <w:rsid w:val="00AA391C"/>
    <w:rsid w:val="00AD575A"/>
    <w:rsid w:val="00AE1F65"/>
    <w:rsid w:val="00B54EDF"/>
    <w:rsid w:val="00C001FD"/>
    <w:rsid w:val="00C250EC"/>
    <w:rsid w:val="00C977B5"/>
    <w:rsid w:val="00CB1EB9"/>
    <w:rsid w:val="00D02EC8"/>
    <w:rsid w:val="00D26B54"/>
    <w:rsid w:val="00D313BA"/>
    <w:rsid w:val="00D8610D"/>
    <w:rsid w:val="00DC4D66"/>
    <w:rsid w:val="00E83FBA"/>
    <w:rsid w:val="00EA3135"/>
    <w:rsid w:val="00F16148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E672"/>
  <w15:chartTrackingRefBased/>
  <w15:docId w15:val="{8DE9648A-7116-42E4-95FD-9AF59FCA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2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1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F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F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Z.</dc:creator>
  <cp:keywords/>
  <dc:description/>
  <cp:lastModifiedBy>Windows User</cp:lastModifiedBy>
  <cp:revision>6</cp:revision>
  <dcterms:created xsi:type="dcterms:W3CDTF">2024-11-28T14:04:00Z</dcterms:created>
  <dcterms:modified xsi:type="dcterms:W3CDTF">2025-09-02T10:53:00Z</dcterms:modified>
</cp:coreProperties>
</file>