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3CE5056" w14:textId="77777777" w:rsidR="004E4C81" w:rsidRDefault="00FD5032" w:rsidP="004E4C81">
      <w:pPr>
        <w:spacing w:after="0" w:line="240" w:lineRule="auto"/>
        <w:jc w:val="center"/>
        <w:rPr>
          <w:rFonts w:cstheme="minorHAnsi"/>
          <w:b/>
        </w:rPr>
      </w:pPr>
      <w:r w:rsidRPr="00FE4239">
        <w:rPr>
          <w:rFonts w:cstheme="minorHAnsi"/>
          <w:b/>
        </w:rPr>
        <w:t xml:space="preserve">DĖL </w:t>
      </w:r>
      <w:r w:rsidR="00FE4239" w:rsidRPr="00FE4239">
        <w:rPr>
          <w:rFonts w:cstheme="minorHAnsi"/>
          <w:b/>
        </w:rPr>
        <w:t xml:space="preserve">Povandeninių dronų (fiksuojančių užslėptus neteisėtus prisijungimus prie tinklų (objektų), </w:t>
      </w:r>
    </w:p>
    <w:p w14:paraId="553CC810" w14:textId="0D92CCFA" w:rsidR="009F3DF0" w:rsidRPr="00FE4239" w:rsidRDefault="00FE4239" w:rsidP="004E4C81">
      <w:pPr>
        <w:spacing w:after="0" w:line="240" w:lineRule="auto"/>
        <w:jc w:val="center"/>
        <w:rPr>
          <w:rFonts w:cstheme="minorHAnsi"/>
          <w:b/>
        </w:rPr>
      </w:pPr>
      <w:r w:rsidRPr="00FE4239">
        <w:rPr>
          <w:rFonts w:cstheme="minorHAnsi"/>
          <w:b/>
        </w:rPr>
        <w:t>po vandeniu esančius išleistuvus į vandens telkinius)</w:t>
      </w:r>
    </w:p>
    <w:p w14:paraId="5F560C3C" w14:textId="3FDE7BB6" w:rsidR="00C261EE" w:rsidRPr="00FE4239" w:rsidRDefault="00B54523" w:rsidP="004E4C81">
      <w:pPr>
        <w:spacing w:after="0" w:line="240" w:lineRule="auto"/>
        <w:jc w:val="center"/>
        <w:rPr>
          <w:rFonts w:cstheme="minorHAnsi"/>
          <w:b/>
          <w:bCs/>
        </w:rPr>
      </w:pPr>
      <w:r w:rsidRPr="00FE4239">
        <w:rPr>
          <w:rFonts w:cstheme="minorHAnsi"/>
          <w:b/>
        </w:rPr>
        <w:t>VIEŠ</w:t>
      </w:r>
      <w:r w:rsidR="00FD5032" w:rsidRPr="00FE4239">
        <w:rPr>
          <w:rFonts w:cstheme="minorHAnsi"/>
          <w:b/>
        </w:rPr>
        <w:t xml:space="preserve">OJO </w:t>
      </w:r>
      <w:r w:rsidRPr="00FE4239">
        <w:rPr>
          <w:rFonts w:cstheme="minorHAnsi"/>
          <w:b/>
        </w:rPr>
        <w:t>PIRKIM</w:t>
      </w:r>
      <w:r w:rsidR="00FD5032" w:rsidRPr="00FE4239">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238F0477"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Pr="00FE4239">
        <w:rPr>
          <w:rFonts w:eastAsia="Times New Roman" w:cstheme="minorHAnsi"/>
          <w:b/>
          <w:bCs/>
        </w:rPr>
        <w:t>Povandeninių dronų (fiksuojančių užslėptus neteisėtus prisijungimus prie tinklų (objektų), po vandeniu esančius išleistuvus į vandens telkinius)</w:t>
      </w:r>
      <w:r>
        <w:rPr>
          <w:rFonts w:eastAsia="Times New Roman" w:cstheme="minorHAnsi"/>
          <w:b/>
          <w:bCs/>
        </w:rPr>
        <w:t xml:space="preserve"> </w:t>
      </w:r>
      <w:r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FE4239"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FE4239">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FE4239" w:rsidRDefault="001E1C51" w:rsidP="00292B4B">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77777777" w:rsidR="001E1C51" w:rsidRPr="00FE4239"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lastRenderedPageBreak/>
              <w:t>Ar galite pasiūlyti prekę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FE4239"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Kokia tiekėjo siūlom</w:t>
            </w:r>
            <w:r w:rsidR="00FE4239" w:rsidRPr="00FE4239">
              <w:rPr>
                <w:rFonts w:asciiTheme="minorHAnsi" w:hAnsiTheme="minorHAnsi" w:cstheme="minorHAnsi"/>
                <w:sz w:val="22"/>
                <w:szCs w:val="22"/>
              </w:rPr>
              <w:t>a</w:t>
            </w:r>
            <w:r w:rsidRPr="00FE4239">
              <w:rPr>
                <w:rFonts w:asciiTheme="minorHAnsi" w:hAnsiTheme="minorHAnsi" w:cstheme="minorHAnsi"/>
                <w:sz w:val="22"/>
                <w:szCs w:val="22"/>
              </w:rPr>
              <w:t xml:space="preserve"> kaina</w:t>
            </w:r>
            <w:r w:rsidR="004913CB" w:rsidRPr="00FE4239">
              <w:rPr>
                <w:rFonts w:asciiTheme="minorHAnsi" w:hAnsiTheme="minorHAnsi" w:cstheme="minorHAnsi"/>
                <w:sz w:val="22"/>
                <w:szCs w:val="22"/>
              </w:rPr>
              <w:t>?</w:t>
            </w:r>
            <w:r w:rsidRPr="00FE4239">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tcPr>
          <w:p w14:paraId="7CAAF52D" w14:textId="16765B62" w:rsidR="00FE4239" w:rsidRPr="00FE4239" w:rsidRDefault="00FE4239"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Kitos pastabos, pasiūlymai</w:t>
            </w:r>
          </w:p>
        </w:tc>
        <w:tc>
          <w:tcPr>
            <w:tcW w:w="3310" w:type="pct"/>
          </w:tcPr>
          <w:p w14:paraId="458CC744" w14:textId="77777777" w:rsidR="00FE4239" w:rsidRPr="00FE4239" w:rsidRDefault="00FE4239"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A1C5" w14:textId="77777777" w:rsidR="00D67A84" w:rsidRDefault="00D67A84" w:rsidP="007E6C2C">
      <w:pPr>
        <w:spacing w:after="0" w:line="240" w:lineRule="auto"/>
      </w:pPr>
      <w:r>
        <w:separator/>
      </w:r>
    </w:p>
  </w:endnote>
  <w:endnote w:type="continuationSeparator" w:id="0">
    <w:p w14:paraId="65F8B4FD" w14:textId="77777777" w:rsidR="00D67A84" w:rsidRDefault="00D67A8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ADE4" w14:textId="77777777" w:rsidR="00316A4B" w:rsidRDefault="00316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DFE2" w14:textId="77777777" w:rsidR="00316A4B" w:rsidRDefault="00316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FB70" w14:textId="77777777" w:rsidR="00D67A84" w:rsidRDefault="00D67A84" w:rsidP="007E6C2C">
      <w:pPr>
        <w:spacing w:after="0" w:line="240" w:lineRule="auto"/>
      </w:pPr>
      <w:r>
        <w:separator/>
      </w:r>
    </w:p>
  </w:footnote>
  <w:footnote w:type="continuationSeparator" w:id="0">
    <w:p w14:paraId="352B88E8" w14:textId="77777777" w:rsidR="00D67A84" w:rsidRDefault="00D67A8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DC87" w14:textId="77777777" w:rsidR="00316A4B" w:rsidRDefault="00316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39ED052F"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0152" w14:textId="77777777" w:rsidR="00316A4B" w:rsidRDefault="00316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6A4B"/>
    <w:rsid w:val="003174DD"/>
    <w:rsid w:val="00320CAB"/>
    <w:rsid w:val="00330D2A"/>
    <w:rsid w:val="003422C7"/>
    <w:rsid w:val="00344A83"/>
    <w:rsid w:val="00351163"/>
    <w:rsid w:val="0036057C"/>
    <w:rsid w:val="00361609"/>
    <w:rsid w:val="003714AF"/>
    <w:rsid w:val="0037325F"/>
    <w:rsid w:val="00375019"/>
    <w:rsid w:val="0038690F"/>
    <w:rsid w:val="003914CB"/>
    <w:rsid w:val="00391BC5"/>
    <w:rsid w:val="003A1F19"/>
    <w:rsid w:val="003A32B0"/>
    <w:rsid w:val="003A54A8"/>
    <w:rsid w:val="003A6F5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335A9"/>
    <w:rsid w:val="0075594D"/>
    <w:rsid w:val="007651CB"/>
    <w:rsid w:val="00767A99"/>
    <w:rsid w:val="00771D5E"/>
    <w:rsid w:val="00775E72"/>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67A84"/>
    <w:rsid w:val="00D91BFB"/>
    <w:rsid w:val="00D9598F"/>
    <w:rsid w:val="00DA6449"/>
    <w:rsid w:val="00DB14E5"/>
    <w:rsid w:val="00DC5088"/>
    <w:rsid w:val="00DE6539"/>
    <w:rsid w:val="00DF14BB"/>
    <w:rsid w:val="00DF4051"/>
    <w:rsid w:val="00DF4F50"/>
    <w:rsid w:val="00E01E4C"/>
    <w:rsid w:val="00E112D6"/>
    <w:rsid w:val="00E16D7B"/>
    <w:rsid w:val="00E43054"/>
    <w:rsid w:val="00E449C3"/>
    <w:rsid w:val="00E72CAE"/>
    <w:rsid w:val="00E95C23"/>
    <w:rsid w:val="00EA3D47"/>
    <w:rsid w:val="00EB3BB9"/>
    <w:rsid w:val="00EB5942"/>
    <w:rsid w:val="00ED0B56"/>
    <w:rsid w:val="00ED29ED"/>
    <w:rsid w:val="00EE1695"/>
    <w:rsid w:val="00EF0B97"/>
    <w:rsid w:val="00EF53C9"/>
    <w:rsid w:val="00EF59D3"/>
    <w:rsid w:val="00F04076"/>
    <w:rsid w:val="00F0470A"/>
    <w:rsid w:val="00F32588"/>
    <w:rsid w:val="00F373CD"/>
    <w:rsid w:val="00F37FBF"/>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Andrius Kačinskas</cp:lastModifiedBy>
  <cp:revision>2</cp:revision>
  <cp:lastPrinted>2022-08-09T07:41:00Z</cp:lastPrinted>
  <dcterms:created xsi:type="dcterms:W3CDTF">2025-09-09T07:30:00Z</dcterms:created>
  <dcterms:modified xsi:type="dcterms:W3CDTF">2025-09-09T07:30:00Z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