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62D3CF83" w14:textId="72CCCAAD" w:rsidR="00591E84" w:rsidRPr="00591E84" w:rsidRDefault="003050AA" w:rsidP="003050AA">
      <w:pPr>
        <w:pStyle w:val="NormalWeb"/>
        <w:jc w:val="right"/>
        <w:rPr>
          <w:rStyle w:val="Emphasis"/>
          <w:sz w:val="20"/>
          <w:szCs w:val="20"/>
          <w:lang w:val="lt-LT"/>
        </w:rPr>
      </w:pPr>
      <w:r w:rsidRPr="00591E84">
        <w:rPr>
          <w:rStyle w:val="Emphasis"/>
          <w:sz w:val="20"/>
          <w:szCs w:val="20"/>
          <w:lang w:val="lt-LT"/>
        </w:rPr>
        <w:t xml:space="preserve">Pirkimo sąlygų </w:t>
      </w:r>
      <w:r w:rsidRPr="00591E84">
        <w:rPr>
          <w:rStyle w:val="Emphasis"/>
          <w:sz w:val="20"/>
          <w:szCs w:val="20"/>
          <w:lang w:val="lt-LT"/>
        </w:rPr>
        <w:t>4</w:t>
      </w:r>
      <w:r w:rsidRPr="00591E84">
        <w:rPr>
          <w:rStyle w:val="Emphasis"/>
          <w:sz w:val="20"/>
          <w:szCs w:val="20"/>
          <w:lang w:val="lt-LT"/>
        </w:rPr>
        <w:t xml:space="preserve"> priedas „D</w:t>
      </w:r>
      <w:r w:rsidRPr="00591E84">
        <w:rPr>
          <w:rStyle w:val="Emphasis"/>
          <w:sz w:val="20"/>
          <w:szCs w:val="20"/>
          <w:lang w:val="lt-LT"/>
        </w:rPr>
        <w:t>eklaracijos forma</w:t>
      </w:r>
      <w:r w:rsidR="00591E84" w:rsidRPr="00591E84">
        <w:rPr>
          <w:rStyle w:val="Emphasis"/>
          <w:sz w:val="20"/>
          <w:szCs w:val="20"/>
          <w:lang w:val="lt-LT"/>
        </w:rPr>
        <w:t>“</w:t>
      </w:r>
    </w:p>
    <w:p w14:paraId="66FCEC9D" w14:textId="6549FF4B" w:rsidR="00FC38B8" w:rsidRPr="003050AA" w:rsidRDefault="00FC38B8" w:rsidP="003050AA">
      <w:pPr>
        <w:pStyle w:val="NormalWeb"/>
        <w:jc w:val="right"/>
        <w:rPr>
          <w:i/>
          <w:iCs/>
          <w:lang w:val="lt-LT"/>
        </w:rPr>
      </w:pPr>
      <w:r w:rsidRPr="00FC38B8">
        <w:rPr>
          <w:rStyle w:val="Emphasis"/>
          <w:lang w:val="lt-LT"/>
        </w:rPr>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08A70748"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r w:rsidR="005F48BB">
        <w:rPr>
          <w:i/>
          <w:color w:val="000000"/>
          <w:lang w:val="lt-LT"/>
        </w:rPr>
        <w:t>K</w:t>
      </w:r>
      <w:r w:rsidR="005F48BB" w:rsidRPr="005F48BB">
        <w:rPr>
          <w:i/>
          <w:color w:val="000000"/>
          <w:lang w:val="lt-LT"/>
        </w:rPr>
        <w:t>ietųjų radioaktyviųjų atliekų deginimo įrenginio degiklio atsarginių dalių pirkimas</w:t>
      </w:r>
      <w:r w:rsidRPr="00875775">
        <w:rPr>
          <w:rFonts w:eastAsia="Calibri"/>
          <w:i/>
          <w:lang w:val="lt-LT"/>
        </w:rPr>
        <w:t>“</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5F48BB">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lastRenderedPageBreak/>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0F6F" w14:textId="77777777" w:rsidR="00592C31" w:rsidRDefault="00592C31">
      <w:pPr>
        <w:suppressAutoHyphens/>
        <w:textAlignment w:val="baseline"/>
      </w:pPr>
      <w:r>
        <w:separator/>
      </w:r>
    </w:p>
  </w:endnote>
  <w:endnote w:type="continuationSeparator" w:id="0">
    <w:p w14:paraId="3D89B919" w14:textId="77777777" w:rsidR="00592C31" w:rsidRDefault="00592C31">
      <w:pPr>
        <w:suppressAutoHyphens/>
        <w:textAlignment w:val="baseline"/>
      </w:pPr>
      <w:r>
        <w:continuationSeparator/>
      </w:r>
    </w:p>
  </w:endnote>
  <w:endnote w:type="continuationNotice" w:id="1">
    <w:p w14:paraId="69488D64" w14:textId="77777777" w:rsidR="00592C31" w:rsidRDefault="0059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9A8A" w14:textId="77777777" w:rsidR="00592C31" w:rsidRDefault="00592C31">
      <w:pPr>
        <w:suppressAutoHyphens/>
        <w:textAlignment w:val="baseline"/>
      </w:pPr>
      <w:r>
        <w:rPr>
          <w:color w:val="000000"/>
        </w:rPr>
        <w:separator/>
      </w:r>
    </w:p>
  </w:footnote>
  <w:footnote w:type="continuationSeparator" w:id="0">
    <w:p w14:paraId="116F4499" w14:textId="77777777" w:rsidR="00592C31" w:rsidRDefault="00592C31">
      <w:pPr>
        <w:suppressAutoHyphens/>
        <w:textAlignment w:val="baseline"/>
      </w:pPr>
      <w:r>
        <w:continuationSeparator/>
      </w:r>
    </w:p>
  </w:footnote>
  <w:footnote w:type="continuationNotice" w:id="1">
    <w:p w14:paraId="54627C01" w14:textId="77777777" w:rsidR="00592C31" w:rsidRDefault="00592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646D2"/>
    <w:rsid w:val="000978A2"/>
    <w:rsid w:val="000C3E6E"/>
    <w:rsid w:val="00162D6E"/>
    <w:rsid w:val="002074C7"/>
    <w:rsid w:val="002165D5"/>
    <w:rsid w:val="00266152"/>
    <w:rsid w:val="002967CA"/>
    <w:rsid w:val="002A08D2"/>
    <w:rsid w:val="003050AA"/>
    <w:rsid w:val="00320F8E"/>
    <w:rsid w:val="00363805"/>
    <w:rsid w:val="003B315C"/>
    <w:rsid w:val="003D1CB6"/>
    <w:rsid w:val="004B5963"/>
    <w:rsid w:val="00505541"/>
    <w:rsid w:val="0051129F"/>
    <w:rsid w:val="00511C31"/>
    <w:rsid w:val="00527810"/>
    <w:rsid w:val="0053796B"/>
    <w:rsid w:val="00591E84"/>
    <w:rsid w:val="00592C31"/>
    <w:rsid w:val="005F48BB"/>
    <w:rsid w:val="005F56E1"/>
    <w:rsid w:val="00613390"/>
    <w:rsid w:val="00653348"/>
    <w:rsid w:val="006678F1"/>
    <w:rsid w:val="006B512E"/>
    <w:rsid w:val="006D5970"/>
    <w:rsid w:val="007C38F0"/>
    <w:rsid w:val="00806447"/>
    <w:rsid w:val="00857798"/>
    <w:rsid w:val="00875775"/>
    <w:rsid w:val="009B07E5"/>
    <w:rsid w:val="009B2783"/>
    <w:rsid w:val="009B28A5"/>
    <w:rsid w:val="009B2EBA"/>
    <w:rsid w:val="009B38F5"/>
    <w:rsid w:val="00A07E73"/>
    <w:rsid w:val="00A60600"/>
    <w:rsid w:val="00AB16B7"/>
    <w:rsid w:val="00B86451"/>
    <w:rsid w:val="00B90642"/>
    <w:rsid w:val="00BA3C58"/>
    <w:rsid w:val="00BB0637"/>
    <w:rsid w:val="00BD4D4E"/>
    <w:rsid w:val="00C114D6"/>
    <w:rsid w:val="00C41DDA"/>
    <w:rsid w:val="00C76C43"/>
    <w:rsid w:val="00CD4313"/>
    <w:rsid w:val="00CF333A"/>
    <w:rsid w:val="00D006AF"/>
    <w:rsid w:val="00D1065E"/>
    <w:rsid w:val="00D2410A"/>
    <w:rsid w:val="00D47405"/>
    <w:rsid w:val="00D637B3"/>
    <w:rsid w:val="00D72366"/>
    <w:rsid w:val="00DA7ECF"/>
    <w:rsid w:val="00DB4EB8"/>
    <w:rsid w:val="00DB506D"/>
    <w:rsid w:val="00DB671D"/>
    <w:rsid w:val="00E15287"/>
    <w:rsid w:val="00E431E5"/>
    <w:rsid w:val="00EA1287"/>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97</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Artūras Navickas</cp:lastModifiedBy>
  <cp:revision>24</cp:revision>
  <cp:lastPrinted>2017-06-22T06:38:00Z</cp:lastPrinted>
  <dcterms:created xsi:type="dcterms:W3CDTF">2023-11-16T12:06:00Z</dcterms:created>
  <dcterms:modified xsi:type="dcterms:W3CDTF">2025-08-28T07:29:00Z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