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5E58E549" w:rsidR="00D53BF4" w:rsidRPr="004505ED" w:rsidRDefault="004505ED" w:rsidP="00020CAE">
          <w:pPr>
            <w:spacing w:after="0" w:line="240" w:lineRule="auto"/>
            <w:ind w:left="5245"/>
            <w:contextualSpacing/>
            <w:rPr>
              <w:sz w:val="22"/>
              <w:szCs w:val="22"/>
            </w:rPr>
          </w:pPr>
          <w:r>
            <w:rPr>
              <w:sz w:val="22"/>
              <w:szCs w:val="22"/>
            </w:rPr>
            <w:t>2025-08-29</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63899309"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1E303B">
            <w:rPr>
              <w:rFonts w:cstheme="minorHAnsi"/>
              <w:b/>
              <w:bCs/>
              <w:sz w:val="22"/>
              <w:szCs w:val="22"/>
            </w:rPr>
            <w:t>ŠP-8</w:t>
          </w:r>
          <w:r w:rsidR="002E2849">
            <w:rPr>
              <w:rFonts w:cstheme="minorHAnsi"/>
              <w:b/>
              <w:bCs/>
              <w:sz w:val="22"/>
              <w:szCs w:val="22"/>
            </w:rPr>
            <w:t>1</w:t>
          </w:r>
          <w:r w:rsidR="001E303B">
            <w:rPr>
              <w:rFonts w:cstheme="minorHAnsi"/>
              <w:b/>
              <w:bCs/>
              <w:sz w:val="22"/>
              <w:szCs w:val="22"/>
            </w:rPr>
            <w:t xml:space="preserve">555 Vaizdo </w:t>
          </w:r>
          <w:proofErr w:type="spellStart"/>
          <w:r w:rsidR="001E303B">
            <w:rPr>
              <w:rFonts w:cstheme="minorHAnsi"/>
              <w:b/>
              <w:bCs/>
              <w:sz w:val="22"/>
              <w:szCs w:val="22"/>
            </w:rPr>
            <w:t>kolonoskopas</w:t>
          </w:r>
          <w:proofErr w:type="spellEnd"/>
          <w:r w:rsidR="001E303B">
            <w:rPr>
              <w:rFonts w:cstheme="minorHAnsi"/>
              <w:b/>
              <w:bCs/>
              <w:sz w:val="22"/>
              <w:szCs w:val="22"/>
            </w:rPr>
            <w:t xml:space="preserve"> ir CO</w:t>
          </w:r>
          <w:r w:rsidR="005975BA">
            <w:rPr>
              <w:rFonts w:cstheme="minorHAnsi"/>
              <w:b/>
              <w:bCs/>
              <w:sz w:val="22"/>
              <w:szCs w:val="22"/>
            </w:rPr>
            <w:t>2 įrenginys</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A86F9F6"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215B4E"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13585D5D"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8D55D8">
        <w:rPr>
          <w:rFonts w:cstheme="minorHAnsi"/>
          <w:iCs/>
          <w:sz w:val="22"/>
          <w:szCs w:val="22"/>
        </w:rPr>
        <w:t>Šeškinės</w:t>
      </w:r>
      <w:r w:rsidR="00D84BF3">
        <w:rPr>
          <w:rFonts w:cstheme="minorHAnsi"/>
          <w:iCs/>
          <w:sz w:val="22"/>
          <w:szCs w:val="22"/>
        </w:rPr>
        <w:t xml:space="preserve"> poliklinika, </w:t>
      </w:r>
      <w:r w:rsidR="006A1E3C" w:rsidRPr="006A1E3C">
        <w:rPr>
          <w:rFonts w:cstheme="minorHAnsi"/>
          <w:iCs/>
          <w:sz w:val="22"/>
          <w:szCs w:val="22"/>
        </w:rPr>
        <w:t xml:space="preserve">kodas </w:t>
      </w:r>
      <w:r w:rsidR="00ED4B28" w:rsidRPr="00FA5891">
        <w:rPr>
          <w:kern w:val="2"/>
          <w:szCs w:val="24"/>
        </w:rPr>
        <w:t>124245660</w:t>
      </w:r>
      <w:r w:rsidR="006A1E3C" w:rsidRPr="006A1E3C">
        <w:rPr>
          <w:rFonts w:cstheme="minorHAnsi"/>
          <w:iCs/>
          <w:sz w:val="22"/>
          <w:szCs w:val="22"/>
        </w:rPr>
        <w:t xml:space="preserve">, </w:t>
      </w:r>
      <w:r w:rsidR="007233F2">
        <w:rPr>
          <w:rFonts w:cstheme="minorHAnsi"/>
          <w:iCs/>
          <w:sz w:val="22"/>
          <w:szCs w:val="22"/>
        </w:rPr>
        <w:t xml:space="preserve">Šeškinės </w:t>
      </w:r>
      <w:r w:rsidR="006A1E3C" w:rsidRPr="006A1E3C">
        <w:rPr>
          <w:rFonts w:cstheme="minorHAnsi"/>
          <w:iCs/>
          <w:sz w:val="22"/>
          <w:szCs w:val="22"/>
        </w:rPr>
        <w:t xml:space="preserve">g. </w:t>
      </w:r>
      <w:r w:rsidR="007233F2">
        <w:rPr>
          <w:rFonts w:cstheme="minorHAnsi"/>
          <w:iCs/>
          <w:sz w:val="22"/>
          <w:szCs w:val="22"/>
        </w:rPr>
        <w:t>24</w:t>
      </w:r>
      <w:r w:rsidR="006A1E3C" w:rsidRPr="006A1E3C">
        <w:rPr>
          <w:rFonts w:cstheme="minorHAnsi"/>
          <w:iCs/>
          <w:sz w:val="22"/>
          <w:szCs w:val="22"/>
        </w:rPr>
        <w:t xml:space="preserve">, </w:t>
      </w:r>
      <w:r w:rsidR="00FE6A35" w:rsidRPr="00C5210F">
        <w:rPr>
          <w:rFonts w:cstheme="minorHAnsi"/>
          <w:iCs/>
          <w:sz w:val="22"/>
          <w:szCs w:val="22"/>
        </w:rPr>
        <w:t xml:space="preserve">LT-07156 </w:t>
      </w:r>
      <w:r w:rsidR="006A1E3C" w:rsidRPr="006A1E3C">
        <w:rPr>
          <w:rFonts w:cstheme="minorHAnsi"/>
          <w:iCs/>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055536"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5366920" w:rsidR="00B41C66" w:rsidRPr="00EE1B93" w:rsidRDefault="00B41C66" w:rsidP="00055536">
      <w:pPr>
        <w:pStyle w:val="Betarp"/>
        <w:numPr>
          <w:ilvl w:val="1"/>
          <w:numId w:val="5"/>
        </w:numPr>
        <w:tabs>
          <w:tab w:val="left" w:pos="952"/>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6158D">
        <w:rPr>
          <w:rFonts w:eastAsia="Calibri" w:cstheme="minorHAnsi"/>
          <w:i/>
          <w:iCs/>
          <w:sz w:val="22"/>
          <w:szCs w:val="22"/>
        </w:rPr>
        <w:t xml:space="preserve">vaizdo </w:t>
      </w:r>
      <w:proofErr w:type="spellStart"/>
      <w:r w:rsidR="0086158D">
        <w:rPr>
          <w:rFonts w:eastAsia="Calibri" w:cstheme="minorHAnsi"/>
          <w:i/>
          <w:iCs/>
          <w:sz w:val="22"/>
          <w:szCs w:val="22"/>
        </w:rPr>
        <w:t>kolonoskopą</w:t>
      </w:r>
      <w:proofErr w:type="spellEnd"/>
      <w:r w:rsidR="0086158D">
        <w:rPr>
          <w:rFonts w:eastAsia="Calibri" w:cstheme="minorHAnsi"/>
          <w:i/>
          <w:iCs/>
          <w:sz w:val="22"/>
          <w:szCs w:val="22"/>
        </w:rPr>
        <w:t xml:space="preserve"> </w:t>
      </w:r>
      <w:r w:rsidR="004E277A">
        <w:rPr>
          <w:rFonts w:eastAsia="Calibri" w:cstheme="minorHAnsi"/>
          <w:i/>
          <w:iCs/>
          <w:sz w:val="22"/>
          <w:szCs w:val="22"/>
        </w:rPr>
        <w:t>(2 vnt.) ir CO2 įrenginį (1 vnt.)</w:t>
      </w:r>
      <w:r w:rsidR="0061391F" w:rsidRPr="0061391F">
        <w:rPr>
          <w:rFonts w:eastAsia="Calibri" w:cstheme="minorHAnsi"/>
          <w:sz w:val="22"/>
          <w:szCs w:val="22"/>
        </w:rPr>
        <w:t xml:space="preserve"> </w:t>
      </w:r>
      <w:r w:rsidR="00066F91" w:rsidRPr="00EE1B93">
        <w:rPr>
          <w:rFonts w:eastAsia="Times New Roman" w:cstheme="minorHAnsi"/>
          <w:sz w:val="22"/>
          <w:szCs w:val="22"/>
          <w:lang w:eastAsia="en-US"/>
        </w:rPr>
        <w:t xml:space="preserve">(toliau – </w:t>
      </w:r>
      <w:r w:rsidR="00066F91" w:rsidRPr="00AF5F9C">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4641F32A" w14:textId="4204B376" w:rsidR="00EA7DDC" w:rsidRPr="00C974E8" w:rsidRDefault="00507DC9" w:rsidP="00020CAE">
      <w:pPr>
        <w:pStyle w:val="Betarp"/>
        <w:ind w:firstLine="567"/>
        <w:contextualSpacing/>
        <w:jc w:val="both"/>
        <w:rPr>
          <w:rFonts w:cstheme="minorHAnsi"/>
          <w:sz w:val="22"/>
          <w:szCs w:val="22"/>
        </w:rPr>
      </w:pPr>
      <w:r w:rsidRPr="00682B25">
        <w:rPr>
          <w:rFonts w:cstheme="minorHAnsi"/>
          <w:sz w:val="22"/>
          <w:szCs w:val="22"/>
        </w:rPr>
        <w:t>2.2</w:t>
      </w:r>
      <w:r w:rsidR="00AF5F9C">
        <w:rPr>
          <w:rFonts w:cstheme="minorHAnsi"/>
          <w:sz w:val="22"/>
          <w:szCs w:val="22"/>
        </w:rPr>
        <w:t xml:space="preserve"> </w:t>
      </w:r>
      <w:r w:rsidR="00E23257" w:rsidRPr="00682B25">
        <w:rPr>
          <w:rFonts w:cstheme="minorHAnsi"/>
          <w:sz w:val="22"/>
          <w:szCs w:val="22"/>
        </w:rPr>
        <w:t xml:space="preserve">Pirkimo objektas į dalis neskaidomas. Pirkimo apimtys, reikalavimai ir techninė specifikacija apibrėžti specialiųjų pirkimo sąlygų </w:t>
      </w:r>
      <w:r w:rsidR="00E23257" w:rsidRPr="00C974E8">
        <w:rPr>
          <w:rFonts w:cstheme="minorHAnsi"/>
          <w:sz w:val="22"/>
          <w:szCs w:val="22"/>
        </w:rPr>
        <w:t>2 priede „Techninė specifikacija</w:t>
      </w:r>
      <w:r w:rsidR="00085B55">
        <w:rPr>
          <w:rFonts w:cstheme="minorHAnsi"/>
          <w:sz w:val="22"/>
          <w:szCs w:val="22"/>
        </w:rPr>
        <w:t>“</w:t>
      </w:r>
      <w:r w:rsidR="00440462" w:rsidRPr="00C974E8">
        <w:rPr>
          <w:rFonts w:eastAsia="Times New Roman" w:cstheme="minorHAnsi"/>
          <w:iCs/>
          <w:sz w:val="22"/>
          <w:szCs w:val="22"/>
          <w:lang w:eastAsia="en-US"/>
        </w:rPr>
        <w:t>.</w:t>
      </w:r>
    </w:p>
    <w:p w14:paraId="10F240AF" w14:textId="1C09AD6A" w:rsidR="0069195A" w:rsidRPr="00440462" w:rsidRDefault="00440462" w:rsidP="00055536">
      <w:pPr>
        <w:pStyle w:val="Betarp"/>
        <w:numPr>
          <w:ilvl w:val="1"/>
          <w:numId w:val="13"/>
        </w:numPr>
        <w:tabs>
          <w:tab w:val="left" w:pos="993"/>
        </w:tabs>
        <w:ind w:left="0" w:firstLine="567"/>
        <w:contextualSpacing/>
        <w:jc w:val="both"/>
        <w:rPr>
          <w:sz w:val="22"/>
          <w:szCs w:val="22"/>
        </w:rPr>
      </w:pPr>
      <w:r w:rsidRPr="00440462">
        <w:rPr>
          <w:rFonts w:eastAsia="Calibri" w:cstheme="minorHAnsi"/>
          <w:iCs/>
          <w:sz w:val="22"/>
          <w:szCs w:val="22"/>
        </w:rPr>
        <w:t>Tai yra supaprastintos vertės pirkimas, todėl jam netaikomi sprendimo dėl tarptautinės vertės pirkimo objekto neskaidymo į dalis pagrindimo reikalavimai</w:t>
      </w:r>
      <w:r w:rsidR="00E410D3" w:rsidRPr="00440462">
        <w:rPr>
          <w:sz w:val="22"/>
          <w:szCs w:val="22"/>
        </w:rPr>
        <w:t xml:space="preserve">. </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682B25">
        <w:rPr>
          <w:rFonts w:cstheme="minorHAnsi"/>
          <w:color w:val="000000"/>
          <w:sz w:val="22"/>
          <w:szCs w:val="22"/>
        </w:rPr>
        <w:lastRenderedPageBreak/>
        <w:t>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7D3AD558" w14:textId="6C740550" w:rsidR="008F3AB8" w:rsidRPr="005E79A4"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BC3F2A">
        <w:rPr>
          <w:rFonts w:cstheme="minorHAnsi"/>
          <w:bCs/>
          <w:sz w:val="22"/>
          <w:szCs w:val="22"/>
        </w:rPr>
        <w:t>.</w:t>
      </w:r>
      <w:r w:rsidR="005E79A4" w:rsidRPr="005E79A4">
        <w:rPr>
          <w:rFonts w:cstheme="minorHAnsi"/>
          <w:b/>
          <w:bCs/>
          <w:sz w:val="22"/>
          <w:szCs w:val="22"/>
        </w:rPr>
        <w:t xml:space="preserve"> </w:t>
      </w:r>
      <w:r w:rsidR="00BC3F2A" w:rsidRPr="00BC3F2A">
        <w:rPr>
          <w:rFonts w:cstheme="minorHAnsi"/>
          <w:bCs/>
          <w:iCs/>
          <w:sz w:val="22"/>
          <w:szCs w:val="22"/>
        </w:rPr>
        <w:t>P</w:t>
      </w:r>
      <w:r w:rsidR="005E79A4" w:rsidRPr="00BC3F2A">
        <w:rPr>
          <w:rFonts w:cstheme="minorHAnsi"/>
          <w:iCs/>
          <w:sz w:val="22"/>
          <w:szCs w:val="22"/>
        </w:rPr>
        <w:t>ateikiam</w:t>
      </w:r>
      <w:r w:rsidR="00BC3F2A" w:rsidRPr="00BC3F2A">
        <w:rPr>
          <w:rFonts w:cstheme="minorHAnsi"/>
          <w:iCs/>
          <w:sz w:val="22"/>
          <w:szCs w:val="22"/>
        </w:rPr>
        <w:t>o</w:t>
      </w:r>
      <w:r w:rsidR="005E79A4" w:rsidRPr="00BC3F2A">
        <w:rPr>
          <w:rFonts w:cstheme="minorHAnsi"/>
          <w:iCs/>
          <w:sz w:val="22"/>
          <w:szCs w:val="22"/>
        </w:rPr>
        <w:t>s skaitmeninė</w:t>
      </w:r>
      <w:r w:rsidR="00BC3F2A" w:rsidRPr="00BC3F2A">
        <w:rPr>
          <w:rFonts w:cstheme="minorHAnsi"/>
          <w:iCs/>
          <w:sz w:val="22"/>
          <w:szCs w:val="22"/>
        </w:rPr>
        <w:t>s</w:t>
      </w:r>
      <w:r w:rsidR="005E79A4" w:rsidRPr="00BC3F2A">
        <w:rPr>
          <w:rFonts w:cstheme="minorHAnsi"/>
          <w:iCs/>
          <w:sz w:val="22"/>
          <w:szCs w:val="22"/>
        </w:rPr>
        <w:t xml:space="preserve"> dokument</w:t>
      </w:r>
      <w:r w:rsidR="00BC3F2A" w:rsidRPr="00BC3F2A">
        <w:rPr>
          <w:rFonts w:cstheme="minorHAnsi"/>
          <w:iCs/>
          <w:sz w:val="22"/>
          <w:szCs w:val="22"/>
        </w:rPr>
        <w:t>ų</w:t>
      </w:r>
      <w:r w:rsidR="005E79A4" w:rsidRPr="00BC3F2A">
        <w:rPr>
          <w:rFonts w:cstheme="minorHAnsi"/>
          <w:iCs/>
          <w:sz w:val="22"/>
          <w:szCs w:val="22"/>
        </w:rPr>
        <w:t xml:space="preserve"> kopij</w:t>
      </w:r>
      <w:r w:rsidR="00BC3F2A" w:rsidRPr="00BC3F2A">
        <w:rPr>
          <w:rFonts w:cstheme="minorHAnsi"/>
          <w:iCs/>
          <w:sz w:val="22"/>
          <w:szCs w:val="22"/>
        </w:rPr>
        <w:t>os</w:t>
      </w:r>
      <w:r w:rsidR="00CF7921" w:rsidRPr="00BC3F2A">
        <w:rPr>
          <w:rFonts w:cstheme="minorHAnsi"/>
          <w:iCs/>
          <w:sz w:val="22"/>
          <w:szCs w:val="22"/>
        </w:rPr>
        <w:t>.</w:t>
      </w:r>
      <w:r w:rsidR="00CF7921">
        <w:rPr>
          <w:rFonts w:cstheme="minorHAnsi"/>
          <w:sz w:val="22"/>
          <w:szCs w:val="22"/>
        </w:rPr>
        <w:t xml:space="preserve"> </w:t>
      </w:r>
    </w:p>
    <w:p w14:paraId="39D4C3CB" w14:textId="79158167" w:rsidR="00592AF6" w:rsidRPr="000B2492"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3E95AC34"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Pr>
          <w:rFonts w:cstheme="minorHAnsi"/>
          <w:sz w:val="22"/>
          <w:szCs w:val="22"/>
        </w:rPr>
        <w:t>100</w:t>
      </w:r>
      <w:r w:rsidR="00731CF6">
        <w:rPr>
          <w:rFonts w:cstheme="minorHAnsi"/>
          <w:sz w:val="22"/>
          <w:szCs w:val="22"/>
        </w:rPr>
        <w:t>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593874BD"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77777777"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tokio 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305101FA" w:rsidR="004E71CB" w:rsidRPr="007C48E4" w:rsidRDefault="004E71CB" w:rsidP="00055536">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w:t>
      </w:r>
      <w:r w:rsidR="00003A3F" w:rsidRPr="007C48E4">
        <w:rPr>
          <w:rFonts w:eastAsia="Calibri" w:cstheme="minorHAnsi"/>
          <w:sz w:val="22"/>
          <w:szCs w:val="22"/>
        </w:rPr>
        <w:t>kain</w:t>
      </w:r>
      <w:r w:rsidRPr="007C48E4">
        <w:rPr>
          <w:rFonts w:eastAsia="Calibri" w:cstheme="minorHAnsi"/>
          <w:sz w:val="22"/>
          <w:szCs w:val="22"/>
        </w:rPr>
        <w:t>ą</w:t>
      </w:r>
      <w:r w:rsidR="00003A3F" w:rsidRPr="007C48E4">
        <w:rPr>
          <w:rFonts w:eastAsia="Calibri" w:cstheme="minorHAnsi"/>
          <w:sz w:val="22"/>
          <w:szCs w:val="22"/>
        </w:rPr>
        <w:t xml:space="preserve">, kuri turi būti apskaičiuota ir nurodyta taip, kaip reikalaujama </w:t>
      </w:r>
      <w:bookmarkStart w:id="52" w:name="_Hlk91157291"/>
      <w:r w:rsidR="00CE14DF" w:rsidRPr="007C48E4">
        <w:rPr>
          <w:rFonts w:eastAsia="Calibri" w:cstheme="minorHAnsi"/>
          <w:sz w:val="22"/>
          <w:szCs w:val="22"/>
        </w:rPr>
        <w:t xml:space="preserve">specialiųjų </w:t>
      </w:r>
      <w:r w:rsidR="00090235" w:rsidRPr="007C48E4">
        <w:rPr>
          <w:rFonts w:eastAsia="Calibri" w:cstheme="minorHAnsi"/>
          <w:sz w:val="22"/>
          <w:szCs w:val="22"/>
        </w:rPr>
        <w:t>p</w:t>
      </w:r>
      <w:r w:rsidR="00551FA7" w:rsidRPr="007C48E4">
        <w:rPr>
          <w:rFonts w:eastAsia="Calibri" w:cstheme="minorHAnsi"/>
          <w:sz w:val="22"/>
          <w:szCs w:val="22"/>
        </w:rPr>
        <w:t xml:space="preserve">irkimo </w:t>
      </w:r>
      <w:r w:rsidR="00A176D5" w:rsidRPr="007C48E4">
        <w:rPr>
          <w:rFonts w:eastAsia="Calibri" w:cstheme="minorHAnsi"/>
          <w:sz w:val="22"/>
          <w:szCs w:val="22"/>
        </w:rPr>
        <w:t xml:space="preserve">sąlygų </w:t>
      </w:r>
      <w:r w:rsidR="00BD7BAD" w:rsidRPr="007C48E4">
        <w:rPr>
          <w:rFonts w:cstheme="minorHAnsi"/>
          <w:sz w:val="22"/>
          <w:szCs w:val="22"/>
          <w:shd w:val="clear" w:color="auto" w:fill="FFFFFF"/>
        </w:rPr>
        <w:t>3</w:t>
      </w:r>
      <w:r w:rsidR="00EA5A6C" w:rsidRPr="007C48E4">
        <w:rPr>
          <w:rFonts w:cstheme="minorHAnsi"/>
          <w:sz w:val="22"/>
          <w:szCs w:val="22"/>
          <w:shd w:val="clear" w:color="auto" w:fill="FFFFFF"/>
        </w:rPr>
        <w:t xml:space="preserve"> priede „Pasiūlymo forma“</w:t>
      </w:r>
      <w:bookmarkEnd w:id="52"/>
      <w:r w:rsidR="00090235" w:rsidRPr="007C48E4">
        <w:rPr>
          <w:rFonts w:eastAsia="Calibri" w:cstheme="minorHAnsi"/>
          <w:sz w:val="22"/>
          <w:szCs w:val="22"/>
        </w:rPr>
        <w:t xml:space="preserve">. </w:t>
      </w:r>
    </w:p>
    <w:p w14:paraId="436B1BAC" w14:textId="77777777" w:rsidR="0043634D" w:rsidRPr="000F638E" w:rsidRDefault="0043634D" w:rsidP="0043634D">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lastRenderedPageBreak/>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shd w:val="clear" w:color="auto" w:fill="auto"/>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shd w:val="clear" w:color="auto" w:fill="auto"/>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shd w:val="clear" w:color="auto" w:fill="auto"/>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shd w:val="clear" w:color="auto" w:fill="auto"/>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shd w:val="clear" w:color="auto" w:fill="auto"/>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shd w:val="clear" w:color="auto" w:fill="auto"/>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shd w:val="clear" w:color="auto" w:fill="auto"/>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shd w:val="clear" w:color="auto" w:fill="auto"/>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shd w:val="clear" w:color="auto" w:fill="auto"/>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shd w:val="clear" w:color="auto" w:fill="auto"/>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shd w:val="clear" w:color="auto" w:fill="auto"/>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shd w:val="clear" w:color="auto" w:fill="auto"/>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shd w:val="clear" w:color="auto" w:fill="auto"/>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shd w:val="clear" w:color="auto" w:fill="auto"/>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shd w:val="clear" w:color="auto" w:fill="auto"/>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020CAE">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020CAE">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585E31BC" w:rsidR="00D33821" w:rsidRPr="00C1701E" w:rsidRDefault="00D33821" w:rsidP="00020CAE">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sidRPr="00C1701E">
        <w:rPr>
          <w:rFonts w:eastAsia="Calibri" w:cstheme="minorHAnsi"/>
          <w:sz w:val="22"/>
          <w:szCs w:val="22"/>
        </w:rPr>
        <w:lastRenderedPageBreak/>
        <w:t>Pirkimo sąlygų 4 priedas „Pasiūlymų vertinimo kriterijai ir sąlygos“</w:t>
      </w:r>
      <w:bookmarkEnd w:id="69"/>
      <w:bookmarkEnd w:id="70"/>
      <w:bookmarkEnd w:id="71"/>
      <w:bookmarkEnd w:id="72"/>
    </w:p>
    <w:p w14:paraId="3F0A2DFE" w14:textId="77777777" w:rsidR="00D33821" w:rsidRPr="00682B25" w:rsidRDefault="00D33821" w:rsidP="00020CAE">
      <w:pPr>
        <w:spacing w:after="0" w:line="240" w:lineRule="auto"/>
        <w:jc w:val="center"/>
        <w:rPr>
          <w:rFonts w:cstheme="minorHAnsi"/>
          <w:b/>
          <w:sz w:val="22"/>
          <w:szCs w:val="22"/>
        </w:rPr>
      </w:pPr>
    </w:p>
    <w:p w14:paraId="049349DC" w14:textId="77777777" w:rsidR="00D33821" w:rsidRPr="00682B25" w:rsidRDefault="00D33821" w:rsidP="00020CAE">
      <w:pPr>
        <w:pStyle w:val="Paantrat"/>
        <w:spacing w:after="0" w:line="240" w:lineRule="auto"/>
        <w:jc w:val="center"/>
        <w:rPr>
          <w:rFonts w:cstheme="minorHAnsi"/>
          <w:bCs/>
          <w:smallCaps/>
          <w:sz w:val="22"/>
          <w:szCs w:val="22"/>
        </w:rPr>
      </w:pPr>
      <w:r w:rsidRPr="00682B25">
        <w:rPr>
          <w:rFonts w:cstheme="minorHAnsi"/>
          <w:sz w:val="22"/>
          <w:szCs w:val="22"/>
        </w:rPr>
        <w:t>PASIŪLYMŲ VERTINIMO KRITERIJAI ir Sąlygos</w:t>
      </w:r>
    </w:p>
    <w:p w14:paraId="2E9C8C0F" w14:textId="77777777" w:rsidR="004E7B5D" w:rsidRDefault="00D33821" w:rsidP="004E7B5D">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sidR="00C1701E">
        <w:rPr>
          <w:rFonts w:cstheme="minorHAnsi"/>
          <w:b/>
          <w:bCs/>
          <w:szCs w:val="21"/>
        </w:rPr>
        <w:t xml:space="preserve"> kaina.</w:t>
      </w:r>
    </w:p>
    <w:p w14:paraId="4DF1A528" w14:textId="77777777" w:rsidR="004E7B5D" w:rsidRDefault="004E7B5D" w:rsidP="004E7B5D">
      <w:pPr>
        <w:pStyle w:val="Pagrindinistekstas"/>
        <w:spacing w:after="0" w:line="240" w:lineRule="auto"/>
        <w:ind w:left="567" w:firstLine="0"/>
        <w:jc w:val="center"/>
        <w:rPr>
          <w:rFonts w:cstheme="minorHAnsi"/>
          <w:b/>
          <w:bCs/>
          <w:szCs w:val="21"/>
        </w:rPr>
      </w:pPr>
    </w:p>
    <w:p w14:paraId="6237FB9E" w14:textId="20547858" w:rsidR="00C1701E" w:rsidRPr="004E7B5D" w:rsidRDefault="00D33821" w:rsidP="004E7B5D">
      <w:pPr>
        <w:pStyle w:val="Pagrindinistekstas"/>
        <w:spacing w:after="0" w:line="240" w:lineRule="auto"/>
        <w:ind w:left="567" w:firstLine="0"/>
        <w:jc w:val="center"/>
        <w:rPr>
          <w:rFonts w:cstheme="minorHAnsi"/>
          <w:b/>
          <w:bCs/>
          <w:szCs w:val="21"/>
        </w:rPr>
      </w:pPr>
      <w:r w:rsidRPr="004E7B5D">
        <w:rPr>
          <w:rFonts w:cstheme="minorHAnsi"/>
          <w:sz w:val="22"/>
          <w:szCs w:val="22"/>
        </w:rPr>
        <w:t>________</w:t>
      </w:r>
      <w:bookmarkStart w:id="76" w:name="_Ref38291223"/>
      <w:bookmarkStart w:id="77" w:name="_Ref38291334"/>
      <w:bookmarkStart w:id="78" w:name="_Ref38533412"/>
      <w:bookmarkStart w:id="79" w:name="_Toc190416446"/>
      <w:bookmarkEnd w:id="73"/>
      <w:bookmarkEnd w:id="74"/>
      <w:bookmarkEnd w:id="75"/>
      <w:r w:rsidR="00C1701E" w:rsidRPr="004E7B5D">
        <w:rPr>
          <w:rFonts w:cstheme="minorHAnsi"/>
          <w:b/>
          <w:bCs/>
          <w:smallCaps/>
          <w:sz w:val="22"/>
          <w:szCs w:val="22"/>
        </w:rPr>
        <w:br w:type="page"/>
      </w:r>
    </w:p>
    <w:p w14:paraId="05B6E8A9" w14:textId="77777777"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r w:rsidRPr="005B2C3E">
        <w:rPr>
          <w:rFonts w:ascii="Calibri" w:eastAsia="Times New Roman" w:hAnsi="Calibri" w:cs="Calibri"/>
          <w:sz w:val="22"/>
          <w:szCs w:val="22"/>
        </w:rPr>
        <w:lastRenderedPageBreak/>
        <w:t>Pirkimo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3A4DD81E" w14:textId="77777777" w:rsidR="005B2C3E" w:rsidRPr="005B2C3E" w:rsidRDefault="005B2C3E" w:rsidP="005B2C3E">
      <w:pPr>
        <w:spacing w:after="0" w:line="240" w:lineRule="auto"/>
        <w:jc w:val="center"/>
        <w:textAlignment w:val="baseline"/>
        <w:rPr>
          <w:rFonts w:ascii="Segoe UI" w:eastAsia="Times New Roman" w:hAnsi="Segoe UI" w:cs="Segoe UI"/>
          <w:caps/>
          <w:color w:val="404040"/>
          <w:sz w:val="18"/>
          <w:szCs w:val="18"/>
        </w:rPr>
      </w:pPr>
      <w:r w:rsidRPr="005B2C3E">
        <w:rPr>
          <w:rFonts w:ascii="Calibri" w:eastAsia="Times New Roman" w:hAnsi="Calibri" w:cs="Calibri"/>
          <w:caps/>
          <w:color w:val="404040"/>
          <w:sz w:val="22"/>
          <w:szCs w:val="22"/>
        </w:rPr>
        <w:t>TIEKĖJŲ PAŠALINIMO PAGRINDAI </w:t>
      </w: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lastRenderedPageBreak/>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w:t>
            </w:r>
            <w:r w:rsidRPr="00883BD6">
              <w:rPr>
                <w:rFonts w:asciiTheme="minorHAnsi" w:eastAsia="Yu Mincho" w:cstheme="minorHAnsi"/>
                <w:i/>
                <w:iCs/>
                <w:color w:val="000000" w:themeColor="text1"/>
                <w:sz w:val="22"/>
                <w:szCs w:val="22"/>
              </w:rPr>
              <w:lastRenderedPageBreak/>
              <w:t>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2"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46F8" w14:textId="77777777" w:rsidR="00610222" w:rsidRDefault="00610222" w:rsidP="00D05666">
      <w:r>
        <w:separator/>
      </w:r>
    </w:p>
  </w:endnote>
  <w:endnote w:type="continuationSeparator" w:id="0">
    <w:p w14:paraId="15F2E11B" w14:textId="77777777" w:rsidR="00610222" w:rsidRDefault="00610222" w:rsidP="00D05666">
      <w:r>
        <w:continuationSeparator/>
      </w:r>
    </w:p>
  </w:endnote>
  <w:endnote w:type="continuationNotice" w:id="1">
    <w:p w14:paraId="56067D52" w14:textId="77777777" w:rsidR="00610222" w:rsidRDefault="00610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EADA" w14:textId="77777777" w:rsidR="00610222" w:rsidRDefault="00610222" w:rsidP="00D05666">
      <w:r>
        <w:separator/>
      </w:r>
    </w:p>
  </w:footnote>
  <w:footnote w:type="continuationSeparator" w:id="0">
    <w:p w14:paraId="766C8D14" w14:textId="77777777" w:rsidR="00610222" w:rsidRDefault="00610222" w:rsidP="00D05666">
      <w:r>
        <w:continuationSeparator/>
      </w:r>
    </w:p>
  </w:footnote>
  <w:footnote w:type="continuationNotice" w:id="1">
    <w:p w14:paraId="20040D80" w14:textId="77777777" w:rsidR="00610222" w:rsidRDefault="00610222">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w:t>
      </w:r>
      <w:r w:rsidRPr="00883BD6">
        <w:rPr>
          <w:rFonts w:eastAsia="Yu Mincho" w:cstheme="minorHAnsi"/>
          <w:iCs/>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w:t>
      </w:r>
      <w:r w:rsidRPr="00883BD6">
        <w:rPr>
          <w:rFonts w:eastAsia="Yu Mincho"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4EAF285B"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215B4E"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5E4315FB"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8"/>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 w:numId="19" w16cid:durableId="4120437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D3C"/>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7A"/>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F9B"/>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3F6D"/>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57"/>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1EB5372-9540-46E8-BB14-49A51DE6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18</Pages>
  <Words>25099</Words>
  <Characters>14307</Characters>
  <Application>Microsoft Office Word</Application>
  <DocSecurity>0</DocSecurity>
  <Lines>119</Lines>
  <Paragraphs>78</Paragraphs>
  <ScaleCrop>false</ScaleCrop>
  <Company/>
  <LinksUpToDate>false</LinksUpToDate>
  <CharactersWithSpaces>39328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1651</cp:revision>
  <cp:lastPrinted>2025-03-01T05:45:00Z</cp:lastPrinted>
  <dcterms:created xsi:type="dcterms:W3CDTF">2024-11-29T23:07:00Z</dcterms:created>
  <dcterms:modified xsi:type="dcterms:W3CDTF">2025-09-09T07:48:00Z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