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E01549">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E01549">
      <w:pPr>
        <w:spacing w:after="0" w:line="240" w:lineRule="auto"/>
        <w:ind w:left="6490" w:firstLine="1286"/>
        <w:jc w:val="both"/>
        <w:rPr>
          <w:b/>
          <w:bCs/>
          <w:sz w:val="24"/>
          <w:szCs w:val="24"/>
        </w:rPr>
      </w:pPr>
      <w:r>
        <w:rPr>
          <w:b/>
          <w:bCs/>
          <w:sz w:val="24"/>
          <w:szCs w:val="24"/>
        </w:rPr>
        <w:t>2 priedas</w:t>
      </w:r>
    </w:p>
    <w:p w14:paraId="494A2A24" w14:textId="77777777" w:rsidR="00D6176B" w:rsidRDefault="00D6176B" w:rsidP="00D6176B">
      <w:pPr>
        <w:suppressAutoHyphens/>
        <w:spacing w:after="0" w:line="240" w:lineRule="auto"/>
        <w:ind w:left="0" w:firstLine="0"/>
        <w:jc w:val="center"/>
        <w:rPr>
          <w:b/>
          <w:color w:val="auto"/>
          <w:sz w:val="24"/>
          <w:szCs w:val="24"/>
          <w:lang w:eastAsia="en-US"/>
        </w:rPr>
      </w:pPr>
    </w:p>
    <w:p w14:paraId="4B3B46C5" w14:textId="77777777" w:rsidR="00D6176B" w:rsidRDefault="00D6176B" w:rsidP="00D6176B">
      <w:pPr>
        <w:suppressAutoHyphens/>
        <w:spacing w:after="0" w:line="240" w:lineRule="auto"/>
        <w:ind w:left="0" w:firstLine="0"/>
        <w:jc w:val="center"/>
        <w:rPr>
          <w:b/>
          <w:color w:val="auto"/>
          <w:sz w:val="24"/>
          <w:szCs w:val="24"/>
          <w:lang w:eastAsia="en-US"/>
        </w:rPr>
      </w:pPr>
    </w:p>
    <w:p w14:paraId="4A7BA818" w14:textId="77777777" w:rsidR="00A35968" w:rsidRDefault="00D6176B" w:rsidP="00D6176B">
      <w:pPr>
        <w:suppressAutoHyphens/>
        <w:spacing w:after="0" w:line="240" w:lineRule="auto"/>
        <w:ind w:left="0" w:firstLine="0"/>
        <w:jc w:val="center"/>
        <w:rPr>
          <w:b/>
          <w:color w:val="auto"/>
          <w:sz w:val="24"/>
          <w:szCs w:val="24"/>
          <w:lang w:eastAsia="en-US"/>
        </w:rPr>
      </w:pPr>
      <w:r w:rsidRPr="00D6176B">
        <w:rPr>
          <w:b/>
          <w:color w:val="auto"/>
          <w:sz w:val="24"/>
          <w:szCs w:val="24"/>
          <w:lang w:eastAsia="en-US"/>
        </w:rPr>
        <w:t xml:space="preserve">VIRTUALIZAVIMO PROGRAMINĖS ĮRANGOS </w:t>
      </w:r>
    </w:p>
    <w:p w14:paraId="67D9404C" w14:textId="5C051822" w:rsidR="00D6176B" w:rsidRPr="00D6176B" w:rsidRDefault="00D6176B" w:rsidP="00D6176B">
      <w:pPr>
        <w:suppressAutoHyphens/>
        <w:spacing w:after="0" w:line="240" w:lineRule="auto"/>
        <w:ind w:left="0" w:firstLine="0"/>
        <w:jc w:val="center"/>
        <w:rPr>
          <w:b/>
          <w:bCs/>
          <w:color w:val="auto"/>
          <w:sz w:val="24"/>
          <w:szCs w:val="24"/>
          <w:lang w:eastAsia="en-US"/>
        </w:rPr>
      </w:pPr>
      <w:bookmarkStart w:id="1" w:name="_GoBack"/>
      <w:bookmarkEnd w:id="1"/>
      <w:r w:rsidRPr="00D6176B">
        <w:rPr>
          <w:b/>
          <w:color w:val="auto"/>
          <w:sz w:val="24"/>
          <w:szCs w:val="24"/>
          <w:lang w:eastAsia="en-US"/>
        </w:rPr>
        <w:t>TECHNINĖ SPECIFIKACIJA</w:t>
      </w:r>
    </w:p>
    <w:p w14:paraId="14849248" w14:textId="77777777" w:rsidR="00D6176B" w:rsidRPr="00D6176B" w:rsidRDefault="00D6176B" w:rsidP="00D6176B">
      <w:pPr>
        <w:suppressAutoHyphens/>
        <w:spacing w:after="0" w:line="240" w:lineRule="auto"/>
        <w:ind w:left="0" w:firstLine="0"/>
        <w:jc w:val="center"/>
        <w:rPr>
          <w:b/>
          <w:bCs/>
          <w:color w:val="auto"/>
          <w:sz w:val="24"/>
          <w:szCs w:val="24"/>
          <w:lang w:eastAsia="en-US"/>
        </w:rPr>
      </w:pPr>
    </w:p>
    <w:p w14:paraId="3CEC927F" w14:textId="77777777" w:rsidR="00D6176B" w:rsidRPr="00D6176B" w:rsidRDefault="00D6176B" w:rsidP="00D6176B">
      <w:pPr>
        <w:suppressAutoHyphens/>
        <w:spacing w:after="0" w:line="240" w:lineRule="auto"/>
        <w:ind w:left="0" w:firstLine="0"/>
        <w:jc w:val="center"/>
        <w:rPr>
          <w:b/>
          <w:bCs/>
          <w:color w:val="auto"/>
          <w:sz w:val="24"/>
          <w:szCs w:val="24"/>
          <w:lang w:eastAsia="en-US"/>
        </w:rPr>
      </w:pPr>
    </w:p>
    <w:p w14:paraId="5ABCF0C5" w14:textId="77777777" w:rsidR="00D6176B" w:rsidRPr="00D6176B" w:rsidRDefault="00D6176B" w:rsidP="00D6176B">
      <w:pPr>
        <w:suppressAutoHyphens/>
        <w:spacing w:after="0" w:line="240" w:lineRule="auto"/>
        <w:ind w:left="0" w:firstLine="0"/>
        <w:jc w:val="center"/>
        <w:rPr>
          <w:b/>
          <w:bCs/>
          <w:color w:val="auto"/>
          <w:sz w:val="24"/>
          <w:szCs w:val="24"/>
          <w:lang w:eastAsia="en-US"/>
        </w:rPr>
      </w:pPr>
      <w:r w:rsidRPr="00D6176B">
        <w:rPr>
          <w:b/>
          <w:bCs/>
          <w:color w:val="auto"/>
          <w:sz w:val="24"/>
          <w:szCs w:val="24"/>
          <w:lang w:eastAsia="en-US"/>
        </w:rPr>
        <w:t>I SKYRIUS</w:t>
      </w:r>
    </w:p>
    <w:p w14:paraId="1D6D9F38" w14:textId="77777777" w:rsidR="00D6176B" w:rsidRPr="00D6176B" w:rsidRDefault="00D6176B" w:rsidP="00D6176B">
      <w:pPr>
        <w:suppressAutoHyphens/>
        <w:spacing w:after="0" w:line="240" w:lineRule="auto"/>
        <w:ind w:left="0" w:firstLine="0"/>
        <w:jc w:val="center"/>
        <w:rPr>
          <w:b/>
          <w:bCs/>
          <w:color w:val="auto"/>
          <w:sz w:val="24"/>
          <w:szCs w:val="24"/>
          <w:lang w:eastAsia="en-US"/>
        </w:rPr>
      </w:pPr>
      <w:r w:rsidRPr="00D6176B">
        <w:rPr>
          <w:b/>
          <w:bCs/>
          <w:color w:val="auto"/>
          <w:sz w:val="24"/>
          <w:szCs w:val="24"/>
          <w:lang w:eastAsia="en-US"/>
        </w:rPr>
        <w:t>BENDRIEJI REIKALAVIMAI</w:t>
      </w:r>
    </w:p>
    <w:p w14:paraId="1181DF2B" w14:textId="77777777" w:rsidR="00D6176B" w:rsidRPr="00D6176B" w:rsidRDefault="00D6176B" w:rsidP="00D6176B">
      <w:pPr>
        <w:suppressAutoHyphens/>
        <w:spacing w:after="0" w:line="240" w:lineRule="auto"/>
        <w:ind w:left="0" w:firstLine="0"/>
        <w:jc w:val="center"/>
        <w:rPr>
          <w:b/>
          <w:bCs/>
          <w:color w:val="auto"/>
          <w:sz w:val="24"/>
          <w:szCs w:val="24"/>
          <w:lang w:eastAsia="en-US"/>
        </w:rPr>
      </w:pPr>
    </w:p>
    <w:p w14:paraId="3E5B3476"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 xml:space="preserve"> Visos pateikiamos programinės įrangos licencijos privalo būti naujos, tiekėjas turi užtikrinti, kad gamintojas nėra paskelbęs žinios apie siūlomos įrangos gamybos arba tobulinimo nutraukimą (angl. </w:t>
      </w:r>
      <w:r w:rsidRPr="00D6176B">
        <w:rPr>
          <w:rFonts w:eastAsia="Calibri"/>
          <w:i/>
          <w:iCs/>
          <w:color w:val="auto"/>
          <w:sz w:val="24"/>
          <w:szCs w:val="24"/>
          <w:lang w:eastAsia="en-US"/>
        </w:rPr>
        <w:t>end of life time ar discontinued</w:t>
      </w:r>
      <w:r w:rsidRPr="00D6176B">
        <w:rPr>
          <w:rFonts w:eastAsia="Calibri"/>
          <w:color w:val="auto"/>
          <w:sz w:val="24"/>
          <w:szCs w:val="24"/>
          <w:lang w:eastAsia="en-US"/>
        </w:rPr>
        <w:t xml:space="preserve">).  </w:t>
      </w:r>
    </w:p>
    <w:p w14:paraId="4BF8636A"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bCs/>
          <w:color w:val="auto"/>
          <w:sz w:val="24"/>
          <w:szCs w:val="24"/>
          <w:lang w:eastAsia="en-US"/>
        </w:rPr>
        <w:t xml:space="preserve"> Programinė įranga turi būti pateikta oficialiu gamintojo patvirtintu keliu.</w:t>
      </w:r>
    </w:p>
    <w:p w14:paraId="130ABD77"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 xml:space="preserve"> Tiekėjas turi pateikti nuorodą į gamintojo puslapį, kuriame yra tiksli pasiūlymą atitinkančios programinės įrangos techninė specifikacija.</w:t>
      </w:r>
    </w:p>
    <w:p w14:paraId="1E133D8C"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 xml:space="preserve"> Tiekėjas į savo pasiūlymą turi įtraukti visą programinę įrangą, medžiagas ir diegimo bei suderinimo paslaugas, reikalingas įvykdyti šioje specifikacijoje nurodytus reikalavimus.</w:t>
      </w:r>
    </w:p>
    <w:p w14:paraId="632CE9FE"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 xml:space="preserve"> Programinės įrangos dokumentai turi būti lietuvių arba anglų kalba. Programinės įrangos sisteminiai pranešimai turi būti anglų arba lietuvių kalba. </w:t>
      </w:r>
    </w:p>
    <w:p w14:paraId="4D198FB6" w14:textId="77777777" w:rsidR="00D6176B" w:rsidRPr="00D6176B" w:rsidRDefault="00D6176B" w:rsidP="00D6176B">
      <w:pPr>
        <w:numPr>
          <w:ilvl w:val="0"/>
          <w:numId w:val="10"/>
        </w:numPr>
        <w:tabs>
          <w:tab w:val="left" w:pos="1560"/>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Tiekėjas turi užtikrinti, kad įsigyjamoje programinėje įrangoje nebūtų įterpta jokio papildomo programinio kodo, kuris nėra būtinas tokios programinės įrangos funkcionalumui užtikrinti. Paaiškėjus, kad įrangoje yra įdiegta kenkimo programinė įranga, tai būtų traktuojama kaip reikalavimų neatitikimas ir sutarties sąlygų nesilaikymas. Tokiu atveju:</w:t>
      </w:r>
    </w:p>
    <w:p w14:paraId="68AB1C2C" w14:textId="77777777" w:rsidR="00D6176B" w:rsidRPr="00D6176B" w:rsidRDefault="00D6176B" w:rsidP="00D6176B">
      <w:pPr>
        <w:numPr>
          <w:ilvl w:val="1"/>
          <w:numId w:val="10"/>
        </w:numPr>
        <w:tabs>
          <w:tab w:val="left" w:pos="1560"/>
          <w:tab w:val="left" w:pos="1701"/>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programinė įranga keičiama saugumo reikalavimus atitinkančia programine įranga;</w:t>
      </w:r>
    </w:p>
    <w:p w14:paraId="0764A2C6" w14:textId="77777777" w:rsidR="00D6176B" w:rsidRPr="00D6176B" w:rsidRDefault="00D6176B" w:rsidP="00D6176B">
      <w:pPr>
        <w:numPr>
          <w:ilvl w:val="1"/>
          <w:numId w:val="10"/>
        </w:numPr>
        <w:tabs>
          <w:tab w:val="left" w:pos="1560"/>
          <w:tab w:val="left" w:pos="1701"/>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tiekėjas padengia keitimo proceso metu pirkėjo patirtą materialinę žalą.</w:t>
      </w:r>
    </w:p>
    <w:p w14:paraId="3AC530CA" w14:textId="77777777" w:rsidR="00D6176B" w:rsidRPr="00D6176B" w:rsidRDefault="00D6176B" w:rsidP="00D6176B">
      <w:pPr>
        <w:numPr>
          <w:ilvl w:val="0"/>
          <w:numId w:val="10"/>
        </w:numPr>
        <w:tabs>
          <w:tab w:val="left" w:pos="1560"/>
          <w:tab w:val="left" w:pos="1701"/>
        </w:tabs>
        <w:suppressAutoHyphens/>
        <w:spacing w:after="0" w:line="240" w:lineRule="auto"/>
        <w:ind w:left="0" w:firstLine="1247"/>
        <w:contextualSpacing/>
        <w:jc w:val="both"/>
        <w:rPr>
          <w:rFonts w:eastAsia="Calibri"/>
          <w:color w:val="auto"/>
          <w:sz w:val="24"/>
          <w:szCs w:val="24"/>
          <w:lang w:eastAsia="en-US"/>
        </w:rPr>
      </w:pPr>
      <w:r w:rsidRPr="00D6176B">
        <w:rPr>
          <w:rFonts w:eastAsia="Calibri"/>
          <w:color w:val="auto"/>
          <w:sz w:val="24"/>
          <w:szCs w:val="24"/>
          <w:lang w:eastAsia="en-US"/>
        </w:rPr>
        <w:t>Pirkimo objektas turi atitikti Lietuvos Respublikos viešųjų pirkimų įstatyme numatytus reikalavimus dėl grėsmių nacionaliniam saugumui.</w:t>
      </w:r>
    </w:p>
    <w:p w14:paraId="39ED8B54" w14:textId="77777777" w:rsidR="00D6176B" w:rsidRPr="00D6176B" w:rsidRDefault="00D6176B" w:rsidP="00D6176B">
      <w:pPr>
        <w:numPr>
          <w:ilvl w:val="0"/>
          <w:numId w:val="10"/>
        </w:numPr>
        <w:tabs>
          <w:tab w:val="left" w:pos="1560"/>
          <w:tab w:val="left" w:pos="1701"/>
        </w:tabs>
        <w:suppressAutoHyphens/>
        <w:spacing w:after="0" w:line="240" w:lineRule="auto"/>
        <w:ind w:left="0" w:firstLine="1247"/>
        <w:contextualSpacing/>
        <w:jc w:val="both"/>
        <w:rPr>
          <w:rFonts w:eastAsia="Calibri"/>
          <w:color w:val="auto"/>
          <w:sz w:val="24"/>
          <w:szCs w:val="24"/>
          <w:lang w:eastAsia="en-US"/>
        </w:rPr>
      </w:pPr>
      <w:r w:rsidRPr="00D6176B">
        <w:rPr>
          <w:color w:val="auto"/>
          <w:sz w:val="24"/>
          <w:szCs w:val="24"/>
          <w:lang w:eastAsia="en-US"/>
        </w:rPr>
        <w:t xml:space="preserve">Pirkimo objektas turi atitikti </w:t>
      </w:r>
      <w:r w:rsidRPr="00D6176B">
        <w:rPr>
          <w:color w:val="auto"/>
          <w:sz w:val="24"/>
          <w:szCs w:val="24"/>
          <w:bdr w:val="none" w:sz="0" w:space="0" w:color="auto" w:frame="1"/>
          <w:lang w:eastAsia="en-US"/>
        </w:rPr>
        <w:t xml:space="preserve">LR Aplinkos apsaugos ministro 2011 m. birželio 28 d. įsakymu Nr. D1-508 </w:t>
      </w:r>
      <w:r w:rsidRPr="00D6176B">
        <w:rPr>
          <w:color w:val="auto"/>
          <w:sz w:val="24"/>
          <w:szCs w:val="24"/>
          <w:bdr w:val="none" w:sz="0" w:space="0" w:color="auto" w:frame="1"/>
          <w:lang w:val="pt-PT" w:eastAsia="en-US"/>
        </w:rPr>
        <w:t>(</w:t>
      </w:r>
      <w:r w:rsidRPr="00D6176B">
        <w:rPr>
          <w:sz w:val="24"/>
          <w:szCs w:val="24"/>
        </w:rPr>
        <w:t xml:space="preserve">Lietuvos Respublikos aplinkos ministro 2022 m. gruodžio 13 d. įsakymo Nr. D1-401 redakcija) </w:t>
      </w:r>
      <w:r w:rsidRPr="00D6176B">
        <w:rPr>
          <w:color w:val="auto"/>
          <w:sz w:val="24"/>
          <w:szCs w:val="24"/>
          <w:bdr w:val="none" w:sz="0" w:space="0" w:color="auto" w:frame="1"/>
          <w:lang w:eastAsia="en-US"/>
        </w:rPr>
        <w:t>patvirtinto Aplinkos apsaugos kriterijų</w:t>
      </w:r>
      <w:r w:rsidRPr="00D6176B">
        <w:rPr>
          <w:color w:val="auto"/>
          <w:sz w:val="24"/>
          <w:szCs w:val="24"/>
          <w:lang w:eastAsia="en-US"/>
        </w:rPr>
        <w:t xml:space="preserve">, </w:t>
      </w:r>
      <w:r w:rsidRPr="00D6176B">
        <w:rPr>
          <w:color w:val="auto"/>
          <w:sz w:val="24"/>
          <w:szCs w:val="24"/>
          <w:bdr w:val="none" w:sz="0" w:space="0" w:color="auto" w:frame="1"/>
          <w:lang w:eastAsia="en-US"/>
        </w:rPr>
        <w:t xml:space="preserve">kuriuos perkančiosios organizacijos ir perkantieji subjektai turi taikyti pirkdami prekes, paslaugas ar darbus, taikymo tvarkos aprašo II skyriaus 4.4.3 papunkčio reikalavimą: </w:t>
      </w:r>
      <w:r w:rsidRPr="00D6176B">
        <w:rPr>
          <w:bCs/>
          <w:i/>
          <w:iCs/>
          <w:color w:val="auto"/>
          <w:sz w:val="24"/>
          <w:szCs w:val="24"/>
          <w:bdr w:val="none" w:sz="0" w:space="0" w:color="auto" w:frame="1"/>
          <w:lang w:eastAsia="en-US"/>
        </w:rPr>
        <w:t xml:space="preserve">„paslaugos yra </w:t>
      </w:r>
      <w:r w:rsidRPr="00D6176B">
        <w:rPr>
          <w:bCs/>
          <w:i/>
          <w:iCs/>
          <w:color w:val="auto"/>
          <w:sz w:val="24"/>
          <w:szCs w:val="24"/>
          <w:lang w:eastAsia="en-US"/>
        </w:rPr>
        <w:t>nematerialaus pobūdžio, nesusijusios su materialaus objekto sukūrimu, kurių teikimo metu nėra numatomas reikšmingas neigiamas poveikis aplinkai, nesukuriamas taršos šaltinis ir negeneruojamos atliekos.“</w:t>
      </w:r>
    </w:p>
    <w:p w14:paraId="6906D61A" w14:textId="77777777" w:rsidR="00D6176B" w:rsidRPr="00D6176B" w:rsidRDefault="00D6176B" w:rsidP="00D6176B">
      <w:pPr>
        <w:suppressAutoHyphens/>
        <w:spacing w:after="0" w:line="240" w:lineRule="auto"/>
        <w:ind w:left="0" w:hanging="142"/>
        <w:jc w:val="center"/>
        <w:rPr>
          <w:color w:val="auto"/>
          <w:sz w:val="24"/>
          <w:szCs w:val="24"/>
          <w:lang w:eastAsia="en-US"/>
        </w:rPr>
      </w:pPr>
    </w:p>
    <w:p w14:paraId="46509350" w14:textId="77777777" w:rsidR="00D6176B" w:rsidRPr="00D6176B" w:rsidRDefault="00D6176B" w:rsidP="00D6176B">
      <w:pPr>
        <w:suppressAutoHyphens/>
        <w:spacing w:after="0" w:line="240" w:lineRule="auto"/>
        <w:ind w:left="0" w:firstLine="0"/>
        <w:jc w:val="center"/>
        <w:rPr>
          <w:b/>
          <w:bCs/>
          <w:color w:val="auto"/>
          <w:sz w:val="24"/>
          <w:szCs w:val="24"/>
          <w:lang w:eastAsia="en-US"/>
        </w:rPr>
      </w:pPr>
      <w:r w:rsidRPr="00D6176B">
        <w:rPr>
          <w:b/>
          <w:bCs/>
          <w:color w:val="auto"/>
          <w:sz w:val="24"/>
          <w:szCs w:val="24"/>
          <w:lang w:eastAsia="en-US"/>
        </w:rPr>
        <w:t>II SKYRIUS</w:t>
      </w:r>
    </w:p>
    <w:p w14:paraId="1C30452C" w14:textId="77777777" w:rsidR="00D6176B" w:rsidRPr="00D6176B" w:rsidRDefault="00D6176B" w:rsidP="00D6176B">
      <w:pPr>
        <w:suppressAutoHyphens/>
        <w:spacing w:after="0" w:line="240" w:lineRule="auto"/>
        <w:ind w:left="0" w:firstLine="0"/>
        <w:jc w:val="center"/>
        <w:rPr>
          <w:b/>
          <w:bCs/>
          <w:color w:val="auto"/>
          <w:sz w:val="24"/>
          <w:szCs w:val="24"/>
          <w:lang w:eastAsia="en-US"/>
        </w:rPr>
      </w:pPr>
      <w:r w:rsidRPr="00D6176B">
        <w:rPr>
          <w:b/>
          <w:bCs/>
          <w:color w:val="auto"/>
          <w:sz w:val="24"/>
          <w:szCs w:val="24"/>
          <w:lang w:eastAsia="en-US"/>
        </w:rPr>
        <w:t>SPECIALIEJI REIKALAVIMAI</w:t>
      </w:r>
    </w:p>
    <w:p w14:paraId="02DA6C0D" w14:textId="77777777" w:rsidR="00D6176B" w:rsidRPr="00D6176B" w:rsidRDefault="00D6176B" w:rsidP="00D6176B">
      <w:pPr>
        <w:suppressAutoHyphens/>
        <w:spacing w:after="0" w:line="240" w:lineRule="auto"/>
        <w:ind w:left="0" w:hanging="142"/>
        <w:jc w:val="center"/>
        <w:rPr>
          <w:color w:val="auto"/>
          <w:sz w:val="24"/>
          <w:szCs w:val="24"/>
          <w:lang w:eastAsia="en-US"/>
        </w:rPr>
      </w:pPr>
    </w:p>
    <w:p w14:paraId="106FD1A4" w14:textId="77777777" w:rsidR="00D6176B" w:rsidRPr="00D6176B" w:rsidRDefault="00D6176B" w:rsidP="00D6176B">
      <w:pPr>
        <w:numPr>
          <w:ilvl w:val="0"/>
          <w:numId w:val="10"/>
        </w:numPr>
        <w:tabs>
          <w:tab w:val="left" w:pos="1560"/>
        </w:tabs>
        <w:suppressAutoHyphens/>
        <w:spacing w:after="0" w:line="240" w:lineRule="auto"/>
        <w:ind w:left="0" w:firstLine="1276"/>
        <w:contextualSpacing/>
        <w:jc w:val="both"/>
        <w:rPr>
          <w:rFonts w:eastAsia="Calibri"/>
          <w:color w:val="auto"/>
          <w:sz w:val="24"/>
          <w:szCs w:val="24"/>
          <w:lang w:eastAsia="en-US"/>
        </w:rPr>
      </w:pPr>
      <w:r w:rsidRPr="00D6176B">
        <w:rPr>
          <w:rFonts w:eastAsia="Calibri"/>
          <w:b/>
          <w:color w:val="auto"/>
          <w:sz w:val="24"/>
          <w:szCs w:val="24"/>
          <w:lang w:eastAsia="en-US"/>
        </w:rPr>
        <w:t>IT infrastruktūros virtualizavimo valdymo programinė įranga (BVPŽ kodas - 48000000-8).</w:t>
      </w:r>
    </w:p>
    <w:p w14:paraId="2CCA4CC9"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b/>
          <w:color w:val="auto"/>
          <w:sz w:val="24"/>
          <w:szCs w:val="24"/>
          <w:lang w:eastAsia="en-US"/>
        </w:rPr>
        <w:t xml:space="preserve"> </w:t>
      </w:r>
      <w:r w:rsidRPr="00D6176B">
        <w:rPr>
          <w:rFonts w:eastAsia="Calibri"/>
          <w:color w:val="auto"/>
          <w:sz w:val="24"/>
          <w:szCs w:val="24"/>
          <w:lang w:eastAsia="en-US"/>
        </w:rPr>
        <w:t xml:space="preserve">„VMware vSphere Foundation“ IT infrastruktūros virtualizavimo valdymo programinė įranga  arba lygiavertės programinės įrangos naujausia versija.  </w:t>
      </w:r>
    </w:p>
    <w:p w14:paraId="67F07B15"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t xml:space="preserve"> Techninis palaikymas turi būti teikiamas programinės įrangos gamintojo 12 mėn. laikotarpiu, darbo dienomis, ne mažiau kaip 24 val. per parą, ne mažiau nei 7 dienas per savaitę. Teikiamas telefonu, nuotolinio prisijungimo priemonėmis (internetu), kreipimųsi skaičius – neribotas.</w:t>
      </w:r>
    </w:p>
    <w:p w14:paraId="0FAEBA16"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t xml:space="preserve"> Turi būti suteikta galimybė per visą techninio palaikymo laikotarpį iš programinės įrangos gamintojo gauti programinės įrangos naujinimus bei pataisymus.</w:t>
      </w:r>
    </w:p>
    <w:p w14:paraId="3D258F38"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t xml:space="preserve"> Prenumerata turi būti skirta ne mažiau kaip trims tarnybinėms stotims, ne mažiau kaip trims procesoriams ir ne mažiau nei 48 procesorių branduoliams.</w:t>
      </w:r>
    </w:p>
    <w:p w14:paraId="64F43E25"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lastRenderedPageBreak/>
        <w:t xml:space="preserve"> Turi būti suteikta galimybė pasiekti IT infrastruktūros virtualizavimo valdymo programinės įrangos dokumentaciją, pranešti apie programinės įrangos veiklos sutrikimus, gauti konsultacijas naudojimo ir sutrikimų šalinimo klausimais.</w:t>
      </w:r>
    </w:p>
    <w:p w14:paraId="0900F360" w14:textId="77777777" w:rsidR="00D6176B" w:rsidRPr="00D6176B" w:rsidRDefault="00D6176B" w:rsidP="00D6176B">
      <w:pPr>
        <w:numPr>
          <w:ilvl w:val="1"/>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t xml:space="preserve"> IT infrastruktūros virtualizavimo valdymo programinės įrangos aktyvacijai ir pakartotinei reaktyvacijai neturi būti reikalingas interneto pasiekiamumas.</w:t>
      </w:r>
    </w:p>
    <w:p w14:paraId="04856CDD" w14:textId="77777777" w:rsidR="00D6176B" w:rsidRPr="00D6176B" w:rsidRDefault="00D6176B" w:rsidP="00D6176B">
      <w:pPr>
        <w:numPr>
          <w:ilvl w:val="0"/>
          <w:numId w:val="10"/>
        </w:numPr>
        <w:tabs>
          <w:tab w:val="left" w:pos="1560"/>
          <w:tab w:val="left" w:pos="1701"/>
        </w:tabs>
        <w:suppressAutoHyphens/>
        <w:spacing w:after="0" w:line="240" w:lineRule="auto"/>
        <w:ind w:left="0" w:firstLine="1276"/>
        <w:contextualSpacing/>
        <w:jc w:val="both"/>
        <w:rPr>
          <w:rFonts w:eastAsia="Calibri"/>
          <w:color w:val="auto"/>
          <w:sz w:val="24"/>
          <w:szCs w:val="24"/>
          <w:lang w:eastAsia="en-US"/>
        </w:rPr>
      </w:pPr>
      <w:r w:rsidRPr="00D6176B">
        <w:rPr>
          <w:b/>
          <w:color w:val="auto"/>
          <w:sz w:val="24"/>
          <w:szCs w:val="24"/>
          <w:lang w:eastAsia="en-US"/>
        </w:rPr>
        <w:t>D</w:t>
      </w:r>
      <w:r w:rsidRPr="00D6176B">
        <w:rPr>
          <w:b/>
          <w:color w:val="auto"/>
          <w:sz w:val="24"/>
          <w:szCs w:val="24"/>
        </w:rPr>
        <w:t>iskų telkinio valdymo p</w:t>
      </w:r>
      <w:r w:rsidRPr="00D6176B">
        <w:rPr>
          <w:b/>
          <w:color w:val="auto"/>
          <w:sz w:val="24"/>
          <w:szCs w:val="24"/>
          <w:lang w:eastAsia="en-US"/>
        </w:rPr>
        <w:t>rograminė įranga (BVPŽ kodas - 48000000-8).</w:t>
      </w:r>
    </w:p>
    <w:p w14:paraId="0DAE1C9A"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„VMware vSAN 8“ diskų telkinio valdymo programinė įranga arba lygiavertės programinės įrangos naujausia versija.</w:t>
      </w:r>
    </w:p>
    <w:p w14:paraId="6B8BE9E7"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Turi būti suderinama su antrame punkte aprašyta IT infrastruktūros virtualizavimo valdymo programine įranga.</w:t>
      </w:r>
    </w:p>
    <w:p w14:paraId="71993854"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rFonts w:eastAsia="Calibri"/>
          <w:color w:val="auto"/>
          <w:sz w:val="24"/>
          <w:szCs w:val="24"/>
          <w:lang w:eastAsia="en-US"/>
        </w:rPr>
        <w:t xml:space="preserve">Techninis palaikymas turi </w:t>
      </w:r>
      <w:r w:rsidRPr="00D6176B">
        <w:rPr>
          <w:color w:val="auto"/>
          <w:sz w:val="24"/>
          <w:szCs w:val="24"/>
          <w:lang w:eastAsia="en-US"/>
        </w:rPr>
        <w:t xml:space="preserve"> būti teikiamas programinės įrangos gamintojo 12 mėn. laikotarpiui, darbo dienomis, ne mažiau kaip 24 val. per parą, ne mažiau nei 7 dienas per savaitę. Teikiamas telefonu, nuotolinio prisijungimo priemonėmis (internetu), kreipimųsi skaičius – neribotas.</w:t>
      </w:r>
    </w:p>
    <w:p w14:paraId="1E12E0A2"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Turi būti suteikta galimybė per visą techninio palaikymo laikotarpį iš programinės įrangos gamintojo gauti programinės įrangos naujinimus bei pataisymus.</w:t>
      </w:r>
    </w:p>
    <w:p w14:paraId="554072E7"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Licencija turi būti skirta ne mažiau kaip trims procesoriams ir ne mažiau kaip 48 terabaitams.</w:t>
      </w:r>
    </w:p>
    <w:p w14:paraId="2484EFC5"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Turi būti suteikta galimybė pasiekti IT infrastruktūros virtualizavimo valdymo programinės įrangos dokumentaciją, pranešti apie programinės įrangos veiklos sutrikimus, gauti konsultacijas naudojimo ir sutrikimų šalinimo klausimais.</w:t>
      </w:r>
    </w:p>
    <w:p w14:paraId="1AEF28F8" w14:textId="77777777" w:rsidR="00D6176B" w:rsidRPr="00D6176B" w:rsidRDefault="00D6176B" w:rsidP="00D6176B">
      <w:pPr>
        <w:numPr>
          <w:ilvl w:val="1"/>
          <w:numId w:val="10"/>
        </w:numPr>
        <w:tabs>
          <w:tab w:val="left" w:pos="1560"/>
          <w:tab w:val="left" w:pos="1701"/>
          <w:tab w:val="left" w:pos="1843"/>
        </w:tabs>
        <w:suppressAutoHyphens/>
        <w:spacing w:after="0" w:line="240" w:lineRule="auto"/>
        <w:ind w:left="0" w:firstLine="1276"/>
        <w:contextualSpacing/>
        <w:jc w:val="both"/>
        <w:rPr>
          <w:rFonts w:eastAsia="Calibri"/>
          <w:color w:val="auto"/>
          <w:sz w:val="24"/>
          <w:szCs w:val="24"/>
          <w:lang w:eastAsia="en-US"/>
        </w:rPr>
      </w:pPr>
      <w:r w:rsidRPr="00D6176B">
        <w:rPr>
          <w:color w:val="auto"/>
          <w:sz w:val="24"/>
          <w:szCs w:val="24"/>
          <w:lang w:eastAsia="en-US"/>
        </w:rPr>
        <w:t>IT infrastruktūros virtualizavimo valdymo programinės įrangos aktyvacijai ir pakartotinei reaktyvacijai neturi būti reikalingas interneto pasiekiamumas.</w:t>
      </w:r>
    </w:p>
    <w:tbl>
      <w:tblPr>
        <w:tblW w:w="9776" w:type="dxa"/>
        <w:tblLayout w:type="fixed"/>
        <w:tblLook w:val="0000" w:firstRow="0" w:lastRow="0" w:firstColumn="0" w:lastColumn="0" w:noHBand="0" w:noVBand="0"/>
      </w:tblPr>
      <w:tblGrid>
        <w:gridCol w:w="851"/>
        <w:gridCol w:w="1984"/>
        <w:gridCol w:w="6941"/>
      </w:tblGrid>
      <w:tr w:rsidR="00D6176B" w:rsidRPr="00D6176B" w14:paraId="70C9CA4E" w14:textId="77777777" w:rsidTr="0060058E">
        <w:trPr>
          <w:trHeight w:val="324"/>
        </w:trPr>
        <w:tc>
          <w:tcPr>
            <w:tcW w:w="9776" w:type="dxa"/>
            <w:gridSpan w:val="3"/>
            <w:noWrap/>
          </w:tcPr>
          <w:p w14:paraId="640361BF" w14:textId="77777777" w:rsidR="00D6176B" w:rsidRPr="00D6176B" w:rsidRDefault="00D6176B" w:rsidP="00D6176B">
            <w:pPr>
              <w:spacing w:after="160"/>
              <w:ind w:left="0" w:firstLine="0"/>
              <w:rPr>
                <w:color w:val="auto"/>
                <w:sz w:val="24"/>
                <w:szCs w:val="24"/>
                <w:lang w:eastAsia="en-US"/>
              </w:rPr>
            </w:pPr>
          </w:p>
        </w:tc>
      </w:tr>
      <w:tr w:rsidR="00D6176B" w:rsidRPr="00D6176B" w14:paraId="57CE1B1F" w14:textId="77777777" w:rsidTr="0060058E">
        <w:trPr>
          <w:trHeight w:val="57"/>
        </w:trPr>
        <w:tc>
          <w:tcPr>
            <w:tcW w:w="851" w:type="dxa"/>
            <w:noWrap/>
          </w:tcPr>
          <w:p w14:paraId="0862FE16" w14:textId="77777777" w:rsidR="00D6176B" w:rsidRPr="00D6176B" w:rsidRDefault="00D6176B" w:rsidP="00D6176B">
            <w:pPr>
              <w:suppressAutoHyphens/>
              <w:spacing w:after="0" w:line="240" w:lineRule="auto"/>
              <w:ind w:left="0" w:right="-535" w:firstLine="0"/>
              <w:jc w:val="both"/>
              <w:rPr>
                <w:color w:val="auto"/>
                <w:sz w:val="24"/>
                <w:szCs w:val="24"/>
                <w:lang w:eastAsia="en-US"/>
              </w:rPr>
            </w:pPr>
          </w:p>
          <w:p w14:paraId="58BA4D42" w14:textId="77777777" w:rsidR="00D6176B" w:rsidRPr="00D6176B" w:rsidRDefault="00D6176B" w:rsidP="00D6176B">
            <w:pPr>
              <w:suppressAutoHyphens/>
              <w:spacing w:after="0" w:line="240" w:lineRule="auto"/>
              <w:ind w:left="0" w:right="-535" w:firstLine="0"/>
              <w:jc w:val="both"/>
              <w:rPr>
                <w:color w:val="auto"/>
                <w:sz w:val="24"/>
                <w:szCs w:val="24"/>
                <w:lang w:eastAsia="en-US"/>
              </w:rPr>
            </w:pPr>
          </w:p>
          <w:p w14:paraId="7E32D0D0" w14:textId="77777777" w:rsidR="00D6176B" w:rsidRPr="00D6176B" w:rsidRDefault="00D6176B" w:rsidP="00D6176B">
            <w:pPr>
              <w:suppressAutoHyphens/>
              <w:spacing w:after="0" w:line="240" w:lineRule="auto"/>
              <w:ind w:left="0" w:right="-535" w:firstLine="0"/>
              <w:jc w:val="both"/>
              <w:rPr>
                <w:color w:val="auto"/>
                <w:sz w:val="24"/>
                <w:szCs w:val="24"/>
                <w:lang w:eastAsia="en-US"/>
              </w:rPr>
            </w:pPr>
          </w:p>
          <w:p w14:paraId="7E81B4B8" w14:textId="77777777" w:rsidR="00D6176B" w:rsidRPr="00D6176B" w:rsidRDefault="00D6176B" w:rsidP="00D6176B">
            <w:pPr>
              <w:suppressAutoHyphens/>
              <w:spacing w:after="0" w:line="240" w:lineRule="auto"/>
              <w:ind w:left="0" w:firstLine="0"/>
              <w:jc w:val="both"/>
              <w:rPr>
                <w:color w:val="auto"/>
                <w:sz w:val="24"/>
                <w:szCs w:val="24"/>
                <w:lang w:eastAsia="en-US"/>
              </w:rPr>
            </w:pPr>
          </w:p>
          <w:p w14:paraId="50FEEC1B" w14:textId="77777777" w:rsidR="00D6176B" w:rsidRPr="00D6176B" w:rsidRDefault="00D6176B" w:rsidP="00D6176B">
            <w:pPr>
              <w:suppressAutoHyphens/>
              <w:spacing w:after="0" w:line="240" w:lineRule="auto"/>
              <w:ind w:left="0" w:hanging="113"/>
              <w:jc w:val="both"/>
              <w:rPr>
                <w:color w:val="auto"/>
                <w:sz w:val="24"/>
                <w:szCs w:val="24"/>
                <w:lang w:eastAsia="en-US"/>
              </w:rPr>
            </w:pPr>
          </w:p>
        </w:tc>
        <w:tc>
          <w:tcPr>
            <w:tcW w:w="1984" w:type="dxa"/>
          </w:tcPr>
          <w:p w14:paraId="5EB4ABFC" w14:textId="77777777" w:rsidR="00D6176B" w:rsidRPr="00D6176B" w:rsidRDefault="00D6176B" w:rsidP="00D6176B">
            <w:pPr>
              <w:tabs>
                <w:tab w:val="left" w:pos="390"/>
                <w:tab w:val="left" w:pos="1035"/>
                <w:tab w:val="left" w:pos="1500"/>
              </w:tabs>
              <w:suppressAutoHyphens/>
              <w:spacing w:after="0" w:line="240" w:lineRule="auto"/>
              <w:ind w:left="0" w:firstLine="0"/>
              <w:rPr>
                <w:color w:val="auto"/>
                <w:sz w:val="24"/>
                <w:szCs w:val="24"/>
              </w:rPr>
            </w:pPr>
          </w:p>
        </w:tc>
        <w:tc>
          <w:tcPr>
            <w:tcW w:w="6941" w:type="dxa"/>
          </w:tcPr>
          <w:p w14:paraId="5436DD21" w14:textId="77777777" w:rsidR="00D6176B" w:rsidRPr="00D6176B" w:rsidRDefault="00D6176B" w:rsidP="00D6176B">
            <w:pPr>
              <w:keepNext/>
              <w:widowControl w:val="0"/>
              <w:suppressAutoHyphens/>
              <w:spacing w:after="0" w:line="240" w:lineRule="auto"/>
              <w:ind w:left="0" w:firstLine="0"/>
              <w:jc w:val="both"/>
              <w:rPr>
                <w:bCs/>
                <w:color w:val="auto"/>
                <w:sz w:val="24"/>
                <w:szCs w:val="24"/>
              </w:rPr>
            </w:pPr>
            <w:r w:rsidRPr="00D6176B">
              <w:rPr>
                <w:bCs/>
                <w:color w:val="auto"/>
                <w:sz w:val="24"/>
                <w:szCs w:val="24"/>
              </w:rPr>
              <w:t>________________________________</w:t>
            </w:r>
          </w:p>
        </w:tc>
      </w:tr>
      <w:bookmarkEnd w:id="0"/>
    </w:tbl>
    <w:p w14:paraId="6DBF4CB8" w14:textId="77777777" w:rsidR="00C4770B" w:rsidRDefault="00C4770B" w:rsidP="00CD7701">
      <w:pPr>
        <w:spacing w:after="0" w:line="240" w:lineRule="auto"/>
        <w:ind w:left="0" w:firstLine="0"/>
        <w:jc w:val="center"/>
        <w:rPr>
          <w:b/>
          <w:bCs/>
          <w:sz w:val="24"/>
          <w:szCs w:val="24"/>
        </w:rPr>
      </w:pPr>
    </w:p>
    <w:sectPr w:rsidR="00C4770B" w:rsidSect="0087704D">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40D9" w14:textId="77777777" w:rsidR="00F26D5D" w:rsidRDefault="00F26D5D" w:rsidP="00C11225">
      <w:pPr>
        <w:spacing w:after="0" w:line="240" w:lineRule="auto"/>
      </w:pPr>
      <w:r>
        <w:separator/>
      </w:r>
    </w:p>
  </w:endnote>
  <w:endnote w:type="continuationSeparator" w:id="0">
    <w:p w14:paraId="1FB3434F" w14:textId="77777777" w:rsidR="00F26D5D" w:rsidRDefault="00F26D5D"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91852" w14:textId="77777777" w:rsidR="00F26D5D" w:rsidRDefault="00F26D5D" w:rsidP="00C11225">
      <w:pPr>
        <w:spacing w:after="0" w:line="240" w:lineRule="auto"/>
      </w:pPr>
      <w:r>
        <w:separator/>
      </w:r>
    </w:p>
  </w:footnote>
  <w:footnote w:type="continuationSeparator" w:id="0">
    <w:p w14:paraId="71FC896F" w14:textId="77777777" w:rsidR="00F26D5D" w:rsidRDefault="00F26D5D"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5" w15:restartNumberingAfterBreak="0">
    <w:nsid w:val="48BF7E97"/>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7146124"/>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2" w15:restartNumberingAfterBreak="0">
    <w:nsid w:val="79743076"/>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4"/>
  </w:num>
  <w:num w:numId="7">
    <w:abstractNumId w:val="6"/>
  </w:num>
  <w:num w:numId="8">
    <w:abstractNumId w:val="7"/>
  </w:num>
  <w:num w:numId="9">
    <w:abstractNumId w:val="11"/>
  </w:num>
  <w:num w:numId="10">
    <w:abstractNumId w:val="3"/>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09D2"/>
    <w:rsid w:val="004511AA"/>
    <w:rsid w:val="00454392"/>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644A7"/>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599D"/>
    <w:rsid w:val="00716379"/>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460F"/>
    <w:rsid w:val="0087704D"/>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35968"/>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176B"/>
    <w:rsid w:val="00D62F50"/>
    <w:rsid w:val="00D86D93"/>
    <w:rsid w:val="00DB33F1"/>
    <w:rsid w:val="00DB3E37"/>
    <w:rsid w:val="00DB47AF"/>
    <w:rsid w:val="00DC4B33"/>
    <w:rsid w:val="00DD2C86"/>
    <w:rsid w:val="00DE1C8A"/>
    <w:rsid w:val="00DF6CE5"/>
    <w:rsid w:val="00E007BF"/>
    <w:rsid w:val="00E01549"/>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26D5D"/>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B30BC-10AF-45FC-8546-714E5D03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2972</Words>
  <Characters>1695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17</cp:revision>
  <cp:lastPrinted>2023-09-25T12:25:00Z</cp:lastPrinted>
  <dcterms:created xsi:type="dcterms:W3CDTF">2024-02-12T11:52:00Z</dcterms:created>
  <dcterms:modified xsi:type="dcterms:W3CDTF">2025-09-09T10:32:00Z</dcterms:modified>
</cp:coreProperties>
</file>