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573"/>
      </w:tblGrid>
      <w:tr w:rsidR="000B7062" w:rsidRPr="00F90521" w14:paraId="2CC1A661" w14:textId="77777777" w:rsidTr="00937F9A">
        <w:trPr>
          <w:trHeight w:val="475"/>
        </w:trPr>
        <w:tc>
          <w:tcPr>
            <w:tcW w:w="709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937F9A">
        <w:trPr>
          <w:trHeight w:val="457"/>
        </w:trPr>
        <w:tc>
          <w:tcPr>
            <w:tcW w:w="709" w:type="dxa"/>
          </w:tcPr>
          <w:p w14:paraId="76D6D394" w14:textId="5400B37C" w:rsidR="000B7062" w:rsidRPr="00F90521" w:rsidRDefault="000B7062" w:rsidP="000B7062">
            <w:bookmarkStart w:id="1" w:name="_Hlk208318842"/>
            <w:r w:rsidRPr="00F90521">
              <w:t>1.</w:t>
            </w:r>
          </w:p>
        </w:tc>
        <w:tc>
          <w:tcPr>
            <w:tcW w:w="4678" w:type="dxa"/>
          </w:tcPr>
          <w:p w14:paraId="523C5911" w14:textId="77777777" w:rsidR="000B7062" w:rsidRDefault="00937F9A" w:rsidP="008308D4">
            <w:pPr>
              <w:jc w:val="both"/>
            </w:pPr>
            <w:r w:rsidRPr="008308D4">
              <w:t>Privažiavimas prie Turgaus g. 6 sklypo šiuo metu vyksta servitutu, kuris yra gretimybėje projektuojamos upelio zonos, taip pat atkerta projektuojamą pastatą nuo skvero. Ar galima numatyti alternatyvų patekimą į sklypą Turgaus g. 6, numatant saugų pėsčiųjų judėjimą lauko ekspozicijos parko trajektorijoje?</w:t>
            </w:r>
          </w:p>
          <w:p w14:paraId="2A7FDA11" w14:textId="7031B6D1" w:rsidR="00F973F8" w:rsidRPr="008308D4" w:rsidRDefault="00F973F8" w:rsidP="008308D4">
            <w:pPr>
              <w:jc w:val="both"/>
            </w:pPr>
            <w:r>
              <w:rPr>
                <w:rFonts w:ascii="ArialMT" w:hAnsi="ArialMT"/>
                <w:noProof/>
                <w:color w:val="000000"/>
                <w:sz w:val="21"/>
                <w:szCs w:val="21"/>
                <w14:ligatures w14:val="standardContextual"/>
              </w:rPr>
              <w:drawing>
                <wp:inline distT="0" distB="0" distL="0" distR="0" wp14:anchorId="3E3F615E" wp14:editId="53348FE2">
                  <wp:extent cx="2828925" cy="1745207"/>
                  <wp:effectExtent l="0" t="0" r="0" b="7620"/>
                  <wp:docPr id="348177447" name="Picture 2" descr="A map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77447" name="Picture 2" descr="A map of a city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614" cy="1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dxa"/>
          </w:tcPr>
          <w:p w14:paraId="3ADA1531" w14:textId="7D408512" w:rsidR="00E970E0" w:rsidRPr="008308D4" w:rsidRDefault="00937F9A" w:rsidP="008308D4">
            <w:pPr>
              <w:jc w:val="both"/>
            </w:pPr>
            <w:r w:rsidRPr="008308D4">
              <w:t>Privažiavimą prie Turgaus g. 6 sklypo siūlome spręsti dviem būdais: a) maksimaliai privažiavimą formuoti prie (pagal) 1 ir 2 sklypų rytinę ribą ; b) kuriant alternatyvų patekimą į sklypą iš Turgaus g. ir naudojant esamą inžinerinės infrastruktūros koridorių (tarp sklypų Turgaus g. 4B ir Turgaus g. 10).</w:t>
            </w:r>
          </w:p>
        </w:tc>
      </w:tr>
      <w:bookmarkEnd w:id="0"/>
      <w:bookmarkEnd w:id="1"/>
      <w:tr w:rsidR="00937F9A" w:rsidRPr="00610593" w14:paraId="7BA0371F" w14:textId="77777777" w:rsidTr="00937F9A">
        <w:trPr>
          <w:trHeight w:val="457"/>
        </w:trPr>
        <w:tc>
          <w:tcPr>
            <w:tcW w:w="709" w:type="dxa"/>
          </w:tcPr>
          <w:p w14:paraId="65BE5B64" w14:textId="14986E99" w:rsidR="00937F9A" w:rsidRPr="00F90521" w:rsidRDefault="00937F9A" w:rsidP="00564DD0">
            <w:r>
              <w:t>2.</w:t>
            </w:r>
          </w:p>
        </w:tc>
        <w:tc>
          <w:tcPr>
            <w:tcW w:w="4678" w:type="dxa"/>
          </w:tcPr>
          <w:p w14:paraId="52C4EBAF" w14:textId="1276616F" w:rsidR="00937F9A" w:rsidRPr="008308D4" w:rsidRDefault="00937F9A" w:rsidP="008308D4">
            <w:pPr>
              <w:jc w:val="both"/>
            </w:pPr>
            <w:r w:rsidRPr="008308D4">
              <w:t xml:space="preserve">Ar galima dalį ekspozicijos (pvz. visą temą </w:t>
            </w:r>
            <w:r w:rsidR="008308D4">
              <w:t>„</w:t>
            </w:r>
            <w:r w:rsidRPr="008308D4">
              <w:t>Vandens formos ir stichijos</w:t>
            </w:r>
            <w:r w:rsidR="008308D4">
              <w:t>“</w:t>
            </w:r>
            <w:r w:rsidRPr="008308D4">
              <w:t>) numatyti pirmame, o ne antrame aukšte?</w:t>
            </w:r>
          </w:p>
        </w:tc>
        <w:tc>
          <w:tcPr>
            <w:tcW w:w="4573" w:type="dxa"/>
          </w:tcPr>
          <w:p w14:paraId="6792890A" w14:textId="2F3DF535" w:rsidR="00937F9A" w:rsidRPr="008308D4" w:rsidRDefault="00937F9A" w:rsidP="008308D4">
            <w:pPr>
              <w:jc w:val="both"/>
            </w:pPr>
            <w:r w:rsidRPr="008308D4">
              <w:t>Jei to reikalauja jūsų kuriama Vandens pažinimo centro architektūrinė koncepcija, „Vandens formų ir stichijų“ ekspozicijos dalis galėtų atsidurti ir 1 a. Svarbiausia, kad ekspozicijos dalis Nr. 1 („Vandens gelmės“) liktų cokoliniame aukšte, o dalis Nr. 5 („Atmosferinis vanduo“) būtų kuriama 2 a. Tačiau reikėtų laikytis bendrų vartotojo kelionės principų - išlaikyti vientisą architektūrinį pasakojimą, įdomesnius ekspozicijos akcentus dozuotai paskirstant po visą pastato erdvę (nesudėti visų eksponatų ir edukacijų  į vieną aukštą) ir sukuriant dinamišką bei įtraukią  erdvę.</w:t>
            </w:r>
          </w:p>
        </w:tc>
      </w:tr>
      <w:tr w:rsidR="00937F9A" w:rsidRPr="00610593" w14:paraId="12366C89" w14:textId="77777777" w:rsidTr="00937F9A">
        <w:trPr>
          <w:trHeight w:val="457"/>
        </w:trPr>
        <w:tc>
          <w:tcPr>
            <w:tcW w:w="709" w:type="dxa"/>
          </w:tcPr>
          <w:p w14:paraId="0658A0C7" w14:textId="7887FE19" w:rsidR="00937F9A" w:rsidRPr="00F90521" w:rsidRDefault="00937F9A" w:rsidP="00564DD0">
            <w:r>
              <w:t>3.</w:t>
            </w:r>
          </w:p>
        </w:tc>
        <w:tc>
          <w:tcPr>
            <w:tcW w:w="4678" w:type="dxa"/>
          </w:tcPr>
          <w:p w14:paraId="111CA519" w14:textId="76F4BADB" w:rsidR="00937F9A" w:rsidRPr="008308D4" w:rsidRDefault="00937F9A" w:rsidP="008308D4">
            <w:pPr>
              <w:jc w:val="both"/>
            </w:pPr>
            <w:r w:rsidRPr="008308D4">
              <w:t>Ar muziejaus lauko erdvės / lauko ekspozicija bus viešai prieinama visiems, ar tik muziejaus lankytojams, turintiems bilietą?</w:t>
            </w:r>
          </w:p>
        </w:tc>
        <w:tc>
          <w:tcPr>
            <w:tcW w:w="4573" w:type="dxa"/>
          </w:tcPr>
          <w:p w14:paraId="12F66968" w14:textId="554B9044" w:rsidR="00937F9A" w:rsidRPr="008308D4" w:rsidRDefault="00937F9A" w:rsidP="008308D4">
            <w:pPr>
              <w:jc w:val="both"/>
            </w:pPr>
            <w:r w:rsidRPr="008308D4">
              <w:t>Vandens pažinimo centro lauko ekspozicija, esanti greta pastato, turėtų būti prieinama tik centro lankytojams (sklypai Nr. 1, 2, 6 (Turgaus g. prieigų dalis) ir 7; žr. Techninės specifikacijos 3 pav.). Likusi ekspozicijos dalis (sklypai Nr. 3, 4, 5 ir 6 (pakrantės ir Labanoro g. prieigų dalys)) galėtų būti atvira visiems.</w:t>
            </w:r>
            <w:r w:rsidRPr="008308D4">
              <w:br/>
              <w:t>Dar kartą akcentuojame, kad projektuojamas centras nėra muziejus!</w:t>
            </w:r>
          </w:p>
        </w:tc>
      </w:tr>
    </w:tbl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3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p w14:paraId="05D81E74" w14:textId="77777777" w:rsidR="00610593" w:rsidRPr="00610593" w:rsidRDefault="00610593" w:rsidP="00610593"/>
    <w:sectPr w:rsidR="00610593" w:rsidRPr="00610593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A186B"/>
    <w:rsid w:val="000B7062"/>
    <w:rsid w:val="000E4D3D"/>
    <w:rsid w:val="000F3049"/>
    <w:rsid w:val="00110F4E"/>
    <w:rsid w:val="00160589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80EAC"/>
    <w:rsid w:val="003A086C"/>
    <w:rsid w:val="003C482A"/>
    <w:rsid w:val="00404E12"/>
    <w:rsid w:val="004519B2"/>
    <w:rsid w:val="00492BBF"/>
    <w:rsid w:val="004B2CAF"/>
    <w:rsid w:val="004C5991"/>
    <w:rsid w:val="004E3C7C"/>
    <w:rsid w:val="004E4BCC"/>
    <w:rsid w:val="00512ABB"/>
    <w:rsid w:val="00522B7E"/>
    <w:rsid w:val="00595F3D"/>
    <w:rsid w:val="005B1E8C"/>
    <w:rsid w:val="005B411B"/>
    <w:rsid w:val="005E5341"/>
    <w:rsid w:val="00610593"/>
    <w:rsid w:val="00637EC2"/>
    <w:rsid w:val="00651D89"/>
    <w:rsid w:val="006612A8"/>
    <w:rsid w:val="006910DD"/>
    <w:rsid w:val="006E098D"/>
    <w:rsid w:val="00717FCA"/>
    <w:rsid w:val="007229AF"/>
    <w:rsid w:val="00722E52"/>
    <w:rsid w:val="0073435C"/>
    <w:rsid w:val="00734721"/>
    <w:rsid w:val="00734EB8"/>
    <w:rsid w:val="00752400"/>
    <w:rsid w:val="00794DAE"/>
    <w:rsid w:val="007C17AF"/>
    <w:rsid w:val="007D08E8"/>
    <w:rsid w:val="007D4EC3"/>
    <w:rsid w:val="00821754"/>
    <w:rsid w:val="008308D4"/>
    <w:rsid w:val="008356D5"/>
    <w:rsid w:val="00845F4D"/>
    <w:rsid w:val="008A4F7D"/>
    <w:rsid w:val="008D02E0"/>
    <w:rsid w:val="008D5AD1"/>
    <w:rsid w:val="008F160E"/>
    <w:rsid w:val="00937F9A"/>
    <w:rsid w:val="00973D50"/>
    <w:rsid w:val="00991E77"/>
    <w:rsid w:val="009B0197"/>
    <w:rsid w:val="009C2D2C"/>
    <w:rsid w:val="009C65BD"/>
    <w:rsid w:val="00A646E4"/>
    <w:rsid w:val="00AA35F8"/>
    <w:rsid w:val="00AC25C4"/>
    <w:rsid w:val="00B045A7"/>
    <w:rsid w:val="00B052E8"/>
    <w:rsid w:val="00B122B4"/>
    <w:rsid w:val="00B22C8C"/>
    <w:rsid w:val="00B47EB1"/>
    <w:rsid w:val="00B83CD1"/>
    <w:rsid w:val="00BB31A5"/>
    <w:rsid w:val="00BB5C81"/>
    <w:rsid w:val="00BD24E9"/>
    <w:rsid w:val="00C223E0"/>
    <w:rsid w:val="00C24F57"/>
    <w:rsid w:val="00C36E99"/>
    <w:rsid w:val="00C4362B"/>
    <w:rsid w:val="00CA00D5"/>
    <w:rsid w:val="00CA1185"/>
    <w:rsid w:val="00CD730C"/>
    <w:rsid w:val="00D243A9"/>
    <w:rsid w:val="00DF1994"/>
    <w:rsid w:val="00E37654"/>
    <w:rsid w:val="00E5744F"/>
    <w:rsid w:val="00E701D7"/>
    <w:rsid w:val="00E91A75"/>
    <w:rsid w:val="00E970E0"/>
    <w:rsid w:val="00EC4DC1"/>
    <w:rsid w:val="00ED43F1"/>
    <w:rsid w:val="00EF2538"/>
    <w:rsid w:val="00F305FF"/>
    <w:rsid w:val="00F5529E"/>
    <w:rsid w:val="00F7249C"/>
    <w:rsid w:val="00F84225"/>
    <w:rsid w:val="00F90521"/>
    <w:rsid w:val="00F9568F"/>
    <w:rsid w:val="00F973F8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73435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xmsonormal">
    <w:name w:val="x_msonormal"/>
    <w:basedOn w:val="prastasis"/>
    <w:rsid w:val="006105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5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Deimantė Narušienė</cp:lastModifiedBy>
  <cp:revision>3</cp:revision>
  <cp:lastPrinted>2025-06-20T11:15:00Z</cp:lastPrinted>
  <dcterms:created xsi:type="dcterms:W3CDTF">2025-09-09T11:19:00Z</dcterms:created>
  <dcterms:modified xsi:type="dcterms:W3CDTF">2025-09-09T11:26:00Z</dcterms:modified>
  <dc:language>lt-LT</dc:language>
</cp:coreProperties>
</file>