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customXml/itemProps2.xml" ContentType="application/vnd.openxmlformats-officedocument.customXmlProperties+xml"/>
  <Override PartName="/customXml/itemProps3.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ind w:firstLine="720"/>
        <w:jc w:val="center"/>
        <w:rPr>
          <w:b/>
        </w:rPr>
      </w:pPr>
      <w:r>
        <w:rPr>
          <w:b/>
        </w:rPr>
      </w:r>
    </w:p>
    <w:p>
      <w:pPr>
        <w:pStyle w:val="Normal"/>
        <w:jc w:val="both"/>
        <w:rPr/>
      </w:pPr>
      <w:r>
        <w:rPr/>
      </w:r>
    </w:p>
    <w:p>
      <w:pPr>
        <w:pStyle w:val="Normal"/>
        <w:jc w:val="center"/>
        <w:rPr>
          <w:b/>
        </w:rPr>
      </w:pPr>
      <w:r>
        <w:rPr>
          <w:b/>
        </w:rPr>
        <w:t>TECHNINĖ SPECIFIKACIJA</w:t>
      </w:r>
    </w:p>
    <w:p>
      <w:pPr>
        <w:pStyle w:val="Normal"/>
        <w:jc w:val="center"/>
        <w:rPr>
          <w:b/>
        </w:rPr>
      </w:pPr>
      <w:r>
        <w:rPr>
          <w:b/>
        </w:rPr>
      </w:r>
    </w:p>
    <w:p>
      <w:pPr>
        <w:pStyle w:val="Normal"/>
        <w:jc w:val="center"/>
        <w:rPr>
          <w:b/>
        </w:rPr>
      </w:pPr>
      <w:r>
        <w:rPr>
          <w:b/>
        </w:rPr>
        <w:t>BENDRO NAUDOJIMO PREKIŲ PIRKIMAS</w:t>
      </w:r>
    </w:p>
    <w:p>
      <w:pPr>
        <w:pStyle w:val="Normal"/>
        <w:jc w:val="center"/>
        <w:rPr>
          <w:b/>
        </w:rPr>
      </w:pPr>
      <w:r>
        <w:rPr>
          <w:b/>
        </w:rPr>
      </w:r>
    </w:p>
    <w:p>
      <w:pPr>
        <w:pStyle w:val="ListParagraph"/>
        <w:numPr>
          <w:ilvl w:val="0"/>
          <w:numId w:val="1"/>
        </w:numPr>
        <w:pBdr>
          <w:top w:val="single" w:sz="4" w:space="1" w:color="000000"/>
          <w:bottom w:val="single" w:sz="4" w:space="1" w:color="000000"/>
        </w:pBdr>
        <w:rPr>
          <w:rFonts w:ascii="Times New Roman" w:hAnsi="Times New Roman" w:cs="Times New Roman"/>
          <w:b/>
          <w:sz w:val="24"/>
          <w:szCs w:val="24"/>
        </w:rPr>
      </w:pPr>
      <w:r>
        <w:rPr>
          <w:rFonts w:cs="Times New Roman" w:ascii="Times New Roman" w:hAnsi="Times New Roman"/>
          <w:b/>
          <w:sz w:val="24"/>
          <w:szCs w:val="24"/>
        </w:rPr>
        <w:t>SĄVOKOS IR SUTRUMPINIMAI</w:t>
      </w:r>
    </w:p>
    <w:p>
      <w:pPr>
        <w:pStyle w:val="Normal"/>
        <w:ind w:firstLine="426"/>
        <w:rPr>
          <w:b/>
        </w:rPr>
      </w:pPr>
      <w:r>
        <w:rPr>
          <w:b/>
        </w:rPr>
      </w:r>
    </w:p>
    <w:p>
      <w:pPr>
        <w:pStyle w:val="ListParagraph"/>
        <w:numPr>
          <w:ilvl w:val="1"/>
          <w:numId w:val="1"/>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Pirkėjas – </w:t>
      </w:r>
      <w:r>
        <w:rPr>
          <w:rFonts w:cs="Times New Roman" w:ascii="Times New Roman" w:hAnsi="Times New Roman"/>
          <w:sz w:val="24"/>
          <w:szCs w:val="24"/>
        </w:rPr>
        <w:t>UAB „Marijampolės šilumos tinklai“.</w:t>
      </w:r>
    </w:p>
    <w:p>
      <w:pPr>
        <w:pStyle w:val="ListParagraph"/>
        <w:numPr>
          <w:ilvl w:val="1"/>
          <w:numId w:val="1"/>
        </w:numPr>
        <w:tabs>
          <w:tab w:val="clear" w:pos="720"/>
          <w:tab w:val="left" w:pos="851" w:leader="none"/>
        </w:tabs>
        <w:ind w:hanging="0" w:left="426"/>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Tiekėjas –</w:t>
      </w:r>
      <w:r>
        <w:rPr>
          <w:rFonts w:cs="Times New Roman" w:ascii="Times New Roman" w:hAnsi="Times New Roman"/>
          <w:sz w:val="24"/>
          <w:szCs w:val="24"/>
        </w:rPr>
        <w:t xml:space="preserve"> ūkio subjektas – fizinis asmuo, privatusis juridinis asmuo, viešasis juridinis asmuo, kitos organizacijos ir jų padaliniai ar tokių asmenų grupė, su kuriuo Pirkėjas sudaro sutartį. </w:t>
      </w:r>
    </w:p>
    <w:p>
      <w:pPr>
        <w:pStyle w:val="ListParagraph"/>
        <w:numPr>
          <w:ilvl w:val="1"/>
          <w:numId w:val="1"/>
        </w:numPr>
        <w:tabs>
          <w:tab w:val="clear" w:pos="720"/>
          <w:tab w:val="left" w:pos="851" w:leader="none"/>
        </w:tabs>
        <w:ind w:hanging="0" w:left="426"/>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Sutartis</w:t>
      </w:r>
      <w:r>
        <w:rPr>
          <w:rFonts w:cs="Times New Roman" w:ascii="Times New Roman" w:hAnsi="Times New Roman"/>
          <w:sz w:val="24"/>
          <w:szCs w:val="24"/>
        </w:rPr>
        <w:t xml:space="preserve"> – dėl ekonominės naudos vieno ar daugiau ūkio subjektų sudaroma pirkimo sutartis, kurios dalykas yra prekės, paslaugos ar darbai.</w:t>
      </w:r>
    </w:p>
    <w:p>
      <w:pPr>
        <w:pStyle w:val="ListParagraph"/>
        <w:numPr>
          <w:ilvl w:val="1"/>
          <w:numId w:val="1"/>
        </w:numPr>
        <w:tabs>
          <w:tab w:val="clear" w:pos="720"/>
          <w:tab w:val="left" w:pos="851" w:leader="none"/>
        </w:tabs>
        <w:ind w:hanging="0" w:left="426"/>
        <w:jc w:val="both"/>
        <w:rPr>
          <w:rFonts w:ascii="Times New Roman" w:hAnsi="Times New Roman" w:cs="Times New Roman"/>
          <w:b/>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Pirkimas – </w:t>
      </w:r>
      <w:r>
        <w:rPr>
          <w:rFonts w:cs="Times New Roman" w:ascii="Times New Roman" w:hAnsi="Times New Roman"/>
          <w:color w:val="000000"/>
          <w:sz w:val="24"/>
          <w:szCs w:val="24"/>
        </w:rPr>
        <w:t>Pirkėjo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w:t>
      </w:r>
    </w:p>
    <w:p>
      <w:pPr>
        <w:pStyle w:val="Normal"/>
        <w:tabs>
          <w:tab w:val="clear" w:pos="720"/>
          <w:tab w:val="left" w:pos="851" w:leader="none"/>
        </w:tabs>
        <w:jc w:val="both"/>
        <w:rPr>
          <w:b/>
        </w:rPr>
      </w:pPr>
      <w:r>
        <w:rPr>
          <w:b/>
        </w:rPr>
      </w:r>
    </w:p>
    <w:p>
      <w:pPr>
        <w:pStyle w:val="ListParagraph"/>
        <w:numPr>
          <w:ilvl w:val="0"/>
          <w:numId w:val="1"/>
        </w:numPr>
        <w:pBdr>
          <w:top w:val="single" w:sz="4" w:space="1" w:color="000000"/>
          <w:bottom w:val="single" w:sz="4" w:space="1" w:color="000000"/>
        </w:pBdr>
        <w:rPr>
          <w:rFonts w:ascii="Times New Roman" w:hAnsi="Times New Roman" w:cs="Times New Roman"/>
          <w:b/>
          <w:sz w:val="24"/>
          <w:szCs w:val="24"/>
        </w:rPr>
      </w:pPr>
      <w:r>
        <w:rPr>
          <w:rFonts w:cs="Times New Roman" w:ascii="Times New Roman" w:hAnsi="Times New Roman"/>
          <w:b/>
          <w:sz w:val="24"/>
          <w:szCs w:val="24"/>
        </w:rPr>
        <w:t>PIRKIMO OBJEKTAS</w:t>
      </w:r>
    </w:p>
    <w:p>
      <w:pPr>
        <w:pStyle w:val="ListParagraph"/>
        <w:rPr>
          <w:rFonts w:ascii="Times New Roman" w:hAnsi="Times New Roman" w:cs="Times New Roman"/>
          <w:b/>
          <w:sz w:val="24"/>
          <w:szCs w:val="24"/>
        </w:rPr>
      </w:pPr>
      <w:r>
        <w:rPr>
          <w:rFonts w:cs="Times New Roman" w:ascii="Times New Roman" w:hAnsi="Times New Roman"/>
          <w:b/>
          <w:sz w:val="24"/>
          <w:szCs w:val="24"/>
        </w:rPr>
      </w:r>
    </w:p>
    <w:p>
      <w:pPr>
        <w:pStyle w:val="ListParagraph"/>
        <w:numPr>
          <w:ilvl w:val="1"/>
          <w:numId w:val="1"/>
        </w:numPr>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UAB „Marijampolės šilumos tinklai“ (toliau Pirkėjas) perka bendro naudojimo prekes  Marijampolės mieste.</w:t>
      </w:r>
    </w:p>
    <w:p>
      <w:pPr>
        <w:pStyle w:val="ListParagraph"/>
        <w:numPr>
          <w:ilvl w:val="1"/>
          <w:numId w:val="1"/>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Pirkimo objektas</w:t>
      </w:r>
      <w:r>
        <w:rPr>
          <w:rFonts w:cs="Times New Roman" w:ascii="Times New Roman" w:hAnsi="Times New Roman"/>
          <w:sz w:val="24"/>
          <w:szCs w:val="24"/>
        </w:rPr>
        <w:t>:</w:t>
      </w:r>
    </w:p>
    <w:p>
      <w:pPr>
        <w:pStyle w:val="ListParagraph"/>
        <w:ind w:left="786"/>
        <w:jc w:val="both"/>
        <w:rPr>
          <w:rFonts w:ascii="Times New Roman" w:hAnsi="Times New Roman" w:cs="Times New Roman"/>
          <w:sz w:val="24"/>
          <w:szCs w:val="24"/>
        </w:rPr>
      </w:pPr>
      <w:r>
        <w:rPr>
          <w:rFonts w:cs="Times New Roman" w:ascii="Times New Roman" w:hAnsi="Times New Roman"/>
          <w:sz w:val="24"/>
          <w:szCs w:val="24"/>
        </w:rPr>
        <w:t xml:space="preserve">Perkamos prekės suskirstytos į 8 (aštuonias) prekių rūšis: </w:t>
      </w:r>
    </w:p>
    <w:p>
      <w:pPr>
        <w:pStyle w:val="ListParagraph"/>
        <w:ind w:left="786"/>
        <w:jc w:val="both"/>
        <w:rPr>
          <w:rFonts w:ascii="Times New Roman" w:hAnsi="Times New Roman" w:cs="Times New Roman"/>
          <w:sz w:val="24"/>
          <w:szCs w:val="24"/>
        </w:rPr>
      </w:pPr>
      <w:r>
        <w:rPr>
          <w:rFonts w:cs="Times New Roman" w:ascii="Times New Roman" w:hAnsi="Times New Roman"/>
          <w:sz w:val="24"/>
          <w:szCs w:val="24"/>
        </w:rPr>
        <w:t>I.</w:t>
        <w:tab/>
        <w:t>Metalai, metalo pjovimo ir šlifavimo diskai;</w:t>
      </w:r>
    </w:p>
    <w:p>
      <w:pPr>
        <w:pStyle w:val="ListParagraph"/>
        <w:ind w:left="786"/>
        <w:jc w:val="both"/>
        <w:rPr>
          <w:rFonts w:ascii="Times New Roman" w:hAnsi="Times New Roman" w:cs="Times New Roman"/>
          <w:sz w:val="24"/>
          <w:szCs w:val="24"/>
        </w:rPr>
      </w:pPr>
      <w:r>
        <w:rPr>
          <w:rFonts w:cs="Times New Roman" w:ascii="Times New Roman" w:hAnsi="Times New Roman"/>
          <w:sz w:val="24"/>
          <w:szCs w:val="24"/>
        </w:rPr>
        <w:t>II.</w:t>
        <w:tab/>
        <w:t>Varžtai, veržlės, poveržlės ir kt. tvirtinimo detalės;</w:t>
      </w:r>
    </w:p>
    <w:p>
      <w:pPr>
        <w:pStyle w:val="ListParagraph"/>
        <w:ind w:left="786"/>
        <w:jc w:val="both"/>
        <w:rPr>
          <w:rFonts w:ascii="Times New Roman" w:hAnsi="Times New Roman" w:cs="Times New Roman"/>
          <w:sz w:val="24"/>
          <w:szCs w:val="24"/>
        </w:rPr>
      </w:pPr>
      <w:r>
        <w:rPr>
          <w:rFonts w:cs="Times New Roman" w:ascii="Times New Roman" w:hAnsi="Times New Roman"/>
          <w:sz w:val="24"/>
          <w:szCs w:val="24"/>
        </w:rPr>
        <w:t>III.</w:t>
        <w:tab/>
        <w:t>Vamzdžiai, įvirinamos alkūnės;</w:t>
      </w:r>
    </w:p>
    <w:p>
      <w:pPr>
        <w:pStyle w:val="ListParagraph"/>
        <w:ind w:left="786"/>
        <w:jc w:val="both"/>
        <w:rPr>
          <w:rFonts w:ascii="Times New Roman" w:hAnsi="Times New Roman" w:cs="Times New Roman"/>
          <w:sz w:val="24"/>
          <w:szCs w:val="24"/>
        </w:rPr>
      </w:pPr>
      <w:r>
        <w:rPr>
          <w:rFonts w:cs="Times New Roman" w:ascii="Times New Roman" w:hAnsi="Times New Roman"/>
          <w:sz w:val="24"/>
          <w:szCs w:val="24"/>
        </w:rPr>
        <w:t>IV.</w:t>
        <w:tab/>
        <w:t>Ventiliai, santechninės jungtys;</w:t>
      </w:r>
    </w:p>
    <w:p>
      <w:pPr>
        <w:pStyle w:val="ListParagraph"/>
        <w:ind w:left="786"/>
        <w:jc w:val="both"/>
        <w:rPr>
          <w:rFonts w:ascii="Times New Roman" w:hAnsi="Times New Roman" w:cs="Times New Roman"/>
          <w:sz w:val="24"/>
          <w:szCs w:val="24"/>
        </w:rPr>
      </w:pPr>
      <w:r>
        <w:rPr>
          <w:rFonts w:cs="Times New Roman" w:ascii="Times New Roman" w:hAnsi="Times New Roman"/>
          <w:sz w:val="24"/>
          <w:szCs w:val="24"/>
        </w:rPr>
        <w:t>V.</w:t>
        <w:tab/>
        <w:t>Elektros prekės: variniai galios kabeliai, laidai, dirželiai laidų surišimui, gofruoti instaliaciniai vamzdžiai ir pan.;</w:t>
      </w:r>
    </w:p>
    <w:p>
      <w:pPr>
        <w:pStyle w:val="ListParagraph"/>
        <w:ind w:left="786"/>
        <w:jc w:val="both"/>
        <w:rPr>
          <w:rFonts w:ascii="Times New Roman" w:hAnsi="Times New Roman" w:cs="Times New Roman"/>
          <w:sz w:val="24"/>
          <w:szCs w:val="24"/>
        </w:rPr>
      </w:pPr>
      <w:r>
        <w:rPr>
          <w:rFonts w:cs="Times New Roman" w:ascii="Times New Roman" w:hAnsi="Times New Roman"/>
          <w:sz w:val="24"/>
          <w:szCs w:val="24"/>
        </w:rPr>
        <w:t>VI.</w:t>
        <w:tab/>
        <w:t>Elektriniai įrankiai ir priedai, mechaniniai ir kiti darbo įrankiai;</w:t>
      </w:r>
    </w:p>
    <w:p>
      <w:pPr>
        <w:pStyle w:val="ListParagraph"/>
        <w:ind w:left="786"/>
        <w:jc w:val="both"/>
        <w:rPr>
          <w:rFonts w:ascii="Times New Roman" w:hAnsi="Times New Roman" w:cs="Times New Roman"/>
          <w:sz w:val="24"/>
          <w:szCs w:val="24"/>
        </w:rPr>
      </w:pPr>
      <w:r>
        <w:rPr>
          <w:rFonts w:cs="Times New Roman" w:ascii="Times New Roman" w:hAnsi="Times New Roman"/>
          <w:sz w:val="24"/>
          <w:szCs w:val="24"/>
        </w:rPr>
        <w:t>VII.</w:t>
        <w:tab/>
        <w:t>Automobilinės prekės;</w:t>
      </w:r>
    </w:p>
    <w:p>
      <w:pPr>
        <w:pStyle w:val="ListParagraph"/>
        <w:ind w:left="786"/>
        <w:jc w:val="both"/>
        <w:rPr>
          <w:rFonts w:ascii="Times New Roman" w:hAnsi="Times New Roman" w:cs="Times New Roman"/>
          <w:sz w:val="24"/>
          <w:szCs w:val="24"/>
        </w:rPr>
      </w:pPr>
      <w:r>
        <w:rPr>
          <w:rFonts w:cs="Times New Roman" w:ascii="Times New Roman" w:hAnsi="Times New Roman"/>
          <w:sz w:val="24"/>
          <w:szCs w:val="24"/>
        </w:rPr>
        <w:t>VIII.</w:t>
        <w:tab/>
        <w:t>Kitos įvairios prekės.</w:t>
      </w:r>
    </w:p>
    <w:p>
      <w:pPr>
        <w:pStyle w:val="ListParagraph"/>
        <w:tabs>
          <w:tab w:val="clear" w:pos="720"/>
          <w:tab w:val="left" w:pos="851" w:leader="none"/>
        </w:tabs>
        <w:ind w:left="426"/>
        <w:jc w:val="both"/>
        <w:rPr>
          <w:rFonts w:ascii="Times New Roman" w:hAnsi="Times New Roman" w:cs="Times New Roman"/>
          <w:i/>
          <w:i/>
          <w:sz w:val="24"/>
          <w:szCs w:val="24"/>
        </w:rPr>
      </w:pPr>
      <w:r>
        <w:rPr>
          <w:rFonts w:cs="Times New Roman" w:ascii="Times New Roman" w:hAnsi="Times New Roman"/>
          <w:i/>
          <w:sz w:val="24"/>
          <w:szCs w:val="24"/>
        </w:rPr>
      </w:r>
    </w:p>
    <w:p>
      <w:pPr>
        <w:pStyle w:val="ListParagraph"/>
        <w:numPr>
          <w:ilvl w:val="0"/>
          <w:numId w:val="1"/>
        </w:numPr>
        <w:pBdr>
          <w:top w:val="single" w:sz="4" w:space="1" w:color="000000"/>
          <w:bottom w:val="single" w:sz="4" w:space="1" w:color="000000"/>
        </w:pBdr>
        <w:rPr>
          <w:rFonts w:ascii="Times New Roman" w:hAnsi="Times New Roman" w:cs="Times New Roman"/>
          <w:b/>
          <w:sz w:val="24"/>
          <w:szCs w:val="24"/>
        </w:rPr>
      </w:pPr>
      <w:r>
        <w:rPr>
          <w:rFonts w:cs="Times New Roman" w:ascii="Times New Roman" w:hAnsi="Times New Roman"/>
          <w:b/>
          <w:sz w:val="24"/>
          <w:szCs w:val="24"/>
        </w:rPr>
        <w:t>PIRKIMO OBJEKTO APIMTYS</w:t>
      </w:r>
    </w:p>
    <w:p>
      <w:pPr>
        <w:pStyle w:val="Normal"/>
        <w:rPr>
          <w:b/>
        </w:rPr>
      </w:pPr>
      <w:r>
        <w:rPr>
          <w:b/>
        </w:rPr>
      </w:r>
    </w:p>
    <w:p>
      <w:pPr>
        <w:pStyle w:val="ListParagraph"/>
        <w:numPr>
          <w:ilvl w:val="1"/>
          <w:numId w:val="1"/>
        </w:numPr>
        <w:jc w:val="both"/>
        <w:rPr>
          <w:rFonts w:ascii="Times New Roman" w:hAnsi="Times New Roman" w:cs="Times New Roman"/>
          <w:b/>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Perkamų Prekių techninės charakteristikos bei preliminarūs kiekiai pateikti Priede Nr. 1.</w:t>
      </w:r>
    </w:p>
    <w:p>
      <w:pPr>
        <w:pStyle w:val="ListParagraph"/>
        <w:numPr>
          <w:ilvl w:val="1"/>
          <w:numId w:val="1"/>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Užsakymai formuojami ir Prekės perkamos pagal Pirkėjo poreikį, atsižvelgiant į jų sunaudojimą. Pirkėjas neįsipareigoja nupirkti visų Priede Nr. 1 išvardintų prekių už visą sutarties sumą.</w:t>
      </w:r>
    </w:p>
    <w:p>
      <w:pPr>
        <w:pStyle w:val="ListParagraph"/>
        <w:numPr>
          <w:ilvl w:val="1"/>
          <w:numId w:val="1"/>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Numatomų įsigyti prekių sąrašas yra preliminarus ir nėra baigtinis. Pirkėjas gali pirkti kitų, Priede Nr. 1 nenurodytų Prekių iš Tiekėjo turimo prekių asortimento. </w:t>
      </w:r>
    </w:p>
    <w:p>
      <w:pPr>
        <w:pStyle w:val="ListParagraph"/>
        <w:ind w:left="786"/>
        <w:jc w:val="both"/>
        <w:rPr>
          <w:b/>
        </w:rPr>
      </w:pPr>
      <w:r>
        <w:rPr>
          <w:b/>
        </w:rPr>
      </w:r>
    </w:p>
    <w:p>
      <w:pPr>
        <w:pStyle w:val="Normal"/>
        <w:pBdr>
          <w:top w:val="single" w:sz="4" w:space="1" w:color="000000"/>
          <w:bottom w:val="single" w:sz="4" w:space="1" w:color="000000"/>
        </w:pBdr>
        <w:ind w:left="426"/>
        <w:jc w:val="both"/>
        <w:rPr>
          <w:b/>
        </w:rPr>
      </w:pPr>
      <w:r>
        <w:rPr>
          <w:b/>
        </w:rPr>
        <w:t>4. SUTARTINIŲ ĮSIPAREIGOJIMŲ VYKDYMO VIETA</w:t>
      </w:r>
    </w:p>
    <w:p>
      <w:pPr>
        <w:pStyle w:val="Normal"/>
        <w:ind w:left="426"/>
        <w:jc w:val="both"/>
        <w:rPr>
          <w:b/>
        </w:rPr>
      </w:pPr>
      <w:r>
        <w:rPr>
          <w:b/>
        </w:rPr>
      </w:r>
    </w:p>
    <w:p>
      <w:pPr>
        <w:pStyle w:val="Normal"/>
        <w:tabs>
          <w:tab w:val="clear" w:pos="720"/>
          <w:tab w:val="left" w:pos="709" w:leader="none"/>
          <w:tab w:val="left" w:pos="851" w:leader="none"/>
        </w:tabs>
        <w:ind w:left="426"/>
        <w:jc w:val="both"/>
        <w:rPr/>
      </w:pPr>
      <w:r>
        <w:rPr>
          <w:b/>
        </w:rPr>
        <w:t xml:space="preserve">4.1. </w:t>
      </w:r>
      <w:r>
        <w:rPr/>
        <w:t>Prekes Pirkėjas iš prekybos sandėlio išsiveža savo transportu.</w:t>
      </w:r>
    </w:p>
    <w:p>
      <w:pPr>
        <w:pStyle w:val="Normal"/>
        <w:tabs>
          <w:tab w:val="clear" w:pos="720"/>
          <w:tab w:val="left" w:pos="709" w:leader="none"/>
          <w:tab w:val="left" w:pos="851" w:leader="none"/>
        </w:tabs>
        <w:ind w:left="426"/>
        <w:jc w:val="both"/>
        <w:rPr/>
      </w:pPr>
      <w:r>
        <w:rPr>
          <w:b/>
        </w:rPr>
        <w:t>4.2.</w:t>
      </w:r>
      <w:r>
        <w:rPr/>
        <w:t xml:space="preserve">.Tiekėjas turi turėti bent 1 (vieną)  prekybos sandėlį: Marijampolės miesto ribose. </w:t>
      </w:r>
    </w:p>
    <w:p>
      <w:pPr>
        <w:pStyle w:val="Normal"/>
        <w:tabs>
          <w:tab w:val="clear" w:pos="720"/>
          <w:tab w:val="left" w:pos="709" w:leader="none"/>
          <w:tab w:val="left" w:pos="851" w:leader="none"/>
        </w:tabs>
        <w:ind w:left="426"/>
        <w:jc w:val="both"/>
        <w:rPr/>
      </w:pPr>
      <w:r>
        <w:rPr/>
      </w:r>
    </w:p>
    <w:p>
      <w:pPr>
        <w:pStyle w:val="Normal"/>
        <w:tabs>
          <w:tab w:val="clear" w:pos="720"/>
          <w:tab w:val="left" w:pos="709" w:leader="none"/>
          <w:tab w:val="left" w:pos="851" w:leader="none"/>
        </w:tabs>
        <w:ind w:left="426"/>
        <w:jc w:val="both"/>
        <w:rPr/>
      </w:pPr>
      <w:r>
        <w:rPr/>
      </w:r>
    </w:p>
    <w:p>
      <w:pPr>
        <w:pStyle w:val="ListParagraph"/>
        <w:numPr>
          <w:ilvl w:val="0"/>
          <w:numId w:val="2"/>
        </w:numPr>
        <w:pBdr>
          <w:top w:val="single" w:sz="4" w:space="1" w:color="000000"/>
          <w:bottom w:val="single" w:sz="4" w:space="1" w:color="000000"/>
        </w:pBdr>
        <w:jc w:val="both"/>
        <w:rPr>
          <w:rFonts w:ascii="Times New Roman" w:hAnsi="Times New Roman" w:cs="Times New Roman"/>
          <w:b/>
          <w:sz w:val="24"/>
          <w:szCs w:val="24"/>
        </w:rPr>
      </w:pPr>
      <w:r>
        <w:rPr>
          <w:rFonts w:cs="Times New Roman" w:ascii="Times New Roman" w:hAnsi="Times New Roman"/>
          <w:b/>
          <w:sz w:val="24"/>
          <w:szCs w:val="24"/>
        </w:rPr>
        <w:t>REIKALAVIMAI PIRKIMO OBJEKTUI</w:t>
      </w:r>
    </w:p>
    <w:p>
      <w:pPr>
        <w:pStyle w:val="Normal"/>
        <w:tabs>
          <w:tab w:val="clear" w:pos="720"/>
          <w:tab w:val="left" w:pos="851" w:leader="none"/>
        </w:tabs>
        <w:jc w:val="both"/>
        <w:rPr/>
      </w:pPr>
      <w:r>
        <w:rPr/>
      </w:r>
    </w:p>
    <w:p>
      <w:pPr>
        <w:pStyle w:val="ListParagraph"/>
        <w:numPr>
          <w:ilvl w:val="1"/>
          <w:numId w:val="2"/>
        </w:numPr>
        <w:tabs>
          <w:tab w:val="clear" w:pos="720"/>
          <w:tab w:val="left" w:pos="851" w:leader="none"/>
        </w:tabs>
        <w:jc w:val="both"/>
        <w:rPr>
          <w:rFonts w:ascii="Times New Roman" w:hAnsi="Times New Roman" w:cs="Times New Roman"/>
          <w:i/>
          <w:i/>
          <w:sz w:val="24"/>
          <w:szCs w:val="24"/>
        </w:rPr>
      </w:pPr>
      <w:r>
        <w:rPr>
          <w:rFonts w:cs="Times New Roman" w:ascii="Times New Roman" w:hAnsi="Times New Roman"/>
          <w:sz w:val="24"/>
          <w:szCs w:val="24"/>
        </w:rPr>
        <w:t>Perkamo objekto aprašymai yra nurodyti Priede Nr. 1.</w:t>
      </w:r>
    </w:p>
    <w:p>
      <w:pPr>
        <w:pStyle w:val="ListParagraph"/>
        <w:numPr>
          <w:ilvl w:val="1"/>
          <w:numId w:val="2"/>
        </w:numPr>
        <w:tabs>
          <w:tab w:val="clear" w:pos="720"/>
          <w:tab w:val="left" w:pos="851" w:leader="none"/>
        </w:tabs>
        <w:jc w:val="both"/>
        <w:rPr>
          <w:rFonts w:ascii="Times New Roman" w:hAnsi="Times New Roman" w:cs="Times New Roman"/>
          <w:sz w:val="24"/>
          <w:szCs w:val="24"/>
        </w:rPr>
      </w:pPr>
      <w:r>
        <w:rPr>
          <w:rFonts w:cs="Times New Roman" w:ascii="Times New Roman" w:hAnsi="Times New Roman"/>
          <w:sz w:val="24"/>
          <w:szCs w:val="24"/>
        </w:rPr>
        <w:t xml:space="preserve">Tiekėjas įsipareigoja tiekti tik kokybiškas prekes, privalomos sertifikuoti prekės turi atitikti joms keliamus Europos Sąjungos arba tarptautinių standartų reikalavimus. </w:t>
      </w:r>
    </w:p>
    <w:p>
      <w:pPr>
        <w:pStyle w:val="ListParagraph"/>
        <w:numPr>
          <w:ilvl w:val="1"/>
          <w:numId w:val="2"/>
        </w:numPr>
        <w:tabs>
          <w:tab w:val="clear" w:pos="720"/>
          <w:tab w:val="left" w:pos="851" w:leader="none"/>
        </w:tabs>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Tiekėjas įsipareigoja konsultuoti Pirkėjo atstovą/atstovus teikiamų prekių naudojimo klausimais.</w:t>
      </w:r>
    </w:p>
    <w:p>
      <w:pPr>
        <w:pStyle w:val="ListParagraph"/>
        <w:numPr>
          <w:ilvl w:val="1"/>
          <w:numId w:val="2"/>
        </w:numPr>
        <w:tabs>
          <w:tab w:val="clear" w:pos="720"/>
          <w:tab w:val="left" w:pos="851" w:leader="none"/>
        </w:tabs>
        <w:ind w:hanging="0" w:left="426"/>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Tiekėjas materialiai atsako už prekių atsitiktinio sunaikinimo, sugadinimo, praradimo riziką iki pilno prekių perdavimo Pirkėjui momento. </w:t>
      </w:r>
    </w:p>
    <w:p>
      <w:pPr>
        <w:pStyle w:val="Normal"/>
        <w:tabs>
          <w:tab w:val="clear" w:pos="720"/>
          <w:tab w:val="left" w:pos="851" w:leader="none"/>
        </w:tabs>
        <w:jc w:val="both"/>
        <w:rPr/>
      </w:pPr>
      <w:r>
        <w:rPr/>
      </w:r>
    </w:p>
    <w:p>
      <w:pPr>
        <w:pStyle w:val="ListParagraph"/>
        <w:numPr>
          <w:ilvl w:val="0"/>
          <w:numId w:val="2"/>
        </w:numPr>
        <w:pBdr>
          <w:top w:val="single" w:sz="4" w:space="1" w:color="000000"/>
          <w:bottom w:val="single" w:sz="4" w:space="1" w:color="000000"/>
        </w:pBdr>
        <w:tabs>
          <w:tab w:val="clear" w:pos="720"/>
          <w:tab w:val="left" w:pos="851" w:leader="none"/>
        </w:tabs>
        <w:jc w:val="both"/>
        <w:rPr>
          <w:rFonts w:ascii="Times New Roman" w:hAnsi="Times New Roman" w:cs="Times New Roman"/>
          <w:b/>
          <w:sz w:val="24"/>
          <w:szCs w:val="24"/>
        </w:rPr>
      </w:pPr>
      <w:r>
        <w:rPr>
          <w:rFonts w:cs="Times New Roman" w:ascii="Times New Roman" w:hAnsi="Times New Roman"/>
          <w:b/>
          <w:sz w:val="24"/>
          <w:szCs w:val="24"/>
        </w:rPr>
        <w:t>KOKYBĖ IR TRŪKUMŲ ŠALINIMAS</w:t>
      </w:r>
    </w:p>
    <w:p>
      <w:pPr>
        <w:pStyle w:val="ListParagraph"/>
        <w:tabs>
          <w:tab w:val="clear" w:pos="720"/>
          <w:tab w:val="left" w:pos="851" w:leader="none"/>
        </w:tabs>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2"/>
        </w:numPr>
        <w:tabs>
          <w:tab w:val="clear" w:pos="720"/>
          <w:tab w:val="left" w:pos="851" w:leader="none"/>
        </w:tabs>
        <w:jc w:val="both"/>
        <w:rPr>
          <w:rFonts w:ascii="Times New Roman" w:hAnsi="Times New Roman" w:cs="Times New Roman"/>
          <w:sz w:val="24"/>
          <w:szCs w:val="24"/>
        </w:rPr>
      </w:pPr>
      <w:r>
        <w:rPr>
          <w:b/>
        </w:rPr>
        <w:t xml:space="preserve"> </w:t>
      </w:r>
      <w:r>
        <w:rPr>
          <w:rFonts w:cs="Times New Roman" w:ascii="Times New Roman" w:hAnsi="Times New Roman"/>
          <w:sz w:val="24"/>
          <w:szCs w:val="24"/>
        </w:rPr>
        <w:t>Tiekėjas garantuoja, kad parduodamų prekių kokybė atitinka techninėse sąlygose nurodytus specifikacijų reikalavimus, Lietuvos Respublikoje galiojančias taisykles, teisės aktus, normatyvus. Prekės turi turėti visus sertifikatus ir pažymėjimus, kurie leidžia naudoti šias priemones Lietuvos Respublikoje.</w:t>
      </w:r>
    </w:p>
    <w:p>
      <w:pPr>
        <w:pStyle w:val="ListParagraph"/>
        <w:numPr>
          <w:ilvl w:val="1"/>
          <w:numId w:val="2"/>
        </w:numPr>
        <w:tabs>
          <w:tab w:val="clear" w:pos="720"/>
          <w:tab w:val="left" w:pos="851" w:leader="none"/>
        </w:tabs>
        <w:jc w:val="both"/>
        <w:rPr>
          <w:rFonts w:ascii="Times New Roman" w:hAnsi="Times New Roman" w:cs="Times New Roman"/>
          <w:sz w:val="24"/>
          <w:szCs w:val="24"/>
        </w:rPr>
      </w:pPr>
      <w:r>
        <w:rPr>
          <w:rFonts w:cs="Times New Roman" w:ascii="Times New Roman" w:hAnsi="Times New Roman"/>
          <w:sz w:val="24"/>
          <w:szCs w:val="24"/>
        </w:rPr>
        <w:t>Tiekėjas atsako už prekių, jeigu neįrodo, kad defektai atsirado po prekių pateikimo Pirkėjui dėl to, kad Pirkėjas pažeidė prekių naudojimo ar saugojimo taisykles, arba dėl trečiųjų asmenų (jais nelaikomi prekių gamintojas ar asmenys, susiję su prekių pateikimu Tiekėjui) kaltės ar nenugalimos jėgos.</w:t>
      </w:r>
    </w:p>
    <w:p>
      <w:pPr>
        <w:pStyle w:val="Normal"/>
        <w:tabs>
          <w:tab w:val="clear" w:pos="720"/>
          <w:tab w:val="left" w:pos="851" w:leader="none"/>
        </w:tabs>
        <w:jc w:val="both"/>
        <w:rPr/>
      </w:pPr>
      <w:r>
        <w:rPr/>
      </w:r>
    </w:p>
    <w:p>
      <w:pPr>
        <w:pStyle w:val="ListParagraph"/>
        <w:numPr>
          <w:ilvl w:val="0"/>
          <w:numId w:val="2"/>
        </w:numPr>
        <w:pBdr>
          <w:top w:val="single" w:sz="4" w:space="1" w:color="000000"/>
          <w:bottom w:val="single" w:sz="4" w:space="1" w:color="000000"/>
        </w:pBdr>
        <w:tabs>
          <w:tab w:val="clear" w:pos="720"/>
          <w:tab w:val="left" w:pos="851" w:leader="none"/>
        </w:tabs>
        <w:jc w:val="both"/>
        <w:rPr>
          <w:rFonts w:ascii="Times New Roman" w:hAnsi="Times New Roman" w:cs="Times New Roman"/>
          <w:b/>
          <w:sz w:val="24"/>
          <w:szCs w:val="24"/>
        </w:rPr>
      </w:pPr>
      <w:r>
        <w:rPr>
          <w:rFonts w:cs="Times New Roman" w:ascii="Times New Roman" w:hAnsi="Times New Roman"/>
          <w:b/>
          <w:sz w:val="24"/>
          <w:szCs w:val="24"/>
        </w:rPr>
        <w:t>SUTARTINIŲ ĮSIPAREIGOJIMŲ VYKDYMO TVARKA, TERMINAI IR PREKIŲ KAINOS</w:t>
      </w:r>
    </w:p>
    <w:p>
      <w:pPr>
        <w:pStyle w:val="Normal"/>
        <w:tabs>
          <w:tab w:val="clear" w:pos="720"/>
          <w:tab w:val="left" w:pos="851" w:leader="none"/>
        </w:tabs>
        <w:jc w:val="both"/>
        <w:rPr>
          <w:b/>
        </w:rPr>
      </w:pPr>
      <w:r>
        <w:rPr>
          <w:b/>
        </w:rPr>
      </w:r>
    </w:p>
    <w:p>
      <w:pPr>
        <w:pStyle w:val="ListParagraph"/>
        <w:numPr>
          <w:ilvl w:val="1"/>
          <w:numId w:val="2"/>
        </w:numPr>
        <w:tabs>
          <w:tab w:val="clear" w:pos="720"/>
          <w:tab w:val="left" w:pos="851" w:leader="none"/>
        </w:tabs>
        <w:jc w:val="both"/>
        <w:rPr>
          <w:rFonts w:ascii="Times New Roman" w:hAnsi="Times New Roman" w:cs="Times New Roman"/>
          <w:sz w:val="24"/>
          <w:szCs w:val="24"/>
        </w:rPr>
      </w:pPr>
      <w:r>
        <w:rPr>
          <w:b/>
        </w:rPr>
        <w:t xml:space="preserve"> </w:t>
      </w:r>
      <w:r>
        <w:rPr>
          <w:rFonts w:cs="Times New Roman" w:ascii="Times New Roman" w:hAnsi="Times New Roman"/>
          <w:sz w:val="24"/>
          <w:szCs w:val="24"/>
        </w:rPr>
        <w:t xml:space="preserve">Prekės Pirkėjui išduodamos pagal Pirkėjo nurodytą įgaliotų asmenų sąrašą, turinčių teisę paimti prekes iš Tiekėjo, pateikus galiojantį asmens tapatybę įrodantį dokumentą (pasą arba asmens tapatybės kortelę). </w:t>
      </w:r>
    </w:p>
    <w:p>
      <w:pPr>
        <w:pStyle w:val="ListParagraph"/>
        <w:numPr>
          <w:ilvl w:val="1"/>
          <w:numId w:val="2"/>
        </w:numPr>
        <w:tabs>
          <w:tab w:val="clear" w:pos="720"/>
          <w:tab w:val="left" w:pos="851" w:leader="none"/>
        </w:tabs>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Prekių užsakymus Pirkėjas įsipareigoja pateikti raštu (elektroniniu paštu), telefonu arba pardavimo vietoje.</w:t>
      </w:r>
    </w:p>
    <w:p>
      <w:pPr>
        <w:pStyle w:val="ListParagraph"/>
        <w:numPr>
          <w:ilvl w:val="1"/>
          <w:numId w:val="2"/>
        </w:numPr>
        <w:tabs>
          <w:tab w:val="clear" w:pos="720"/>
          <w:tab w:val="left" w:pos="851" w:leader="none"/>
        </w:tabs>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Pasiūlyme Prekių kaina turi būti išreikšta Eurais už mato vienetą (vnt., pak., rul. ir pan.), nurodytą Priede Nr. 1, ir turi atitikti pasiūlymo pateikimo dieną galiojančias, Tiekėjo pardavimo vietose kainoženkliuose nurodytas kainas. Pirkėjas turi teisę patikrinti ir sulyginti Tiekėjo pasiūlyme nurodytas kainas su kainoženkliuose nurodytomis kainomis.</w:t>
      </w:r>
    </w:p>
    <w:p>
      <w:pPr>
        <w:pStyle w:val="ListParagraph"/>
        <w:numPr>
          <w:ilvl w:val="1"/>
          <w:numId w:val="2"/>
        </w:numPr>
        <w:tabs>
          <w:tab w:val="clear" w:pos="720"/>
          <w:tab w:val="left" w:pos="851" w:leader="none"/>
        </w:tabs>
        <w:jc w:val="both"/>
        <w:rPr>
          <w:rFonts w:ascii="Times New Roman" w:hAnsi="Times New Roman" w:cs="Times New Roman"/>
          <w:sz w:val="24"/>
          <w:szCs w:val="24"/>
        </w:rPr>
      </w:pPr>
      <w:r>
        <w:rPr>
          <w:rFonts w:cs="Times New Roman" w:ascii="Times New Roman" w:hAnsi="Times New Roman"/>
          <w:sz w:val="24"/>
          <w:szCs w:val="24"/>
        </w:rPr>
        <w:t>Prekės bus perkamos kainoženkliuose nurodytomis kainomis, taikant Tiekėjo pasiūlytą nuolaidą kiekvienai iš prekių rūšių.</w:t>
      </w:r>
    </w:p>
    <w:p>
      <w:pPr>
        <w:pStyle w:val="ListParagraph"/>
        <w:numPr>
          <w:ilvl w:val="1"/>
          <w:numId w:val="2"/>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Tiekėjas turi suteikti Pirkėjui neprocentinį prekinį kreditą, kuris turi būti ne mažesnis negu:</w:t>
      </w:r>
    </w:p>
    <w:p>
      <w:pPr>
        <w:pStyle w:val="ListParagraph"/>
        <w:ind w:left="786"/>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10.000,00 Eur. (dešimt tūkstančių Eur., 00 ct) kiekvieną mėnesį.</w:t>
      </w:r>
    </w:p>
    <w:p>
      <w:pPr>
        <w:pStyle w:val="Normal"/>
        <w:tabs>
          <w:tab w:val="clear" w:pos="720"/>
          <w:tab w:val="left" w:pos="851" w:leader="none"/>
        </w:tabs>
        <w:jc w:val="both"/>
        <w:rPr/>
      </w:pPr>
      <w:r>
        <w:rPr/>
      </w:r>
    </w:p>
    <w:p>
      <w:pPr>
        <w:pStyle w:val="ListParagraph"/>
        <w:numPr>
          <w:ilvl w:val="0"/>
          <w:numId w:val="2"/>
        </w:numPr>
        <w:pBdr>
          <w:top w:val="single" w:sz="4" w:space="1" w:color="000000"/>
          <w:bottom w:val="single" w:sz="4" w:space="1" w:color="000000"/>
        </w:pBdr>
        <w:tabs>
          <w:tab w:val="clear" w:pos="720"/>
          <w:tab w:val="left" w:pos="851" w:leader="none"/>
        </w:tabs>
        <w:jc w:val="both"/>
        <w:rPr>
          <w:rFonts w:ascii="Times New Roman" w:hAnsi="Times New Roman" w:cs="Times New Roman"/>
          <w:b/>
          <w:sz w:val="24"/>
          <w:szCs w:val="24"/>
        </w:rPr>
      </w:pPr>
      <w:r>
        <w:rPr>
          <w:rFonts w:cs="Times New Roman" w:ascii="Times New Roman" w:hAnsi="Times New Roman"/>
          <w:b/>
          <w:sz w:val="24"/>
          <w:szCs w:val="24"/>
        </w:rPr>
        <w:t>GARANTINIAI ĮSIPAREIGOJIMAI</w:t>
      </w:r>
    </w:p>
    <w:p>
      <w:pPr>
        <w:pStyle w:val="ListParagraph"/>
        <w:tabs>
          <w:tab w:val="clear" w:pos="720"/>
          <w:tab w:val="left" w:pos="851" w:leader="none"/>
        </w:tabs>
        <w:ind w:left="426"/>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2"/>
        </w:numPr>
        <w:tabs>
          <w:tab w:val="clear" w:pos="720"/>
          <w:tab w:val="left" w:pos="851" w:leader="none"/>
        </w:tabs>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Tiekėjas atsako už prekių kiekį, kokybę ir komplektiškumą iki jų perdavimo Pirkėjui momento, o taip pat prekių garantijos termino metu.</w:t>
      </w:r>
    </w:p>
    <w:p>
      <w:pPr>
        <w:pStyle w:val="ListParagraph"/>
        <w:numPr>
          <w:ilvl w:val="1"/>
          <w:numId w:val="2"/>
        </w:numPr>
        <w:tabs>
          <w:tab w:val="clear" w:pos="720"/>
          <w:tab w:val="left" w:pos="851" w:leader="none"/>
        </w:tabs>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Tiekėjas visoms parduodamoms prekėms turi suteikti gamintojo garantiją.</w:t>
      </w:r>
    </w:p>
    <w:p>
      <w:pPr>
        <w:pStyle w:val="ListParagraph"/>
        <w:numPr>
          <w:ilvl w:val="1"/>
          <w:numId w:val="2"/>
        </w:numPr>
        <w:tabs>
          <w:tab w:val="clear" w:pos="720"/>
          <w:tab w:val="left" w:pos="851" w:leader="none"/>
        </w:tabs>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Perdavus prekes Pirkėjui, už prekių kiekį, kokybę ir komplektiškumą atsako Tiekėjas.</w:t>
      </w:r>
    </w:p>
    <w:p>
      <w:pPr>
        <w:pStyle w:val="ListParagraph"/>
        <w:numPr>
          <w:ilvl w:val="1"/>
          <w:numId w:val="2"/>
        </w:numPr>
        <w:tabs>
          <w:tab w:val="clear" w:pos="720"/>
          <w:tab w:val="left" w:pos="851" w:leader="none"/>
        </w:tabs>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Jeigu yra prekių trūkumų ar defektų, už kuriuos atsakingas Tiekėjas ir kurių negalima nustatyti iškarto priimant prekes, Pirkėjas turi raštu informuoti Tiekėją apie prekių trūkumus per 5 (penkias) kalendorines dienas nuo prekių perdavimo dienos. Tiekėjas turi šias prekes pakeisti į kokybiškas arba grąžinti už jas sumokėtus pinigus, arba neatlygintinai pašalinti trūkumus.</w:t>
      </w:r>
    </w:p>
    <w:p>
      <w:pPr>
        <w:pStyle w:val="ListParagraph"/>
        <w:numPr>
          <w:ilvl w:val="1"/>
          <w:numId w:val="2"/>
        </w:numPr>
        <w:tabs>
          <w:tab w:val="clear" w:pos="720"/>
          <w:tab w:val="left" w:pos="851" w:leader="none"/>
        </w:tabs>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Kartu su prekėmis Tiekėjas pateikia jų aprašymus, technines charakteristikas, vartotojo instrukciją, originalo ir lietuvių kalbomis, Pirkėjui pareikalavus, pateikia atitikties sertifikatų ar kito atitikties dokumento, išduoto toms prekėms, patvirtintas kopijas.</w:t>
      </w:r>
    </w:p>
    <w:p>
      <w:pPr>
        <w:pStyle w:val="ListParagraph"/>
        <w:tabs>
          <w:tab w:val="clear" w:pos="720"/>
          <w:tab w:val="left" w:pos="851" w:leader="none"/>
        </w:tabs>
        <w:ind w:left="426"/>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pBdr>
          <w:top w:val="single" w:sz="4" w:space="1" w:color="000000"/>
          <w:bottom w:val="single" w:sz="4" w:space="1" w:color="000000"/>
        </w:pBdr>
        <w:tabs>
          <w:tab w:val="clear" w:pos="720"/>
          <w:tab w:val="left" w:pos="851" w:leader="none"/>
        </w:tabs>
        <w:jc w:val="both"/>
        <w:rPr>
          <w:rFonts w:ascii="Times New Roman" w:hAnsi="Times New Roman" w:cs="Times New Roman"/>
          <w:b/>
          <w:sz w:val="24"/>
          <w:szCs w:val="24"/>
        </w:rPr>
      </w:pPr>
      <w:r>
        <w:rPr>
          <w:rFonts w:cs="Times New Roman" w:ascii="Times New Roman" w:hAnsi="Times New Roman"/>
          <w:b/>
          <w:sz w:val="24"/>
          <w:szCs w:val="24"/>
        </w:rPr>
        <w:t>SUTARTIES GALIOJIMO TERMINAS</w:t>
      </w:r>
    </w:p>
    <w:p>
      <w:pPr>
        <w:pStyle w:val="Normal"/>
        <w:tabs>
          <w:tab w:val="clear" w:pos="720"/>
          <w:tab w:val="left" w:pos="851" w:leader="none"/>
        </w:tabs>
        <w:jc w:val="both"/>
        <w:rPr>
          <w:b/>
        </w:rPr>
      </w:pPr>
      <w:r>
        <w:rPr>
          <w:b/>
        </w:rPr>
      </w:r>
    </w:p>
    <w:p>
      <w:pPr>
        <w:pStyle w:val="ListParagraph"/>
        <w:numPr>
          <w:ilvl w:val="1"/>
          <w:numId w:val="2"/>
        </w:numPr>
        <w:tabs>
          <w:tab w:val="clear" w:pos="720"/>
          <w:tab w:val="left" w:pos="851" w:leader="none"/>
          <w:tab w:val="left" w:pos="993" w:leader="none"/>
        </w:tabs>
        <w:jc w:val="both"/>
        <w:rPr>
          <w:rFonts w:ascii="Times New Roman" w:hAnsi="Times New Roman" w:cs="Times New Roman"/>
          <w:sz w:val="24"/>
          <w:szCs w:val="24"/>
        </w:rPr>
      </w:pPr>
      <w:r>
        <w:rPr>
          <w:b/>
          <w:sz w:val="24"/>
          <w:szCs w:val="24"/>
        </w:rPr>
        <w:t xml:space="preserve"> </w:t>
      </w:r>
      <w:r>
        <w:rPr>
          <w:rFonts w:cs="Times New Roman" w:ascii="Times New Roman" w:hAnsi="Times New Roman"/>
          <w:sz w:val="24"/>
          <w:szCs w:val="24"/>
        </w:rPr>
        <w:t>Sutartis įsigalioja: nuo jos pasirašymo dienos ir galioja iki kol bus išnaudota maksimali sutarties vertė, bet ne ilgiau negu 3 (trejus) kalendorinius metus.</w:t>
      </w:r>
    </w:p>
    <w:p>
      <w:pPr>
        <w:pStyle w:val="ListParagraph"/>
        <w:ind w:left="786"/>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51" w:leader="none"/>
          <w:tab w:val="left" w:pos="993" w:leader="none"/>
        </w:tabs>
        <w:jc w:val="both"/>
        <w:rPr/>
      </w:pPr>
      <w:r>
        <w:rPr/>
      </w:r>
    </w:p>
    <w:p>
      <w:pPr>
        <w:pStyle w:val="ListParagraph"/>
        <w:tabs>
          <w:tab w:val="clear" w:pos="720"/>
          <w:tab w:val="left" w:pos="851" w:leader="none"/>
          <w:tab w:val="left" w:pos="993" w:leader="none"/>
        </w:tabs>
        <w:ind w:left="786"/>
        <w:jc w:val="both"/>
        <w:rPr>
          <w:b/>
        </w:rPr>
      </w:pPr>
      <w:r>
        <w:rPr>
          <w:b/>
        </w:rPr>
      </w:r>
    </w:p>
    <w:p>
      <w:pPr>
        <w:pStyle w:val="Normal"/>
        <w:tabs>
          <w:tab w:val="clear" w:pos="720"/>
          <w:tab w:val="left" w:pos="851" w:leader="none"/>
        </w:tabs>
        <w:jc w:val="both"/>
        <w:rPr>
          <w:b/>
        </w:rPr>
      </w:pPr>
      <w:r>
        <w:rPr>
          <w:b/>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644" w:right="624" w:gutter="0" w:header="680" w:top="1077" w:footer="794" w:bottom="119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Calibri">
    <w:charset w:val="ba"/>
    <w:family w:val="swiss"/>
    <w:pitch w:val="variable"/>
  </w:font>
  <w:font w:name="Tahoma">
    <w:charset w:val="ba"/>
    <w:family w:val="swiss"/>
    <w:pitch w:val="variable"/>
  </w:font>
  <w:font w:name="Liberation Sans">
    <w:altName w:val="Arial"/>
    <w:charset w:val="ba"/>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i/>
        <w:i/>
        <w:sz w:val="20"/>
        <w:szCs w:val="20"/>
      </w:rPr>
    </w:pPr>
    <w:r>
      <w:rPr>
        <w:i/>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786" w:hanging="360"/>
      </w:pPr>
      <w:rPr>
        <w:i w:val="false"/>
        <w:b/>
      </w:rPr>
    </w:lvl>
    <w:lvl w:ilvl="2">
      <w:start w:val="1"/>
      <w:isLgl/>
      <w:numFmt w:val="decimal"/>
      <w:lvlText w:val="%1.%2.%3."/>
      <w:lvlJc w:val="left"/>
      <w:pPr>
        <w:tabs>
          <w:tab w:val="num" w:pos="0"/>
        </w:tabs>
        <w:ind w:left="1212" w:hanging="720"/>
      </w:pPr>
      <w:rPr/>
    </w:lvl>
    <w:lvl w:ilvl="3">
      <w:start w:val="1"/>
      <w:isLgl/>
      <w:numFmt w:val="decimal"/>
      <w:lvlText w:val="%1.%2.%3.%4."/>
      <w:lvlJc w:val="left"/>
      <w:pPr>
        <w:tabs>
          <w:tab w:val="num" w:pos="0"/>
        </w:tabs>
        <w:ind w:left="1278" w:hanging="720"/>
      </w:pPr>
      <w:rPr/>
    </w:lvl>
    <w:lvl w:ilvl="4">
      <w:start w:val="1"/>
      <w:isLgl/>
      <w:numFmt w:val="decimal"/>
      <w:lvlText w:val="%1.%2.%3.%4.%5."/>
      <w:lvlJc w:val="left"/>
      <w:pPr>
        <w:tabs>
          <w:tab w:val="num" w:pos="0"/>
        </w:tabs>
        <w:ind w:left="1704" w:hanging="1080"/>
      </w:pPr>
      <w:rPr/>
    </w:lvl>
    <w:lvl w:ilvl="5">
      <w:start w:val="1"/>
      <w:isLgl/>
      <w:numFmt w:val="decimal"/>
      <w:lvlText w:val="%1.%2.%3.%4.%5.%6."/>
      <w:lvlJc w:val="left"/>
      <w:pPr>
        <w:tabs>
          <w:tab w:val="num" w:pos="0"/>
        </w:tabs>
        <w:ind w:left="1770" w:hanging="1080"/>
      </w:pPr>
      <w:rPr/>
    </w:lvl>
    <w:lvl w:ilvl="6">
      <w:start w:val="1"/>
      <w:isLgl/>
      <w:numFmt w:val="decimal"/>
      <w:lvlText w:val="%1.%2.%3.%4.%5.%6.%7."/>
      <w:lvlJc w:val="left"/>
      <w:pPr>
        <w:tabs>
          <w:tab w:val="num" w:pos="0"/>
        </w:tabs>
        <w:ind w:left="2196" w:hanging="1440"/>
      </w:pPr>
      <w:rPr/>
    </w:lvl>
    <w:lvl w:ilvl="7">
      <w:start w:val="1"/>
      <w:isLgl/>
      <w:numFmt w:val="decimal"/>
      <w:lvlText w:val="%1.%2.%3.%4.%5.%6.%7.%8."/>
      <w:lvlJc w:val="left"/>
      <w:pPr>
        <w:tabs>
          <w:tab w:val="num" w:pos="0"/>
        </w:tabs>
        <w:ind w:left="2262" w:hanging="1440"/>
      </w:pPr>
      <w:rPr/>
    </w:lvl>
    <w:lvl w:ilvl="8">
      <w:start w:val="1"/>
      <w:isLgl/>
      <w:numFmt w:val="decimal"/>
      <w:lvlText w:val="%1.%2.%3.%4.%5.%6.%7.%8.%9."/>
      <w:lvlJc w:val="left"/>
      <w:pPr>
        <w:tabs>
          <w:tab w:val="num" w:pos="0"/>
        </w:tabs>
        <w:ind w:left="2688" w:hanging="1800"/>
      </w:pPr>
      <w:rPr/>
    </w:lvl>
  </w:abstractNum>
  <w:abstractNum w:abstractNumId="2">
    <w:lvl w:ilvl="0">
      <w:start w:val="5"/>
      <w:numFmt w:val="decimal"/>
      <w:lvlText w:val="%1."/>
      <w:lvlJc w:val="left"/>
      <w:pPr>
        <w:tabs>
          <w:tab w:val="num" w:pos="0"/>
        </w:tabs>
        <w:ind w:left="720" w:hanging="360"/>
      </w:pPr>
      <w:rPr>
        <w:b/>
      </w:rPr>
    </w:lvl>
    <w:lvl w:ilvl="1">
      <w:start w:val="1"/>
      <w:isLgl/>
      <w:numFmt w:val="decimal"/>
      <w:lvlText w:val="%1.%2."/>
      <w:lvlJc w:val="left"/>
      <w:pPr>
        <w:tabs>
          <w:tab w:val="num" w:pos="0"/>
        </w:tabs>
        <w:ind w:left="786" w:hanging="360"/>
      </w:pPr>
      <w:rPr>
        <w:sz w:val="24"/>
        <w:i w:val="false"/>
        <w:b/>
        <w:szCs w:val="24"/>
        <w:rFonts w:ascii="Times New Roman" w:hAnsi="Times New Roman" w:cs="Times New Roman"/>
      </w:rPr>
    </w:lvl>
    <w:lvl w:ilvl="2">
      <w:start w:val="1"/>
      <w:isLgl/>
      <w:numFmt w:val="decimal"/>
      <w:lvlText w:val="%1.%2.%3."/>
      <w:lvlJc w:val="left"/>
      <w:pPr>
        <w:tabs>
          <w:tab w:val="num" w:pos="0"/>
        </w:tabs>
        <w:ind w:left="1212" w:hanging="720"/>
      </w:pPr>
      <w:rPr/>
    </w:lvl>
    <w:lvl w:ilvl="3">
      <w:start w:val="1"/>
      <w:isLgl/>
      <w:numFmt w:val="decimal"/>
      <w:lvlText w:val="%1.%2.%3.%4."/>
      <w:lvlJc w:val="left"/>
      <w:pPr>
        <w:tabs>
          <w:tab w:val="num" w:pos="0"/>
        </w:tabs>
        <w:ind w:left="1278" w:hanging="720"/>
      </w:pPr>
      <w:rPr/>
    </w:lvl>
    <w:lvl w:ilvl="4">
      <w:start w:val="1"/>
      <w:isLgl/>
      <w:numFmt w:val="decimal"/>
      <w:lvlText w:val="%1.%2.%3.%4.%5."/>
      <w:lvlJc w:val="left"/>
      <w:pPr>
        <w:tabs>
          <w:tab w:val="num" w:pos="0"/>
        </w:tabs>
        <w:ind w:left="1704" w:hanging="1080"/>
      </w:pPr>
      <w:rPr/>
    </w:lvl>
    <w:lvl w:ilvl="5">
      <w:start w:val="1"/>
      <w:isLgl/>
      <w:numFmt w:val="decimal"/>
      <w:lvlText w:val="%1.%2.%3.%4.%5.%6."/>
      <w:lvlJc w:val="left"/>
      <w:pPr>
        <w:tabs>
          <w:tab w:val="num" w:pos="0"/>
        </w:tabs>
        <w:ind w:left="1770" w:hanging="1080"/>
      </w:pPr>
      <w:rPr/>
    </w:lvl>
    <w:lvl w:ilvl="6">
      <w:start w:val="1"/>
      <w:isLgl/>
      <w:numFmt w:val="decimal"/>
      <w:lvlText w:val="%1.%2.%3.%4.%5.%6.%7."/>
      <w:lvlJc w:val="left"/>
      <w:pPr>
        <w:tabs>
          <w:tab w:val="num" w:pos="0"/>
        </w:tabs>
        <w:ind w:left="2196" w:hanging="1440"/>
      </w:pPr>
      <w:rPr/>
    </w:lvl>
    <w:lvl w:ilvl="7">
      <w:start w:val="1"/>
      <w:isLgl/>
      <w:numFmt w:val="decimal"/>
      <w:lvlText w:val="%1.%2.%3.%4.%5.%6.%7.%8."/>
      <w:lvlJc w:val="left"/>
      <w:pPr>
        <w:tabs>
          <w:tab w:val="num" w:pos="0"/>
        </w:tabs>
        <w:ind w:left="2262" w:hanging="1440"/>
      </w:pPr>
      <w:rPr/>
    </w:lvl>
    <w:lvl w:ilvl="8">
      <w:start w:val="1"/>
      <w:isLgl/>
      <w:numFmt w:val="decimal"/>
      <w:lvlText w:val="%1.%2.%3.%4.%5.%6.%7.%8.%9."/>
      <w:lvlJc w:val="left"/>
      <w:pPr>
        <w:tabs>
          <w:tab w:val="num" w:pos="0"/>
        </w:tabs>
        <w:ind w:left="2688"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5562"/>
    <w:pPr>
      <w:widowControl/>
      <w:bidi w:val="0"/>
      <w:spacing w:lineRule="auto" w:line="240" w:before="0" w:after="0"/>
      <w:jc w:val="left"/>
    </w:pPr>
    <w:rPr>
      <w:rFonts w:ascii="Times New Roman" w:hAnsi="Times New Roman" w:eastAsia="Calibri" w:cs="Times New Roman" w:eastAsiaTheme="minorHAnsi"/>
      <w:color w:val="auto"/>
      <w:kern w:val="0"/>
      <w:sz w:val="24"/>
      <w:szCs w:val="24"/>
      <w:lang w:val="lt-LT" w:eastAsia="lt-LT"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uiPriority w:val="34"/>
    <w:qFormat/>
    <w:rsid w:val="00fd5562"/>
    <w:rPr>
      <w:rFonts w:ascii="Calibri" w:hAnsi="Calibri" w:eastAsia="Calibri" w:cs="Calibri"/>
      <w:lang w:val="lt-LT"/>
    </w:rPr>
  </w:style>
  <w:style w:type="character" w:styleId="FooterChar" w:customStyle="1">
    <w:name w:val="Footer Char"/>
    <w:basedOn w:val="DefaultParagraphFont"/>
    <w:uiPriority w:val="99"/>
    <w:qFormat/>
    <w:rsid w:val="00fd5562"/>
    <w:rPr>
      <w:rFonts w:ascii="Times New Roman" w:hAnsi="Times New Roman" w:eastAsia="Calibri" w:cs="Times New Roman"/>
      <w:sz w:val="24"/>
      <w:szCs w:val="24"/>
      <w:lang w:val="lt-LT" w:eastAsia="lt-LT"/>
    </w:rPr>
  </w:style>
  <w:style w:type="character" w:styleId="HeaderChar" w:customStyle="1">
    <w:name w:val="Header Char"/>
    <w:basedOn w:val="DefaultParagraphFont"/>
    <w:uiPriority w:val="99"/>
    <w:qFormat/>
    <w:rsid w:val="001666db"/>
    <w:rPr>
      <w:rFonts w:ascii="Times New Roman" w:hAnsi="Times New Roman" w:eastAsia="Calibri" w:cs="Times New Roman"/>
      <w:sz w:val="24"/>
      <w:szCs w:val="24"/>
      <w:lang w:val="lt-LT" w:eastAsia="lt-LT"/>
    </w:rPr>
  </w:style>
  <w:style w:type="character" w:styleId="BalloonTextChar" w:customStyle="1">
    <w:name w:val="Balloon Text Char"/>
    <w:basedOn w:val="DefaultParagraphFont"/>
    <w:link w:val="BalloonText"/>
    <w:uiPriority w:val="99"/>
    <w:semiHidden/>
    <w:qFormat/>
    <w:rsid w:val="00df4d7e"/>
    <w:rPr>
      <w:rFonts w:ascii="Tahoma" w:hAnsi="Tahoma" w:eastAsia="Calibri" w:cs="Tahoma"/>
      <w:sz w:val="16"/>
      <w:szCs w:val="16"/>
      <w:lang w:val="lt-LT" w:eastAsia="lt-LT"/>
    </w:rPr>
  </w:style>
  <w:style w:type="character" w:styleId="CommentReference">
    <w:name w:val="annotation reference"/>
    <w:basedOn w:val="DefaultParagraphFont"/>
    <w:uiPriority w:val="99"/>
    <w:semiHidden/>
    <w:unhideWhenUsed/>
    <w:qFormat/>
    <w:rsid w:val="00c97029"/>
    <w:rPr>
      <w:sz w:val="16"/>
      <w:szCs w:val="16"/>
    </w:rPr>
  </w:style>
  <w:style w:type="character" w:styleId="CommentTextChar" w:customStyle="1">
    <w:name w:val="Comment Text Char"/>
    <w:basedOn w:val="DefaultParagraphFont"/>
    <w:uiPriority w:val="99"/>
    <w:qFormat/>
    <w:rsid w:val="00c97029"/>
    <w:rPr>
      <w:rFonts w:ascii="Times New Roman" w:hAnsi="Times New Roman" w:eastAsia="Calibri" w:cs="Times New Roman"/>
      <w:sz w:val="20"/>
      <w:szCs w:val="20"/>
      <w:lang w:val="lt-LT" w:eastAsia="lt-LT"/>
    </w:rPr>
  </w:style>
  <w:style w:type="character" w:styleId="CommentSubjectChar" w:customStyle="1">
    <w:name w:val="Comment Subject Char"/>
    <w:basedOn w:val="CommentTextChar"/>
    <w:link w:val="annotationsubject"/>
    <w:uiPriority w:val="99"/>
    <w:semiHidden/>
    <w:qFormat/>
    <w:rsid w:val="00c97029"/>
    <w:rPr>
      <w:rFonts w:ascii="Times New Roman" w:hAnsi="Times New Roman" w:eastAsia="Calibri" w:cs="Times New Roman"/>
      <w:b/>
      <w:bCs/>
      <w:sz w:val="20"/>
      <w:szCs w:val="20"/>
      <w:lang w:val="lt-LT" w:eastAsia="lt-LT"/>
    </w:rPr>
  </w:style>
  <w:style w:type="character" w:styleId="FootnoteTextChar" w:customStyle="1">
    <w:name w:val="Footnote Text Char"/>
    <w:basedOn w:val="DefaultParagraphFont"/>
    <w:uiPriority w:val="99"/>
    <w:semiHidden/>
    <w:qFormat/>
    <w:rsid w:val="007c6844"/>
    <w:rPr>
      <w:rFonts w:ascii="Times New Roman" w:hAnsi="Times New Roman" w:eastAsia="Times New Roman" w:cs="Times New Roman"/>
      <w:sz w:val="20"/>
      <w:szCs w:val="20"/>
      <w:lang w:val="lt-LT" w:eastAsia="lt-LT"/>
    </w:rPr>
  </w:style>
  <w:style w:type="character" w:styleId="Inaosramenys">
    <w:name w:val="Išnašos rašmenys"/>
    <w:basedOn w:val="DefaultParagraphFont"/>
    <w:uiPriority w:val="99"/>
    <w:semiHidden/>
    <w:unhideWhenUsed/>
    <w:qFormat/>
    <w:rsid w:val="007c684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96e68"/>
    <w:rPr>
      <w:i/>
      <w:iCs/>
    </w:rPr>
  </w:style>
  <w:style w:type="paragraph" w:styleId="Antrat">
    <w:name w:val="Antraštė"/>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ListParagraph1" w:customStyle="1">
    <w:name w:val="List Paragraph1"/>
    <w:basedOn w:val="Normal"/>
    <w:qFormat/>
    <w:rsid w:val="00fd5562"/>
    <w:pPr>
      <w:ind w:left="720"/>
    </w:pPr>
    <w:rPr/>
  </w:style>
  <w:style w:type="paragraph" w:styleId="ListParagraph">
    <w:name w:val="List Paragraph"/>
    <w:basedOn w:val="Normal"/>
    <w:link w:val="ListParagraphChar"/>
    <w:uiPriority w:val="34"/>
    <w:qFormat/>
    <w:rsid w:val="00fd5562"/>
    <w:pPr>
      <w:ind w:left="720"/>
    </w:pPr>
    <w:rPr>
      <w:rFonts w:ascii="Calibri" w:hAnsi="Calibri" w:cs="Calibri"/>
      <w:sz w:val="22"/>
      <w:szCs w:val="22"/>
      <w:lang w:eastAsia="en-US"/>
    </w:rPr>
  </w:style>
  <w:style w:type="paragraph" w:styleId="HeaderandFooter">
    <w:name w:val="Header and Footer"/>
    <w:basedOn w:val="Normal"/>
    <w:qFormat/>
    <w:pPr/>
    <w:rPr/>
  </w:style>
  <w:style w:type="paragraph" w:styleId="Footer">
    <w:name w:val="footer"/>
    <w:basedOn w:val="Normal"/>
    <w:link w:val="FooterChar"/>
    <w:uiPriority w:val="99"/>
    <w:unhideWhenUsed/>
    <w:rsid w:val="00fd5562"/>
    <w:pPr>
      <w:tabs>
        <w:tab w:val="clear" w:pos="720"/>
        <w:tab w:val="center" w:pos="4819" w:leader="none"/>
        <w:tab w:val="right" w:pos="9638" w:leader="none"/>
      </w:tabs>
    </w:pPr>
    <w:rPr/>
  </w:style>
  <w:style w:type="paragraph" w:styleId="Header">
    <w:name w:val="header"/>
    <w:basedOn w:val="Normal"/>
    <w:link w:val="HeaderChar"/>
    <w:uiPriority w:val="99"/>
    <w:unhideWhenUsed/>
    <w:rsid w:val="001666db"/>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df4d7e"/>
    <w:pPr/>
    <w:rPr>
      <w:rFonts w:ascii="Tahoma" w:hAnsi="Tahoma" w:cs="Tahoma"/>
      <w:sz w:val="16"/>
      <w:szCs w:val="16"/>
    </w:rPr>
  </w:style>
  <w:style w:type="paragraph" w:styleId="CommentText">
    <w:name w:val="annotation text"/>
    <w:basedOn w:val="Normal"/>
    <w:link w:val="CommentTextChar"/>
    <w:uiPriority w:val="99"/>
    <w:unhideWhenUsed/>
    <w:rsid w:val="00c97029"/>
    <w:pPr/>
    <w:rPr>
      <w:sz w:val="20"/>
      <w:szCs w:val="20"/>
    </w:rPr>
  </w:style>
  <w:style w:type="paragraph" w:styleId="annotationsubject">
    <w:name w:val="annotation subject"/>
    <w:basedOn w:val="CommentText"/>
    <w:next w:val="CommentText"/>
    <w:link w:val="CommentSubjectChar"/>
    <w:uiPriority w:val="99"/>
    <w:semiHidden/>
    <w:unhideWhenUsed/>
    <w:qFormat/>
    <w:rsid w:val="00c97029"/>
    <w:pPr/>
    <w:rPr>
      <w:b/>
      <w:bCs/>
    </w:rPr>
  </w:style>
  <w:style w:type="paragraph" w:styleId="FootnoteText">
    <w:name w:val="footnote text"/>
    <w:basedOn w:val="Normal"/>
    <w:link w:val="FootnoteTextChar"/>
    <w:uiPriority w:val="99"/>
    <w:semiHidden/>
    <w:unhideWhenUsed/>
    <w:rsid w:val="007c6844"/>
    <w:pPr/>
    <w:rPr>
      <w:rFonts w:eastAsia="Times New Roman"/>
      <w:sz w:val="20"/>
      <w:szCs w:val="20"/>
    </w:rPr>
  </w:style>
  <w:style w:type="paragraph" w:styleId="NormalWeb">
    <w:name w:val="Normal (Web)"/>
    <w:basedOn w:val="Normal"/>
    <w:uiPriority w:val="99"/>
    <w:semiHidden/>
    <w:unhideWhenUsed/>
    <w:qFormat/>
    <w:rsid w:val="00696e68"/>
    <w:pPr>
      <w:spacing w:beforeAutospacing="1" w:afterAutospacing="1"/>
    </w:pPr>
    <w:rPr>
      <w:rFonts w:eastAsia="Times New Roman"/>
    </w:rPr>
  </w:style>
  <w:style w:type="paragraph" w:styleId="Revision">
    <w:name w:val="Revision"/>
    <w:uiPriority w:val="99"/>
    <w:semiHidden/>
    <w:qFormat/>
    <w:rsid w:val="00210038"/>
    <w:pPr>
      <w:widowControl/>
      <w:bidi w:val="0"/>
      <w:spacing w:lineRule="auto" w:line="240" w:before="0" w:after="0"/>
      <w:jc w:val="left"/>
    </w:pPr>
    <w:rPr>
      <w:rFonts w:ascii="Times New Roman" w:hAnsi="Times New Roman" w:eastAsia="Calibri" w:cs="Times New Roman" w:eastAsiaTheme="minorHAnsi"/>
      <w:color w:val="auto"/>
      <w:kern w:val="0"/>
      <w:sz w:val="24"/>
      <w:szCs w:val="24"/>
      <w:lang w:val="lt-LT" w:eastAsia="lt-LT"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6d39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customXml" Target="../customXml/item2.xml"/><Relationship Id="rId3" Type="http://schemas.openxmlformats.org/officeDocument/2006/relationships/header" Target="header2.xml"/><Relationship Id="rId7" Type="http://schemas.openxmlformats.org/officeDocument/2006/relationships/footer" Target="footer3.xml"/><Relationship Id="rId12" Type="http://schemas.openxmlformats.org/officeDocument/2006/relationships/customXml" Target="../customXml/item1.xml"/><Relationship Id="rId2" Type="http://schemas.openxmlformats.org/officeDocument/2006/relationships/header" Target="header1.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5" Type="http://schemas.openxmlformats.org/officeDocument/2006/relationships/customXml" Target="../customXml/item4.xml"/><Relationship Id="rId10" Type="http://schemas.openxmlformats.org/officeDocument/2006/relationships/settings" Target="settings.xml"/><Relationship Id="rId4" Type="http://schemas.openxmlformats.org/officeDocument/2006/relationships/header" Target="header3.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BC7FB6EC781E48AA0DD0CD09143736" ma:contentTypeVersion="11" ma:contentTypeDescription="Create a new document." ma:contentTypeScope="" ma:versionID="3a2b3dd37a706786ce5021e4ebcecf04">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f249f3bf691bed8c2cf956ad92a21db4"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19EE9C-4DAA-4D99-A70C-338DCAAFD6D7}">
  <ds:schemaRefs>
    <ds:schemaRef ds:uri="http://schemas.openxmlformats.org/officeDocument/2006/bibliography"/>
  </ds:schemaRefs>
</ds:datastoreItem>
</file>

<file path=customXml/itemProps2.xml><?xml version="1.0" encoding="utf-8"?>
<ds:datastoreItem xmlns:ds="http://schemas.openxmlformats.org/officeDocument/2006/customXml" ds:itemID="{F0EBE1F1-D1A1-4CC4-8E96-A94AA47277E3}"/>
</file>

<file path=customXml/itemProps3.xml><?xml version="1.0" encoding="utf-8"?>
<ds:datastoreItem xmlns:ds="http://schemas.openxmlformats.org/officeDocument/2006/customXml" ds:itemID="{06817A90-ABF1-4808-87E5-6766DD20FC77}"/>
</file>

<file path=customXml/itemProps4.xml><?xml version="1.0" encoding="utf-8"?>
<ds:datastoreItem xmlns:ds="http://schemas.openxmlformats.org/officeDocument/2006/customXml" ds:itemID="{15BD42F0-9614-42B5-83FA-847EDB43042F}"/>
</file>

<file path=docProps/app.xml><?xml version="1.0" encoding="utf-8"?>
<Properties xmlns="http://schemas.openxmlformats.org/officeDocument/2006/extended-properties" xmlns:vt="http://schemas.openxmlformats.org/officeDocument/2006/docPropsVTypes">
  <Template>Normal</Template>
  <TotalTime>50</TotalTime>
  <Application>LibreOffice/24.8.2.1$Windows_X86_64 LibreOffice_project/0f794b6e29741098670a3b95d60478a65d05ef13</Application>
  <AppVersion>15.0000</AppVersion>
  <Pages>3</Pages>
  <Words>816</Words>
  <Characters>4655</Characters>
  <CharactersWithSpaces>5461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dc:description/>
  <cp:lastModifiedBy/>
  <cp:revision>3</cp:revision>
  <dcterms:created xsi:type="dcterms:W3CDTF">2024-11-05T11:15:00Z</dcterms:created>
  <dcterms:modified xsi:type="dcterms:W3CDTF">2024-11-05T14:39:38Z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y fmtid="{D5CDD505-2E9C-101B-9397-08002B2CF9AE}" pid="3" name="MediaServiceImageTags">
    <vt:lpwstr/>
  </property>
</Properties>
</file>