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D442" w14:textId="77777777" w:rsidR="00987D60" w:rsidRDefault="00987D60" w:rsidP="004E2FB6">
      <w:pPr>
        <w:pStyle w:val="Default"/>
        <w:jc w:val="center"/>
        <w:rPr>
          <w:b/>
          <w:bCs/>
        </w:rPr>
      </w:pPr>
    </w:p>
    <w:p w14:paraId="4C7D4445" w14:textId="624875D6" w:rsidR="00307B6F" w:rsidRPr="00307B6F" w:rsidRDefault="00307B6F" w:rsidP="00307B6F">
      <w:pPr>
        <w:keepNext/>
        <w:numPr>
          <w:ilvl w:val="1"/>
          <w:numId w:val="0"/>
        </w:numPr>
        <w:tabs>
          <w:tab w:val="num" w:pos="0"/>
        </w:tabs>
        <w:suppressAutoHyphens/>
        <w:spacing w:after="0" w:line="240" w:lineRule="auto"/>
        <w:ind w:left="5103" w:hanging="576"/>
        <w:outlineLvl w:val="1"/>
        <w:rPr>
          <w:rFonts w:ascii="Times New Roman" w:eastAsia="Calibri" w:hAnsi="Times New Roman" w:cs="Times New Roman"/>
          <w:kern w:val="0"/>
          <w:lang w:eastAsia="zh-CN"/>
          <w14:ligatures w14:val="none"/>
        </w:rPr>
      </w:pPr>
      <w:r>
        <w:rPr>
          <w:rFonts w:ascii="Times New Roman" w:eastAsia="Calibri" w:hAnsi="Times New Roman" w:cs="Times New Roman"/>
          <w:kern w:val="0"/>
          <w:lang w:eastAsia="zh-CN"/>
          <w14:ligatures w14:val="none"/>
        </w:rPr>
        <w:tab/>
      </w:r>
      <w:r>
        <w:rPr>
          <w:rFonts w:ascii="Times New Roman" w:eastAsia="Calibri" w:hAnsi="Times New Roman" w:cs="Times New Roman"/>
          <w:kern w:val="0"/>
          <w:lang w:eastAsia="zh-CN"/>
          <w14:ligatures w14:val="none"/>
        </w:rPr>
        <w:tab/>
      </w:r>
      <w:r>
        <w:rPr>
          <w:rFonts w:ascii="Times New Roman" w:eastAsia="Calibri" w:hAnsi="Times New Roman" w:cs="Times New Roman"/>
          <w:kern w:val="0"/>
          <w:lang w:eastAsia="zh-CN"/>
          <w14:ligatures w14:val="none"/>
        </w:rPr>
        <w:tab/>
      </w:r>
      <w:r>
        <w:rPr>
          <w:rFonts w:ascii="Times New Roman" w:eastAsia="Calibri" w:hAnsi="Times New Roman" w:cs="Times New Roman"/>
          <w:kern w:val="0"/>
          <w:lang w:eastAsia="zh-CN"/>
          <w14:ligatures w14:val="none"/>
        </w:rPr>
        <w:tab/>
      </w:r>
      <w:r>
        <w:rPr>
          <w:rFonts w:ascii="Times New Roman" w:eastAsia="Calibri" w:hAnsi="Times New Roman" w:cs="Times New Roman"/>
          <w:kern w:val="0"/>
          <w:lang w:eastAsia="zh-CN"/>
          <w14:ligatures w14:val="none"/>
        </w:rPr>
        <w:tab/>
      </w:r>
      <w:r w:rsidRPr="00307B6F">
        <w:rPr>
          <w:rFonts w:ascii="Times New Roman" w:eastAsia="Calibri" w:hAnsi="Times New Roman" w:cs="Times New Roman"/>
          <w:kern w:val="0"/>
          <w:lang w:eastAsia="zh-CN"/>
          <w14:ligatures w14:val="none"/>
        </w:rPr>
        <w:t>Pirkimo sąlygų 2 priedas „Techninė specifikacija“</w:t>
      </w:r>
    </w:p>
    <w:p w14:paraId="1A943801" w14:textId="77777777" w:rsidR="00987D60" w:rsidRDefault="00987D60" w:rsidP="004E2FB6">
      <w:pPr>
        <w:pStyle w:val="Default"/>
        <w:jc w:val="center"/>
        <w:rPr>
          <w:b/>
          <w:bCs/>
        </w:rPr>
      </w:pPr>
    </w:p>
    <w:p w14:paraId="6F1884FC" w14:textId="77777777" w:rsidR="00987D60" w:rsidRDefault="00987D60" w:rsidP="004E2FB6">
      <w:pPr>
        <w:pStyle w:val="Default"/>
        <w:jc w:val="center"/>
        <w:rPr>
          <w:b/>
          <w:bCs/>
        </w:rPr>
      </w:pPr>
    </w:p>
    <w:p w14:paraId="1DC59333" w14:textId="43354EB0" w:rsidR="004E2FB6" w:rsidRPr="00614451" w:rsidRDefault="00076136" w:rsidP="004E2FB6">
      <w:pPr>
        <w:pStyle w:val="Default"/>
        <w:jc w:val="center"/>
      </w:pPr>
      <w:r w:rsidRPr="00614451">
        <w:rPr>
          <w:b/>
          <w:bCs/>
        </w:rPr>
        <w:t>REAGENTŲ VŠĮ ROKIŠKIO PIRMINĖS ASMENS SVEIKATOS PRIEŽIŪROS CENTR</w:t>
      </w:r>
      <w:r w:rsidR="00CF44F9" w:rsidRPr="00614451">
        <w:rPr>
          <w:b/>
          <w:bCs/>
        </w:rPr>
        <w:t>UI</w:t>
      </w:r>
      <w:r w:rsidRPr="00614451">
        <w:rPr>
          <w:b/>
          <w:bCs/>
        </w:rPr>
        <w:t xml:space="preserve"> </w:t>
      </w:r>
      <w:r w:rsidR="004E2FB6" w:rsidRPr="00614451">
        <w:rPr>
          <w:b/>
          <w:bCs/>
        </w:rPr>
        <w:t>TECHNINĖ SPECIFIKACIJA</w:t>
      </w:r>
    </w:p>
    <w:p w14:paraId="61296687" w14:textId="3FACCA05" w:rsidR="00076136" w:rsidRPr="00614451" w:rsidRDefault="00076136" w:rsidP="00076136">
      <w:pPr>
        <w:pStyle w:val="Default"/>
      </w:pPr>
    </w:p>
    <w:p w14:paraId="578BF523" w14:textId="401DE149" w:rsidR="00076136" w:rsidRDefault="00076136" w:rsidP="003F62FA">
      <w:pPr>
        <w:pStyle w:val="Default"/>
        <w:jc w:val="center"/>
        <w:rPr>
          <w:b/>
          <w:bCs/>
        </w:rPr>
      </w:pPr>
      <w:r w:rsidRPr="00614451">
        <w:rPr>
          <w:b/>
          <w:bCs/>
        </w:rPr>
        <w:t>BŪTINI BENDRIEJI TECHNINĖS SPECIFIKACIJOS REIKALAVIMAI LABORATORINIAMS REAGENTAMS IR PRIEMONĖMS</w:t>
      </w:r>
    </w:p>
    <w:p w14:paraId="46F37AB9" w14:textId="77777777" w:rsidR="00404BC4" w:rsidRPr="00614451" w:rsidRDefault="00404BC4" w:rsidP="00404BC4">
      <w:pPr>
        <w:pStyle w:val="Default"/>
        <w:jc w:val="both"/>
      </w:pPr>
    </w:p>
    <w:p w14:paraId="2F4823D2" w14:textId="3EC4063B" w:rsidR="00076136" w:rsidRPr="00614451" w:rsidRDefault="00987D60" w:rsidP="00404BC4">
      <w:pPr>
        <w:pStyle w:val="Default"/>
        <w:jc w:val="both"/>
      </w:pPr>
      <w:r>
        <w:t xml:space="preserve">         </w:t>
      </w:r>
      <w:r w:rsidR="00076136" w:rsidRPr="00614451">
        <w:t>1. Tiekėjas privalo įvertinti ir nurodyti (įrašyti) visas reikiamas sudedamąsias dalis tyrimui atlikti.</w:t>
      </w:r>
    </w:p>
    <w:p w14:paraId="0AEF1E64" w14:textId="0A6256A2" w:rsidR="00076136" w:rsidRPr="00614451" w:rsidRDefault="00987D60" w:rsidP="00404BC4">
      <w:pPr>
        <w:pStyle w:val="Default"/>
        <w:jc w:val="both"/>
      </w:pPr>
      <w:r>
        <w:t xml:space="preserve">         </w:t>
      </w:r>
      <w:r w:rsidR="00076136" w:rsidRPr="00614451">
        <w:t xml:space="preserve">2. Tiekėjas turi nurodyti visą reikalingą reagentų, kitų priemonių, kontrolinių medžiagų (atliekant kasdieninę 2-jų lygių kontrolę, </w:t>
      </w:r>
      <w:r w:rsidR="00076136" w:rsidRPr="00D70B4F">
        <w:rPr>
          <w:b/>
          <w:bCs/>
        </w:rPr>
        <w:t>dirbant 5 dienas per savaitę</w:t>
      </w:r>
      <w:r w:rsidR="00076136" w:rsidRPr="00614451">
        <w:t>, atsižvelgiant į tyrimų skaičių ir reagentų, kontrolinių bei eksploatacinių medžiagų galiojimo trukmę atidarius pakuotę) kiekį, numatomam nurodytam tyrimų skaičiui per 24 mėn. atlikimui.</w:t>
      </w:r>
    </w:p>
    <w:p w14:paraId="126D974E" w14:textId="16E440D8" w:rsidR="00076136" w:rsidRPr="00614451" w:rsidRDefault="00987D60" w:rsidP="00404BC4">
      <w:pPr>
        <w:pStyle w:val="Default"/>
        <w:jc w:val="both"/>
      </w:pPr>
      <w:r>
        <w:t xml:space="preserve">         </w:t>
      </w:r>
      <w:r w:rsidR="00076136" w:rsidRPr="00614451">
        <w:t xml:space="preserve">3. Siūlomos prekės turi būti skirtos </w:t>
      </w:r>
      <w:proofErr w:type="spellStart"/>
      <w:r w:rsidR="00076136" w:rsidRPr="00614451">
        <w:rPr>
          <w:i/>
          <w:iCs/>
        </w:rPr>
        <w:t>in</w:t>
      </w:r>
      <w:proofErr w:type="spellEnd"/>
      <w:r w:rsidR="00076136" w:rsidRPr="00614451">
        <w:rPr>
          <w:i/>
          <w:iCs/>
        </w:rPr>
        <w:t xml:space="preserve"> </w:t>
      </w:r>
      <w:proofErr w:type="spellStart"/>
      <w:r w:rsidR="00076136" w:rsidRPr="00614451">
        <w:rPr>
          <w:i/>
          <w:iCs/>
        </w:rPr>
        <w:t>vitro</w:t>
      </w:r>
      <w:proofErr w:type="spellEnd"/>
      <w:r w:rsidR="00076136" w:rsidRPr="00614451">
        <w:rPr>
          <w:i/>
          <w:iCs/>
        </w:rPr>
        <w:t xml:space="preserve"> </w:t>
      </w:r>
      <w:r w:rsidR="00076136" w:rsidRPr="00614451">
        <w:t xml:space="preserve">diagnostikai. Reagentai ir papildomos priemonės turi būti paženklinti CE arba lygiaverčiu ženklu. Tiekėjas su pasiūlymu turi pateikti jų atitikties dokumentus pagal Europos Parlamento ir Tarybos Direktyvos 98/79/EB dėl </w:t>
      </w:r>
      <w:proofErr w:type="spellStart"/>
      <w:r w:rsidR="00076136" w:rsidRPr="00614451">
        <w:rPr>
          <w:i/>
          <w:iCs/>
        </w:rPr>
        <w:t>in</w:t>
      </w:r>
      <w:proofErr w:type="spellEnd"/>
      <w:r w:rsidR="00076136" w:rsidRPr="00614451">
        <w:rPr>
          <w:i/>
          <w:iCs/>
        </w:rPr>
        <w:t xml:space="preserve"> </w:t>
      </w:r>
      <w:proofErr w:type="spellStart"/>
      <w:r w:rsidR="00076136" w:rsidRPr="00614451">
        <w:rPr>
          <w:i/>
          <w:iCs/>
        </w:rPr>
        <w:t>vitro</w:t>
      </w:r>
      <w:proofErr w:type="spellEnd"/>
      <w:r w:rsidR="00076136" w:rsidRPr="00614451">
        <w:rPr>
          <w:i/>
          <w:iCs/>
        </w:rPr>
        <w:t xml:space="preserve"> </w:t>
      </w:r>
      <w:r w:rsidR="00076136" w:rsidRPr="00614451">
        <w:t>diagnostikos medicinos prietaisų nuostatas arba pagal Europos Parlamento ir Tarybos Reglamento (ES) 2017/746 nuostatas (CE sertifikatas arba EB atitikties deklaraciją arba lygiaverčius dokumentus anglų ir lietuvių kalbomis). Reikalavimas taikomas ir panaudai siūlomiems analizatoriams.</w:t>
      </w:r>
    </w:p>
    <w:p w14:paraId="321A5CAE" w14:textId="5BA3B35C" w:rsidR="00076136" w:rsidRPr="00614451" w:rsidRDefault="00987D60" w:rsidP="00404BC4">
      <w:pPr>
        <w:pStyle w:val="Default"/>
        <w:jc w:val="both"/>
      </w:pPr>
      <w:r>
        <w:t xml:space="preserve">        </w:t>
      </w:r>
      <w:r w:rsidR="00076136" w:rsidRPr="00614451">
        <w:t xml:space="preserve">4. Reagentai ir eksploatacinės medžiagos turi būti originalios, skirtos tiekėjo siūlomiems analizatoriams. Būtina sąlyga: abu analizatoriai (sistemos) vieno gamintojo, naudojantys tuos pačius reagentus, kontroles ir papildomas priemones. </w:t>
      </w:r>
      <w:r w:rsidR="00076136" w:rsidRPr="00EC2292">
        <w:rPr>
          <w:b/>
          <w:bCs/>
        </w:rPr>
        <w:t xml:space="preserve">Panaudai siūlomi analizatoriai turi būti </w:t>
      </w:r>
      <w:r w:rsidR="005E1CAB" w:rsidRPr="00EC2292">
        <w:rPr>
          <w:b/>
          <w:bCs/>
        </w:rPr>
        <w:t>ne senesni kaip 5 metai</w:t>
      </w:r>
      <w:r w:rsidR="005E1CAB" w:rsidRPr="00614451">
        <w:t>.</w:t>
      </w:r>
      <w:r w:rsidR="00076136" w:rsidRPr="00614451">
        <w:t xml:space="preserve"> Visos siūlomos prekės turi tikti darbui su panaudai teikiamu analizatoriumi.</w:t>
      </w:r>
    </w:p>
    <w:p w14:paraId="2ED426D9" w14:textId="3224A64A" w:rsidR="00076136" w:rsidRPr="00614451" w:rsidRDefault="00987D60" w:rsidP="00404BC4">
      <w:pPr>
        <w:pStyle w:val="Default"/>
        <w:jc w:val="both"/>
      </w:pPr>
      <w:r>
        <w:t xml:space="preserve">        </w:t>
      </w:r>
      <w:r w:rsidR="00076136" w:rsidRPr="00614451">
        <w:t>5. Tiekėjas su pasiūlymu turi pateikti reagentų ir priemonių aprašymus, naudojimo instrukcijas ir kitą su tyrimo procesu susijusią svarbią informaciją originalo ir lietuvių kalba. Apie bet kokius gamintojo atliekamus pakeitimus nedelsiant pranešti vartotojui.</w:t>
      </w:r>
    </w:p>
    <w:p w14:paraId="70618BC4" w14:textId="430C44DE" w:rsidR="00076136" w:rsidRPr="00614451" w:rsidRDefault="00987D60" w:rsidP="00404BC4">
      <w:pPr>
        <w:pStyle w:val="Default"/>
        <w:jc w:val="both"/>
      </w:pPr>
      <w:r>
        <w:t xml:space="preserve">        </w:t>
      </w:r>
      <w:r w:rsidR="00076136" w:rsidRPr="00614451">
        <w:t xml:space="preserve">6. </w:t>
      </w:r>
      <w:r w:rsidR="00076136" w:rsidRPr="00D70B4F">
        <w:rPr>
          <w:b/>
          <w:bCs/>
        </w:rPr>
        <w:t>Reagentų galiojimo terminas turi būti ne trumpesnis kaip 6 mėnesiai nuo pristatymo dienos</w:t>
      </w:r>
      <w:r w:rsidR="00076136" w:rsidRPr="00614451">
        <w:t>, išskyrus tuos atvejus kai gamyklinis galiojimo laikas yra trumpesnis.</w:t>
      </w:r>
    </w:p>
    <w:p w14:paraId="5EE6BC2A" w14:textId="77777777" w:rsidR="00E4206C" w:rsidRDefault="00987D60" w:rsidP="00712F03">
      <w:pPr>
        <w:pStyle w:val="Default"/>
        <w:jc w:val="both"/>
      </w:pPr>
      <w:r>
        <w:t xml:space="preserve">        </w:t>
      </w:r>
      <w:r w:rsidR="00076136" w:rsidRPr="00614451">
        <w:t>7. Perkančioji organizacija prekes planuoja pirkti pagal poreikį, kuris priklauso nuo aplinkybių, neprognozuojamų pirkimo metu (perkamų prekių kiekis priklauso nuo sutarties vykdymo metu iškylančio poreikio, keičiantis įstaigos poreikiams, pacientų skaičiui). Perkančioji organizacija neįsipareigoja nupirkti viso prekių kiekio.</w:t>
      </w:r>
    </w:p>
    <w:p w14:paraId="5F0908DE" w14:textId="68420035" w:rsidR="00712F03" w:rsidRDefault="00712F03" w:rsidP="00712F03">
      <w:pPr>
        <w:pStyle w:val="Default"/>
        <w:jc w:val="both"/>
      </w:pPr>
      <w:r>
        <w:t xml:space="preserve">         </w:t>
      </w:r>
      <w:r w:rsidR="00E4206C">
        <w:t>8</w:t>
      </w:r>
      <w:r>
        <w:t>. Tvari pakuotė: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t>perdirbamumą</w:t>
      </w:r>
      <w:proofErr w:type="spellEnd"/>
      <w:r>
        <w:t>) patvirtinančius dokumentus (pavyzdžiui, pakuotės aprašymo dokumentą, techninį dokumentą, dokumentą iš akredituotų laboratorijų ar pakuočių atliekų perdirbėjų, ar eksportuotojų iš tvarkytojų sąrašo, ar kitus lygiaverčius objektyvius įrodymus). Perkamų prekių aplinkos apsaugos kriterijus pagrindžiantys dokumentai teikiami kartu su prekėmis pirkimo metu.</w:t>
      </w:r>
    </w:p>
    <w:p w14:paraId="715B4F81" w14:textId="77777777" w:rsidR="00DB3B84" w:rsidRDefault="00DB3B84" w:rsidP="00404BC4">
      <w:pPr>
        <w:pStyle w:val="Default"/>
        <w:jc w:val="both"/>
      </w:pPr>
    </w:p>
    <w:p w14:paraId="1E61BB10" w14:textId="77777777" w:rsidR="00DB3B84" w:rsidRDefault="00DB3B84" w:rsidP="00404BC4">
      <w:pPr>
        <w:pStyle w:val="Default"/>
        <w:jc w:val="both"/>
      </w:pPr>
    </w:p>
    <w:p w14:paraId="281B18B9" w14:textId="77777777" w:rsidR="00E4206C" w:rsidRDefault="00E4206C" w:rsidP="00404BC4">
      <w:pPr>
        <w:pStyle w:val="Default"/>
        <w:jc w:val="both"/>
      </w:pPr>
    </w:p>
    <w:p w14:paraId="61BBFE23" w14:textId="77777777" w:rsidR="00E4206C" w:rsidRDefault="00E4206C" w:rsidP="00404BC4">
      <w:pPr>
        <w:pStyle w:val="Default"/>
        <w:jc w:val="both"/>
      </w:pPr>
    </w:p>
    <w:p w14:paraId="34EC66DB" w14:textId="77777777" w:rsidR="00DB3B84" w:rsidRDefault="00DB3B84" w:rsidP="00404BC4">
      <w:pPr>
        <w:pStyle w:val="Default"/>
        <w:jc w:val="both"/>
      </w:pPr>
    </w:p>
    <w:p w14:paraId="36E48021" w14:textId="2C110D71" w:rsidR="00076136" w:rsidRPr="00A819A7" w:rsidRDefault="00076136" w:rsidP="00987D60">
      <w:pPr>
        <w:pStyle w:val="Default"/>
        <w:jc w:val="both"/>
        <w:rPr>
          <w:b/>
          <w:bCs/>
          <w:strike/>
        </w:rPr>
      </w:pPr>
      <w:r w:rsidRPr="00614451">
        <w:rPr>
          <w:b/>
          <w:bCs/>
        </w:rPr>
        <w:lastRenderedPageBreak/>
        <w:t xml:space="preserve">Reagentai, eksploatacinės ir papildomos priemonės hematologinių tyrimų su CRB atlikimui kartu su panaudai siūlomais 2 automatiniais </w:t>
      </w:r>
      <w:r w:rsidR="00631647">
        <w:rPr>
          <w:b/>
          <w:bCs/>
        </w:rPr>
        <w:t xml:space="preserve">               </w:t>
      </w:r>
      <w:r w:rsidRPr="00614451">
        <w:rPr>
          <w:b/>
          <w:bCs/>
        </w:rPr>
        <w:t xml:space="preserve">(3 dalių leukocitų diferenciacijos) hematologiniais analizatoriais su CRP arba 2 jiems lygiavertėms sistemoms, susidedančioms iš hematologinio analizatoriaus ir vieno žingsnio CRB analizatoriaus. </w:t>
      </w:r>
    </w:p>
    <w:p w14:paraId="52021792" w14:textId="77777777" w:rsidR="00CF44F9" w:rsidRDefault="00CF44F9" w:rsidP="00076136">
      <w:pPr>
        <w:pStyle w:val="Default"/>
        <w:rPr>
          <w:b/>
          <w:bCs/>
          <w:sz w:val="22"/>
          <w:szCs w:val="22"/>
        </w:rPr>
      </w:pPr>
    </w:p>
    <w:tbl>
      <w:tblPr>
        <w:tblStyle w:val="Lentelstinklelis"/>
        <w:tblW w:w="14737" w:type="dxa"/>
        <w:tblLayout w:type="fixed"/>
        <w:tblLook w:val="04A0" w:firstRow="1" w:lastRow="0" w:firstColumn="1" w:lastColumn="0" w:noHBand="0" w:noVBand="1"/>
      </w:tblPr>
      <w:tblGrid>
        <w:gridCol w:w="680"/>
        <w:gridCol w:w="2434"/>
        <w:gridCol w:w="1418"/>
        <w:gridCol w:w="1842"/>
        <w:gridCol w:w="1134"/>
        <w:gridCol w:w="1276"/>
        <w:gridCol w:w="1134"/>
        <w:gridCol w:w="1134"/>
        <w:gridCol w:w="3685"/>
      </w:tblGrid>
      <w:tr w:rsidR="00026569" w14:paraId="01F8A8A7" w14:textId="77777777" w:rsidTr="00026569">
        <w:tc>
          <w:tcPr>
            <w:tcW w:w="680" w:type="dxa"/>
          </w:tcPr>
          <w:p w14:paraId="485F4938" w14:textId="6F70FC6C" w:rsidR="00026569" w:rsidRPr="00681301" w:rsidRDefault="00026569" w:rsidP="00681301">
            <w:pPr>
              <w:pStyle w:val="Default"/>
              <w:jc w:val="center"/>
            </w:pPr>
            <w:r w:rsidRPr="00681301">
              <w:t>Eil. Nr.</w:t>
            </w:r>
          </w:p>
        </w:tc>
        <w:tc>
          <w:tcPr>
            <w:tcW w:w="2434" w:type="dxa"/>
          </w:tcPr>
          <w:p w14:paraId="0A88C5BC" w14:textId="1208709F" w:rsidR="00026569" w:rsidRPr="00681301" w:rsidRDefault="00026569" w:rsidP="00681301">
            <w:pPr>
              <w:pStyle w:val="Default"/>
              <w:jc w:val="center"/>
            </w:pPr>
            <w:r w:rsidRPr="00681301">
              <w:t>Tyrimų ir reagentų, eksploatacinių medžiagų pavadinimai</w:t>
            </w:r>
          </w:p>
        </w:tc>
        <w:tc>
          <w:tcPr>
            <w:tcW w:w="1418" w:type="dxa"/>
          </w:tcPr>
          <w:p w14:paraId="57465FE9" w14:textId="77777777" w:rsidR="00026569" w:rsidRDefault="00026569" w:rsidP="00681301">
            <w:pPr>
              <w:pStyle w:val="Default"/>
              <w:jc w:val="center"/>
            </w:pPr>
            <w:proofErr w:type="spellStart"/>
            <w:r w:rsidRPr="00681301">
              <w:t>Prelimi</w:t>
            </w:r>
            <w:proofErr w:type="spellEnd"/>
            <w:r>
              <w:t>-</w:t>
            </w:r>
            <w:r w:rsidRPr="00681301">
              <w:t xml:space="preserve">narus tyrimų skaičius </w:t>
            </w:r>
            <w:r w:rsidRPr="00681301">
              <w:rPr>
                <w:b/>
                <w:bCs/>
              </w:rPr>
              <w:t>per 24 mėn</w:t>
            </w:r>
            <w:r w:rsidRPr="00681301">
              <w:t>.</w:t>
            </w:r>
          </w:p>
          <w:p w14:paraId="3C166F59" w14:textId="5CEAFD97" w:rsidR="00026569" w:rsidRPr="00681301" w:rsidRDefault="00026569" w:rsidP="00681301">
            <w:pPr>
              <w:pStyle w:val="Default"/>
              <w:jc w:val="center"/>
              <w:rPr>
                <w:b/>
                <w:bCs/>
              </w:rPr>
            </w:pPr>
            <w:r w:rsidRPr="00070E3E">
              <w:rPr>
                <w:color w:val="auto"/>
              </w:rPr>
              <w:t>(įskaitant 2 lygių kontrolinius tyrimus)</w:t>
            </w:r>
          </w:p>
        </w:tc>
        <w:tc>
          <w:tcPr>
            <w:tcW w:w="1842" w:type="dxa"/>
          </w:tcPr>
          <w:p w14:paraId="43BA900F" w14:textId="62186BD7" w:rsidR="00026569" w:rsidRPr="00681301" w:rsidRDefault="00026569" w:rsidP="00681301">
            <w:pPr>
              <w:pStyle w:val="Default"/>
              <w:jc w:val="center"/>
              <w:rPr>
                <w:b/>
                <w:bCs/>
              </w:rPr>
            </w:pPr>
            <w:r w:rsidRPr="00681301">
              <w:t>Reagentų ir eksploatacinių medžiagų kiekis (ml/vnt</w:t>
            </w:r>
            <w:r>
              <w:t>.</w:t>
            </w:r>
            <w:r w:rsidRPr="00681301">
              <w:t>) nurodytam preliminariam tyrimų skaičiui</w:t>
            </w:r>
          </w:p>
        </w:tc>
        <w:tc>
          <w:tcPr>
            <w:tcW w:w="1134" w:type="dxa"/>
          </w:tcPr>
          <w:p w14:paraId="35F11972" w14:textId="77777777" w:rsidR="00026569" w:rsidRPr="00026569" w:rsidRDefault="00026569" w:rsidP="00026569">
            <w:pPr>
              <w:jc w:val="center"/>
              <w:rPr>
                <w:rFonts w:ascii="Times New Roman" w:eastAsia="Times New Roman" w:hAnsi="Times New Roman" w:cs="Times New Roman"/>
                <w:kern w:val="0"/>
                <w:lang w:eastAsia="lt-LT"/>
                <w14:ligatures w14:val="none"/>
              </w:rPr>
            </w:pPr>
            <w:r w:rsidRPr="00026569">
              <w:rPr>
                <w:rFonts w:ascii="Times New Roman" w:eastAsia="Times New Roman" w:hAnsi="Times New Roman" w:cs="Times New Roman"/>
                <w:kern w:val="0"/>
                <w:lang w:eastAsia="lt-LT"/>
                <w14:ligatures w14:val="none"/>
              </w:rPr>
              <w:t>Siūloma pakuotė</w:t>
            </w:r>
          </w:p>
          <w:p w14:paraId="1D259AD6" w14:textId="77777777" w:rsidR="00026569" w:rsidRPr="00681301" w:rsidRDefault="00026569" w:rsidP="00681301">
            <w:pPr>
              <w:pStyle w:val="Default"/>
              <w:jc w:val="center"/>
            </w:pPr>
          </w:p>
        </w:tc>
        <w:tc>
          <w:tcPr>
            <w:tcW w:w="1276" w:type="dxa"/>
          </w:tcPr>
          <w:p w14:paraId="182E3897" w14:textId="62D8403F" w:rsidR="00026569" w:rsidRPr="00681301" w:rsidRDefault="00026569" w:rsidP="00681301">
            <w:pPr>
              <w:pStyle w:val="Default"/>
              <w:jc w:val="center"/>
            </w:pPr>
            <w:r w:rsidRPr="00681301">
              <w:t>Siūlomos</w:t>
            </w:r>
          </w:p>
          <w:p w14:paraId="403DA86F" w14:textId="173C819E" w:rsidR="00026569" w:rsidRPr="00681301" w:rsidRDefault="00026569" w:rsidP="00681301">
            <w:pPr>
              <w:pStyle w:val="Default"/>
              <w:jc w:val="center"/>
            </w:pPr>
            <w:r w:rsidRPr="00681301">
              <w:t>pakuotės</w:t>
            </w:r>
          </w:p>
          <w:p w14:paraId="27615AF4" w14:textId="77777777" w:rsidR="00026569" w:rsidRPr="00681301" w:rsidRDefault="00026569" w:rsidP="00681301">
            <w:pPr>
              <w:pStyle w:val="Default"/>
              <w:jc w:val="center"/>
            </w:pPr>
            <w:r w:rsidRPr="00681301">
              <w:t>kaina</w:t>
            </w:r>
          </w:p>
          <w:p w14:paraId="18739147" w14:textId="2E602F7A" w:rsidR="00026569" w:rsidRPr="00681301" w:rsidRDefault="00026569" w:rsidP="00681301">
            <w:pPr>
              <w:pStyle w:val="Default"/>
              <w:jc w:val="center"/>
            </w:pPr>
            <w:r w:rsidRPr="00681301">
              <w:t>E</w:t>
            </w:r>
            <w:r>
              <w:t>ur</w:t>
            </w:r>
          </w:p>
          <w:p w14:paraId="67356A69" w14:textId="24991A4D" w:rsidR="00026569" w:rsidRPr="00681301" w:rsidRDefault="00026569" w:rsidP="00681301">
            <w:pPr>
              <w:pStyle w:val="Default"/>
              <w:jc w:val="center"/>
              <w:rPr>
                <w:b/>
                <w:bCs/>
              </w:rPr>
            </w:pPr>
            <w:r w:rsidRPr="00681301">
              <w:t>be PVM</w:t>
            </w:r>
          </w:p>
        </w:tc>
        <w:tc>
          <w:tcPr>
            <w:tcW w:w="1134" w:type="dxa"/>
          </w:tcPr>
          <w:p w14:paraId="1FEA3066" w14:textId="2D51BAE9" w:rsidR="00026569" w:rsidRPr="00681301" w:rsidRDefault="00026569" w:rsidP="00681301">
            <w:pPr>
              <w:pStyle w:val="Default"/>
              <w:jc w:val="center"/>
            </w:pPr>
            <w:r>
              <w:t>Kaina</w:t>
            </w:r>
            <w:r w:rsidRPr="00681301">
              <w:t>,</w:t>
            </w:r>
          </w:p>
          <w:p w14:paraId="764F6975" w14:textId="6175B0F3" w:rsidR="00026569" w:rsidRPr="00681301" w:rsidRDefault="00026569" w:rsidP="00681301">
            <w:pPr>
              <w:pStyle w:val="Default"/>
              <w:jc w:val="center"/>
            </w:pPr>
            <w:r w:rsidRPr="00681301">
              <w:t>E</w:t>
            </w:r>
            <w:r>
              <w:t>ur</w:t>
            </w:r>
            <w:r w:rsidRPr="00681301">
              <w:t xml:space="preserve"> be</w:t>
            </w:r>
          </w:p>
          <w:p w14:paraId="5F8D9461" w14:textId="5EBE24A9" w:rsidR="00026569" w:rsidRPr="00681301" w:rsidRDefault="00026569" w:rsidP="00681301">
            <w:pPr>
              <w:pStyle w:val="Default"/>
              <w:jc w:val="center"/>
            </w:pPr>
            <w:r w:rsidRPr="00681301">
              <w:t>PVM</w:t>
            </w:r>
          </w:p>
          <w:p w14:paraId="26FC8B13" w14:textId="77777777" w:rsidR="00026569" w:rsidRDefault="00026569" w:rsidP="00681301">
            <w:pPr>
              <w:pStyle w:val="Default"/>
              <w:jc w:val="center"/>
            </w:pPr>
            <w:r w:rsidRPr="00681301">
              <w:rPr>
                <w:b/>
                <w:bCs/>
              </w:rPr>
              <w:t>24 mėn</w:t>
            </w:r>
            <w:r w:rsidRPr="00681301">
              <w:t>.</w:t>
            </w:r>
          </w:p>
          <w:p w14:paraId="079E7E4B" w14:textId="77777777" w:rsidR="009F75B2" w:rsidRDefault="009F75B2" w:rsidP="00681301">
            <w:pPr>
              <w:pStyle w:val="Default"/>
              <w:jc w:val="center"/>
            </w:pPr>
          </w:p>
          <w:p w14:paraId="03A0A9F9" w14:textId="77777777" w:rsidR="009F75B2" w:rsidRDefault="009F75B2" w:rsidP="00681301">
            <w:pPr>
              <w:pStyle w:val="Default"/>
              <w:jc w:val="center"/>
            </w:pPr>
          </w:p>
          <w:p w14:paraId="778635AC" w14:textId="77777777" w:rsidR="009F75B2" w:rsidRDefault="009F75B2" w:rsidP="00681301">
            <w:pPr>
              <w:pStyle w:val="Default"/>
              <w:jc w:val="center"/>
            </w:pPr>
          </w:p>
          <w:p w14:paraId="305E7111" w14:textId="77777777" w:rsidR="009F75B2" w:rsidRDefault="009F75B2" w:rsidP="00681301">
            <w:pPr>
              <w:pStyle w:val="Default"/>
              <w:jc w:val="center"/>
            </w:pPr>
          </w:p>
          <w:p w14:paraId="07402B9E" w14:textId="1F3F6AD0" w:rsidR="009F75B2" w:rsidRPr="00681301" w:rsidRDefault="009F75B2" w:rsidP="00681301">
            <w:pPr>
              <w:pStyle w:val="Default"/>
              <w:jc w:val="center"/>
              <w:rPr>
                <w:b/>
                <w:bCs/>
              </w:rPr>
            </w:pPr>
            <w:r>
              <w:t>(4x6)</w:t>
            </w:r>
          </w:p>
        </w:tc>
        <w:tc>
          <w:tcPr>
            <w:tcW w:w="1134" w:type="dxa"/>
          </w:tcPr>
          <w:p w14:paraId="245EC858" w14:textId="0B12E6AD" w:rsidR="00026569" w:rsidRPr="00681301" w:rsidRDefault="00026569" w:rsidP="00681301">
            <w:pPr>
              <w:pStyle w:val="Default"/>
              <w:jc w:val="center"/>
            </w:pPr>
            <w:r>
              <w:t>Kaina</w:t>
            </w:r>
            <w:r w:rsidRPr="00681301">
              <w:t>,</w:t>
            </w:r>
          </w:p>
          <w:p w14:paraId="67DC403C" w14:textId="4BA9C804" w:rsidR="00026569" w:rsidRPr="00681301" w:rsidRDefault="00026569" w:rsidP="00681301">
            <w:pPr>
              <w:pStyle w:val="Default"/>
              <w:jc w:val="center"/>
            </w:pPr>
            <w:r w:rsidRPr="00681301">
              <w:t>E</w:t>
            </w:r>
            <w:r>
              <w:t>ur</w:t>
            </w:r>
          </w:p>
          <w:p w14:paraId="6338ABA9" w14:textId="6305317E" w:rsidR="00026569" w:rsidRPr="00681301" w:rsidRDefault="00026569" w:rsidP="00681301">
            <w:pPr>
              <w:pStyle w:val="Default"/>
              <w:jc w:val="center"/>
            </w:pPr>
            <w:r w:rsidRPr="00681301">
              <w:t>su</w:t>
            </w:r>
          </w:p>
          <w:p w14:paraId="101E6E7B" w14:textId="59489C2B" w:rsidR="00026569" w:rsidRPr="00681301" w:rsidRDefault="00026569" w:rsidP="00681301">
            <w:pPr>
              <w:pStyle w:val="Default"/>
              <w:jc w:val="center"/>
            </w:pPr>
            <w:r w:rsidRPr="00681301">
              <w:t>PVM</w:t>
            </w:r>
          </w:p>
          <w:p w14:paraId="43D60E56" w14:textId="7A81105D" w:rsidR="00026569" w:rsidRPr="00681301" w:rsidRDefault="00026569" w:rsidP="00681301">
            <w:pPr>
              <w:pStyle w:val="Default"/>
              <w:jc w:val="center"/>
              <w:rPr>
                <w:b/>
                <w:bCs/>
              </w:rPr>
            </w:pPr>
            <w:r w:rsidRPr="00681301">
              <w:rPr>
                <w:b/>
                <w:bCs/>
              </w:rPr>
              <w:t>24 mėn.</w:t>
            </w:r>
          </w:p>
        </w:tc>
        <w:tc>
          <w:tcPr>
            <w:tcW w:w="3685" w:type="dxa"/>
          </w:tcPr>
          <w:p w14:paraId="05F0CD17" w14:textId="056082E6" w:rsidR="00026569" w:rsidRPr="00681301" w:rsidRDefault="00026569" w:rsidP="00681301">
            <w:pPr>
              <w:pStyle w:val="Default"/>
              <w:jc w:val="center"/>
              <w:rPr>
                <w:b/>
                <w:bCs/>
              </w:rPr>
            </w:pPr>
            <w:r w:rsidRPr="007B63ED">
              <w:rPr>
                <w:rFonts w:eastAsia="Times New Roman"/>
                <w:lang w:eastAsia="lt-LT"/>
                <w14:ligatures w14:val="none"/>
              </w:rPr>
              <w:t xml:space="preserve">Gamintojas, komercinis prekės pavadinimas, atitikimas kokybiniams ir techniniams reikalavimams </w:t>
            </w:r>
            <w:r>
              <w:rPr>
                <w:rFonts w:eastAsia="Times New Roman"/>
                <w:lang w:eastAsia="lt-LT"/>
                <w14:ligatures w14:val="none"/>
              </w:rPr>
              <w:t>(</w:t>
            </w:r>
            <w:r w:rsidRPr="005F7561">
              <w:rPr>
                <w:rFonts w:eastAsia="Times New Roman"/>
                <w:b/>
                <w:bCs/>
                <w:lang w:eastAsia="lt-LT"/>
                <w14:ligatures w14:val="none"/>
              </w:rPr>
              <w:t>nurodyti  dokumento pavadinimą ir puslapio Nr., pažymintį vietą, kurioje yra pateikta siūlomą parametrą bei parametro reikšmę patvirtinanti gamintojo informacija)</w:t>
            </w:r>
          </w:p>
        </w:tc>
      </w:tr>
      <w:tr w:rsidR="00827AEF" w:rsidRPr="00827AEF" w14:paraId="06395F1B" w14:textId="77777777" w:rsidTr="00026569">
        <w:tc>
          <w:tcPr>
            <w:tcW w:w="680" w:type="dxa"/>
          </w:tcPr>
          <w:p w14:paraId="1F7288F3" w14:textId="62022FB3" w:rsidR="00827AEF" w:rsidRPr="00827AEF" w:rsidRDefault="00827AEF" w:rsidP="00827AEF">
            <w:pPr>
              <w:pStyle w:val="Default"/>
              <w:jc w:val="center"/>
            </w:pPr>
            <w:r>
              <w:t>1</w:t>
            </w:r>
          </w:p>
        </w:tc>
        <w:tc>
          <w:tcPr>
            <w:tcW w:w="2434" w:type="dxa"/>
          </w:tcPr>
          <w:p w14:paraId="07FC93FE" w14:textId="08ECDC45" w:rsidR="00827AEF" w:rsidRPr="00827AEF" w:rsidRDefault="00827AEF" w:rsidP="00827AEF">
            <w:pPr>
              <w:pStyle w:val="Default"/>
              <w:jc w:val="center"/>
            </w:pPr>
            <w:r>
              <w:t>2</w:t>
            </w:r>
          </w:p>
        </w:tc>
        <w:tc>
          <w:tcPr>
            <w:tcW w:w="1418" w:type="dxa"/>
          </w:tcPr>
          <w:p w14:paraId="7FC63636" w14:textId="01CAE84F" w:rsidR="00827AEF" w:rsidRPr="00827AEF" w:rsidRDefault="00827AEF" w:rsidP="00827AEF">
            <w:pPr>
              <w:pStyle w:val="Default"/>
              <w:jc w:val="center"/>
            </w:pPr>
            <w:r>
              <w:t>3</w:t>
            </w:r>
          </w:p>
        </w:tc>
        <w:tc>
          <w:tcPr>
            <w:tcW w:w="1842" w:type="dxa"/>
          </w:tcPr>
          <w:p w14:paraId="721AA5A2" w14:textId="603EDCBD" w:rsidR="00827AEF" w:rsidRPr="00827AEF" w:rsidRDefault="00827AEF" w:rsidP="00827AEF">
            <w:pPr>
              <w:pStyle w:val="Default"/>
              <w:jc w:val="center"/>
              <w:rPr>
                <w:sz w:val="22"/>
                <w:szCs w:val="22"/>
              </w:rPr>
            </w:pPr>
            <w:r>
              <w:rPr>
                <w:sz w:val="22"/>
                <w:szCs w:val="22"/>
              </w:rPr>
              <w:t>4</w:t>
            </w:r>
          </w:p>
        </w:tc>
        <w:tc>
          <w:tcPr>
            <w:tcW w:w="1134" w:type="dxa"/>
          </w:tcPr>
          <w:p w14:paraId="035126F9" w14:textId="66A727C9" w:rsidR="00827AEF" w:rsidRPr="00827AEF" w:rsidRDefault="00827AEF" w:rsidP="00827AEF">
            <w:pPr>
              <w:pStyle w:val="Default"/>
              <w:jc w:val="center"/>
              <w:rPr>
                <w:sz w:val="22"/>
                <w:szCs w:val="22"/>
              </w:rPr>
            </w:pPr>
            <w:r>
              <w:rPr>
                <w:sz w:val="22"/>
                <w:szCs w:val="22"/>
              </w:rPr>
              <w:t>5</w:t>
            </w:r>
          </w:p>
        </w:tc>
        <w:tc>
          <w:tcPr>
            <w:tcW w:w="1276" w:type="dxa"/>
          </w:tcPr>
          <w:p w14:paraId="5B50E051" w14:textId="35AE34CB" w:rsidR="00827AEF" w:rsidRPr="00827AEF" w:rsidRDefault="00827AEF" w:rsidP="00827AEF">
            <w:pPr>
              <w:pStyle w:val="Default"/>
              <w:jc w:val="center"/>
              <w:rPr>
                <w:sz w:val="22"/>
                <w:szCs w:val="22"/>
              </w:rPr>
            </w:pPr>
            <w:r>
              <w:rPr>
                <w:sz w:val="22"/>
                <w:szCs w:val="22"/>
              </w:rPr>
              <w:t>6</w:t>
            </w:r>
          </w:p>
        </w:tc>
        <w:tc>
          <w:tcPr>
            <w:tcW w:w="1134" w:type="dxa"/>
          </w:tcPr>
          <w:p w14:paraId="48BA76AB" w14:textId="772C235D" w:rsidR="00827AEF" w:rsidRPr="00827AEF" w:rsidRDefault="00827AEF" w:rsidP="00827AEF">
            <w:pPr>
              <w:pStyle w:val="Default"/>
              <w:jc w:val="center"/>
              <w:rPr>
                <w:sz w:val="22"/>
                <w:szCs w:val="22"/>
              </w:rPr>
            </w:pPr>
            <w:r>
              <w:rPr>
                <w:sz w:val="22"/>
                <w:szCs w:val="22"/>
              </w:rPr>
              <w:t>7</w:t>
            </w:r>
          </w:p>
        </w:tc>
        <w:tc>
          <w:tcPr>
            <w:tcW w:w="1134" w:type="dxa"/>
          </w:tcPr>
          <w:p w14:paraId="3467568A" w14:textId="73559BE5" w:rsidR="00827AEF" w:rsidRPr="00827AEF" w:rsidRDefault="00827AEF" w:rsidP="00827AEF">
            <w:pPr>
              <w:pStyle w:val="Default"/>
              <w:jc w:val="center"/>
              <w:rPr>
                <w:sz w:val="22"/>
                <w:szCs w:val="22"/>
              </w:rPr>
            </w:pPr>
            <w:r>
              <w:rPr>
                <w:sz w:val="22"/>
                <w:szCs w:val="22"/>
              </w:rPr>
              <w:t>8</w:t>
            </w:r>
          </w:p>
        </w:tc>
        <w:tc>
          <w:tcPr>
            <w:tcW w:w="3685" w:type="dxa"/>
          </w:tcPr>
          <w:p w14:paraId="7B6FAC7E" w14:textId="364A9CCC" w:rsidR="00827AEF" w:rsidRPr="00827AEF" w:rsidRDefault="00827AEF" w:rsidP="00827AEF">
            <w:pPr>
              <w:pStyle w:val="Default"/>
              <w:jc w:val="center"/>
              <w:rPr>
                <w:sz w:val="22"/>
                <w:szCs w:val="22"/>
              </w:rPr>
            </w:pPr>
            <w:r>
              <w:rPr>
                <w:sz w:val="22"/>
                <w:szCs w:val="22"/>
              </w:rPr>
              <w:t>9</w:t>
            </w:r>
          </w:p>
        </w:tc>
      </w:tr>
      <w:tr w:rsidR="00026569" w14:paraId="16156C61" w14:textId="77777777" w:rsidTr="00026569">
        <w:tc>
          <w:tcPr>
            <w:tcW w:w="680" w:type="dxa"/>
          </w:tcPr>
          <w:p w14:paraId="3B6AB21C" w14:textId="73D6C12C" w:rsidR="00026569" w:rsidRPr="00614451" w:rsidRDefault="00026569" w:rsidP="00C512C5">
            <w:pPr>
              <w:pStyle w:val="Default"/>
              <w:rPr>
                <w:b/>
                <w:bCs/>
              </w:rPr>
            </w:pPr>
            <w:r w:rsidRPr="00614451">
              <w:rPr>
                <w:b/>
                <w:bCs/>
              </w:rPr>
              <w:t>1.</w:t>
            </w:r>
          </w:p>
        </w:tc>
        <w:tc>
          <w:tcPr>
            <w:tcW w:w="2434" w:type="dxa"/>
          </w:tcPr>
          <w:p w14:paraId="073FB2CC" w14:textId="10BDA17C" w:rsidR="00026569" w:rsidRPr="00614451" w:rsidRDefault="00026569" w:rsidP="00C512C5">
            <w:pPr>
              <w:pStyle w:val="Default"/>
              <w:rPr>
                <w:b/>
                <w:bCs/>
              </w:rPr>
            </w:pPr>
            <w:r w:rsidRPr="00614451">
              <w:rPr>
                <w:b/>
                <w:bCs/>
              </w:rPr>
              <w:t xml:space="preserve">Hematologiniai tyrimai (WBC, RBC, </w:t>
            </w:r>
            <w:proofErr w:type="spellStart"/>
            <w:r w:rsidRPr="00614451">
              <w:rPr>
                <w:b/>
                <w:bCs/>
              </w:rPr>
              <w:t>Hgb</w:t>
            </w:r>
            <w:proofErr w:type="spellEnd"/>
            <w:r w:rsidRPr="00614451">
              <w:rPr>
                <w:b/>
                <w:bCs/>
              </w:rPr>
              <w:t xml:space="preserve">, </w:t>
            </w:r>
            <w:proofErr w:type="spellStart"/>
            <w:r w:rsidRPr="00614451">
              <w:rPr>
                <w:b/>
                <w:bCs/>
              </w:rPr>
              <w:t>Hct</w:t>
            </w:r>
            <w:proofErr w:type="spellEnd"/>
            <w:r w:rsidRPr="00614451">
              <w:rPr>
                <w:b/>
                <w:bCs/>
              </w:rPr>
              <w:t xml:space="preserve">, MCV, MCH, MCHC, PLT, RDW, PDW, MPV, PCT, </w:t>
            </w:r>
            <w:proofErr w:type="spellStart"/>
            <w:r w:rsidRPr="00614451">
              <w:rPr>
                <w:b/>
                <w:bCs/>
              </w:rPr>
              <w:t>monocitai</w:t>
            </w:r>
            <w:proofErr w:type="spellEnd"/>
            <w:r w:rsidRPr="00614451">
              <w:rPr>
                <w:b/>
                <w:bCs/>
              </w:rPr>
              <w:t xml:space="preserve"> (#, %), limfocitai (#, %), </w:t>
            </w:r>
            <w:proofErr w:type="spellStart"/>
            <w:r w:rsidRPr="00614451">
              <w:rPr>
                <w:b/>
                <w:bCs/>
              </w:rPr>
              <w:t>granuliocitai</w:t>
            </w:r>
            <w:proofErr w:type="spellEnd"/>
            <w:r w:rsidRPr="00614451">
              <w:rPr>
                <w:b/>
                <w:bCs/>
              </w:rPr>
              <w:t xml:space="preserve"> (#,%), histogramos)</w:t>
            </w:r>
          </w:p>
        </w:tc>
        <w:tc>
          <w:tcPr>
            <w:tcW w:w="1418" w:type="dxa"/>
          </w:tcPr>
          <w:p w14:paraId="31BADF54" w14:textId="6890AE9B" w:rsidR="00026569" w:rsidRPr="00614451" w:rsidRDefault="00026569" w:rsidP="00681301">
            <w:pPr>
              <w:pStyle w:val="Default"/>
              <w:rPr>
                <w:b/>
                <w:bCs/>
              </w:rPr>
            </w:pPr>
            <w:r w:rsidRPr="00614451">
              <w:rPr>
                <w:b/>
                <w:bCs/>
              </w:rPr>
              <w:t>46</w:t>
            </w:r>
            <w:r>
              <w:rPr>
                <w:b/>
                <w:bCs/>
              </w:rPr>
              <w:t xml:space="preserve"> </w:t>
            </w:r>
            <w:r w:rsidRPr="00614451">
              <w:rPr>
                <w:b/>
                <w:bCs/>
              </w:rPr>
              <w:t>000</w:t>
            </w:r>
          </w:p>
        </w:tc>
        <w:tc>
          <w:tcPr>
            <w:tcW w:w="1842" w:type="dxa"/>
          </w:tcPr>
          <w:p w14:paraId="69165B3A" w14:textId="77777777" w:rsidR="00026569" w:rsidRDefault="00026569" w:rsidP="00C512C5">
            <w:pPr>
              <w:pStyle w:val="Default"/>
              <w:rPr>
                <w:b/>
                <w:bCs/>
                <w:sz w:val="22"/>
                <w:szCs w:val="22"/>
              </w:rPr>
            </w:pPr>
          </w:p>
        </w:tc>
        <w:tc>
          <w:tcPr>
            <w:tcW w:w="1134" w:type="dxa"/>
          </w:tcPr>
          <w:p w14:paraId="2FA2B968" w14:textId="77777777" w:rsidR="00026569" w:rsidRDefault="00026569" w:rsidP="00C512C5">
            <w:pPr>
              <w:pStyle w:val="Default"/>
              <w:rPr>
                <w:b/>
                <w:bCs/>
                <w:sz w:val="22"/>
                <w:szCs w:val="22"/>
              </w:rPr>
            </w:pPr>
          </w:p>
        </w:tc>
        <w:tc>
          <w:tcPr>
            <w:tcW w:w="1276" w:type="dxa"/>
          </w:tcPr>
          <w:p w14:paraId="19B6A560" w14:textId="46B1D770" w:rsidR="00026569" w:rsidRDefault="00026569" w:rsidP="00D33316">
            <w:pPr>
              <w:pStyle w:val="Default"/>
              <w:jc w:val="right"/>
              <w:rPr>
                <w:b/>
                <w:bCs/>
                <w:sz w:val="22"/>
                <w:szCs w:val="22"/>
              </w:rPr>
            </w:pPr>
          </w:p>
        </w:tc>
        <w:tc>
          <w:tcPr>
            <w:tcW w:w="1134" w:type="dxa"/>
          </w:tcPr>
          <w:p w14:paraId="0EF31D88" w14:textId="77777777" w:rsidR="00026569" w:rsidRDefault="00026569" w:rsidP="00D33316">
            <w:pPr>
              <w:pStyle w:val="Default"/>
              <w:jc w:val="right"/>
              <w:rPr>
                <w:b/>
                <w:bCs/>
                <w:sz w:val="22"/>
                <w:szCs w:val="22"/>
              </w:rPr>
            </w:pPr>
          </w:p>
        </w:tc>
        <w:tc>
          <w:tcPr>
            <w:tcW w:w="1134" w:type="dxa"/>
          </w:tcPr>
          <w:p w14:paraId="1FC0B317" w14:textId="77777777" w:rsidR="00026569" w:rsidRDefault="00026569" w:rsidP="00D33316">
            <w:pPr>
              <w:pStyle w:val="Default"/>
              <w:jc w:val="right"/>
              <w:rPr>
                <w:b/>
                <w:bCs/>
                <w:sz w:val="22"/>
                <w:szCs w:val="22"/>
              </w:rPr>
            </w:pPr>
          </w:p>
        </w:tc>
        <w:tc>
          <w:tcPr>
            <w:tcW w:w="3685" w:type="dxa"/>
          </w:tcPr>
          <w:p w14:paraId="3EA3342D" w14:textId="77777777" w:rsidR="00026569" w:rsidRDefault="00026569" w:rsidP="00C512C5">
            <w:pPr>
              <w:pStyle w:val="Default"/>
              <w:rPr>
                <w:b/>
                <w:bCs/>
                <w:sz w:val="22"/>
                <w:szCs w:val="22"/>
              </w:rPr>
            </w:pPr>
          </w:p>
        </w:tc>
      </w:tr>
      <w:tr w:rsidR="00026569" w14:paraId="5AFDB84D" w14:textId="77777777" w:rsidTr="00026569">
        <w:tc>
          <w:tcPr>
            <w:tcW w:w="680" w:type="dxa"/>
          </w:tcPr>
          <w:p w14:paraId="4EEB8A66" w14:textId="04953C16" w:rsidR="00026569" w:rsidRPr="00614451" w:rsidRDefault="00026569" w:rsidP="00C512C5">
            <w:pPr>
              <w:pStyle w:val="Default"/>
            </w:pPr>
            <w:r w:rsidRPr="00614451">
              <w:t>1.1.</w:t>
            </w:r>
          </w:p>
        </w:tc>
        <w:tc>
          <w:tcPr>
            <w:tcW w:w="2434" w:type="dxa"/>
          </w:tcPr>
          <w:p w14:paraId="3D2937A2" w14:textId="7D169800" w:rsidR="00026569" w:rsidRPr="00614451" w:rsidRDefault="00026569" w:rsidP="00C512C5">
            <w:pPr>
              <w:pStyle w:val="Default"/>
              <w:rPr>
                <w:b/>
                <w:bCs/>
              </w:rPr>
            </w:pPr>
            <w:r w:rsidRPr="00614451">
              <w:rPr>
                <w:i/>
                <w:iCs/>
              </w:rPr>
              <w:t xml:space="preserve">... reagentai, kontrolinės medžiagos ir/ar papildomos priemonės, reikalingos tyrimui atlikti su siūlomu analizatoriumi </w:t>
            </w:r>
            <w:r w:rsidRPr="00614451">
              <w:rPr>
                <w:b/>
                <w:bCs/>
                <w:i/>
                <w:iCs/>
              </w:rPr>
              <w:t>(įrašyti tikslius pavadinimus)</w:t>
            </w:r>
          </w:p>
        </w:tc>
        <w:tc>
          <w:tcPr>
            <w:tcW w:w="1418" w:type="dxa"/>
          </w:tcPr>
          <w:p w14:paraId="71480DC0" w14:textId="77777777" w:rsidR="00026569" w:rsidRPr="00614451" w:rsidRDefault="00026569" w:rsidP="00681301">
            <w:pPr>
              <w:pStyle w:val="Default"/>
              <w:rPr>
                <w:b/>
                <w:bCs/>
              </w:rPr>
            </w:pPr>
          </w:p>
        </w:tc>
        <w:tc>
          <w:tcPr>
            <w:tcW w:w="1842" w:type="dxa"/>
          </w:tcPr>
          <w:p w14:paraId="74447F06" w14:textId="77777777" w:rsidR="00026569" w:rsidRDefault="00026569" w:rsidP="00C512C5">
            <w:pPr>
              <w:pStyle w:val="Default"/>
              <w:rPr>
                <w:b/>
                <w:bCs/>
                <w:sz w:val="22"/>
                <w:szCs w:val="22"/>
              </w:rPr>
            </w:pPr>
          </w:p>
        </w:tc>
        <w:tc>
          <w:tcPr>
            <w:tcW w:w="1134" w:type="dxa"/>
          </w:tcPr>
          <w:p w14:paraId="3C2046E2" w14:textId="77777777" w:rsidR="00026569" w:rsidRDefault="00026569" w:rsidP="00C512C5">
            <w:pPr>
              <w:pStyle w:val="Default"/>
              <w:rPr>
                <w:b/>
                <w:bCs/>
                <w:sz w:val="22"/>
                <w:szCs w:val="22"/>
              </w:rPr>
            </w:pPr>
          </w:p>
        </w:tc>
        <w:tc>
          <w:tcPr>
            <w:tcW w:w="1276" w:type="dxa"/>
          </w:tcPr>
          <w:p w14:paraId="02CA0830" w14:textId="10AF9CD5" w:rsidR="00026569" w:rsidRDefault="00026569" w:rsidP="00D33316">
            <w:pPr>
              <w:pStyle w:val="Default"/>
              <w:jc w:val="right"/>
              <w:rPr>
                <w:b/>
                <w:bCs/>
                <w:sz w:val="22"/>
                <w:szCs w:val="22"/>
              </w:rPr>
            </w:pPr>
          </w:p>
        </w:tc>
        <w:tc>
          <w:tcPr>
            <w:tcW w:w="1134" w:type="dxa"/>
          </w:tcPr>
          <w:p w14:paraId="1BA8C86C" w14:textId="77777777" w:rsidR="00026569" w:rsidRDefault="00026569" w:rsidP="00D33316">
            <w:pPr>
              <w:pStyle w:val="Default"/>
              <w:jc w:val="right"/>
              <w:rPr>
                <w:b/>
                <w:bCs/>
                <w:sz w:val="22"/>
                <w:szCs w:val="22"/>
              </w:rPr>
            </w:pPr>
          </w:p>
        </w:tc>
        <w:tc>
          <w:tcPr>
            <w:tcW w:w="1134" w:type="dxa"/>
          </w:tcPr>
          <w:p w14:paraId="351D8671" w14:textId="77777777" w:rsidR="00026569" w:rsidRDefault="00026569" w:rsidP="00D33316">
            <w:pPr>
              <w:pStyle w:val="Default"/>
              <w:jc w:val="right"/>
              <w:rPr>
                <w:b/>
                <w:bCs/>
                <w:sz w:val="22"/>
                <w:szCs w:val="22"/>
              </w:rPr>
            </w:pPr>
          </w:p>
        </w:tc>
        <w:tc>
          <w:tcPr>
            <w:tcW w:w="3685" w:type="dxa"/>
          </w:tcPr>
          <w:p w14:paraId="48BB782A" w14:textId="77777777" w:rsidR="00026569" w:rsidRDefault="00026569" w:rsidP="00C512C5">
            <w:pPr>
              <w:pStyle w:val="Default"/>
              <w:rPr>
                <w:b/>
                <w:bCs/>
                <w:sz w:val="22"/>
                <w:szCs w:val="22"/>
              </w:rPr>
            </w:pPr>
          </w:p>
        </w:tc>
      </w:tr>
      <w:tr w:rsidR="00026569" w14:paraId="512A6375" w14:textId="77777777" w:rsidTr="00026569">
        <w:tc>
          <w:tcPr>
            <w:tcW w:w="680" w:type="dxa"/>
          </w:tcPr>
          <w:p w14:paraId="52944208" w14:textId="5ACD7E11" w:rsidR="00026569" w:rsidRPr="00614451" w:rsidRDefault="00026569" w:rsidP="00C512C5">
            <w:pPr>
              <w:pStyle w:val="Default"/>
              <w:rPr>
                <w:b/>
                <w:bCs/>
              </w:rPr>
            </w:pPr>
            <w:r w:rsidRPr="00614451">
              <w:rPr>
                <w:b/>
                <w:bCs/>
              </w:rPr>
              <w:t>2.</w:t>
            </w:r>
          </w:p>
        </w:tc>
        <w:tc>
          <w:tcPr>
            <w:tcW w:w="2434" w:type="dxa"/>
          </w:tcPr>
          <w:p w14:paraId="1CB60181" w14:textId="0F67F048" w:rsidR="00026569" w:rsidRPr="00614451" w:rsidRDefault="00026569" w:rsidP="00C512C5">
            <w:pPr>
              <w:pStyle w:val="Default"/>
              <w:rPr>
                <w:b/>
                <w:bCs/>
              </w:rPr>
            </w:pPr>
            <w:r w:rsidRPr="00614451">
              <w:rPr>
                <w:b/>
                <w:bCs/>
              </w:rPr>
              <w:t xml:space="preserve">Hematologiniai tyrimai (WBC, RBC, </w:t>
            </w:r>
            <w:proofErr w:type="spellStart"/>
            <w:r w:rsidRPr="00614451">
              <w:rPr>
                <w:b/>
                <w:bCs/>
              </w:rPr>
              <w:t>Hgb</w:t>
            </w:r>
            <w:proofErr w:type="spellEnd"/>
            <w:r w:rsidRPr="00614451">
              <w:rPr>
                <w:b/>
                <w:bCs/>
              </w:rPr>
              <w:t xml:space="preserve">, </w:t>
            </w:r>
            <w:proofErr w:type="spellStart"/>
            <w:r w:rsidRPr="00614451">
              <w:rPr>
                <w:b/>
                <w:bCs/>
              </w:rPr>
              <w:t>Hct</w:t>
            </w:r>
            <w:proofErr w:type="spellEnd"/>
            <w:r w:rsidRPr="00614451">
              <w:rPr>
                <w:b/>
                <w:bCs/>
              </w:rPr>
              <w:t xml:space="preserve">, MCV, MCH, MCHC, PLT, </w:t>
            </w:r>
            <w:r w:rsidRPr="00614451">
              <w:rPr>
                <w:b/>
                <w:bCs/>
              </w:rPr>
              <w:lastRenderedPageBreak/>
              <w:t xml:space="preserve">RDW, PDW, MPV, PCT, </w:t>
            </w:r>
            <w:proofErr w:type="spellStart"/>
            <w:r w:rsidRPr="00614451">
              <w:rPr>
                <w:b/>
                <w:bCs/>
              </w:rPr>
              <w:t>monocitai</w:t>
            </w:r>
            <w:proofErr w:type="spellEnd"/>
            <w:r w:rsidRPr="00614451">
              <w:rPr>
                <w:b/>
                <w:bCs/>
              </w:rPr>
              <w:t xml:space="preserve"> (#, %), limfocitai (#, %), </w:t>
            </w:r>
            <w:proofErr w:type="spellStart"/>
            <w:r w:rsidRPr="00614451">
              <w:rPr>
                <w:b/>
                <w:bCs/>
              </w:rPr>
              <w:t>granuliocitai</w:t>
            </w:r>
            <w:proofErr w:type="spellEnd"/>
            <w:r w:rsidRPr="00614451">
              <w:rPr>
                <w:b/>
                <w:bCs/>
              </w:rPr>
              <w:t xml:space="preserve"> (#,%), histogramos) + CRB</w:t>
            </w:r>
          </w:p>
        </w:tc>
        <w:tc>
          <w:tcPr>
            <w:tcW w:w="1418" w:type="dxa"/>
          </w:tcPr>
          <w:p w14:paraId="0D64681D" w14:textId="11875397" w:rsidR="00026569" w:rsidRPr="00614451" w:rsidRDefault="00026569" w:rsidP="00681301">
            <w:pPr>
              <w:pStyle w:val="Default"/>
              <w:rPr>
                <w:b/>
                <w:bCs/>
              </w:rPr>
            </w:pPr>
            <w:r w:rsidRPr="00614451">
              <w:rPr>
                <w:b/>
                <w:bCs/>
              </w:rPr>
              <w:lastRenderedPageBreak/>
              <w:t>21</w:t>
            </w:r>
            <w:r>
              <w:rPr>
                <w:b/>
                <w:bCs/>
              </w:rPr>
              <w:t xml:space="preserve"> </w:t>
            </w:r>
            <w:r w:rsidRPr="00614451">
              <w:rPr>
                <w:b/>
                <w:bCs/>
              </w:rPr>
              <w:t>000</w:t>
            </w:r>
          </w:p>
        </w:tc>
        <w:tc>
          <w:tcPr>
            <w:tcW w:w="1842" w:type="dxa"/>
          </w:tcPr>
          <w:p w14:paraId="5FFAE77E" w14:textId="77777777" w:rsidR="00026569" w:rsidRDefault="00026569" w:rsidP="00C512C5">
            <w:pPr>
              <w:pStyle w:val="Default"/>
              <w:rPr>
                <w:b/>
                <w:bCs/>
                <w:sz w:val="22"/>
                <w:szCs w:val="22"/>
              </w:rPr>
            </w:pPr>
          </w:p>
        </w:tc>
        <w:tc>
          <w:tcPr>
            <w:tcW w:w="1134" w:type="dxa"/>
          </w:tcPr>
          <w:p w14:paraId="2E44159F" w14:textId="77777777" w:rsidR="00026569" w:rsidRDefault="00026569" w:rsidP="00C512C5">
            <w:pPr>
              <w:pStyle w:val="Default"/>
              <w:rPr>
                <w:b/>
                <w:bCs/>
                <w:sz w:val="22"/>
                <w:szCs w:val="22"/>
              </w:rPr>
            </w:pPr>
          </w:p>
        </w:tc>
        <w:tc>
          <w:tcPr>
            <w:tcW w:w="1276" w:type="dxa"/>
          </w:tcPr>
          <w:p w14:paraId="378FA723" w14:textId="3D4C2C16" w:rsidR="00026569" w:rsidRDefault="00026569" w:rsidP="00D33316">
            <w:pPr>
              <w:pStyle w:val="Default"/>
              <w:jc w:val="right"/>
              <w:rPr>
                <w:b/>
                <w:bCs/>
                <w:sz w:val="22"/>
                <w:szCs w:val="22"/>
              </w:rPr>
            </w:pPr>
          </w:p>
        </w:tc>
        <w:tc>
          <w:tcPr>
            <w:tcW w:w="1134" w:type="dxa"/>
          </w:tcPr>
          <w:p w14:paraId="1D0BC5CE" w14:textId="77777777" w:rsidR="00026569" w:rsidRDefault="00026569" w:rsidP="00D33316">
            <w:pPr>
              <w:pStyle w:val="Default"/>
              <w:jc w:val="right"/>
              <w:rPr>
                <w:b/>
                <w:bCs/>
                <w:sz w:val="22"/>
                <w:szCs w:val="22"/>
              </w:rPr>
            </w:pPr>
          </w:p>
        </w:tc>
        <w:tc>
          <w:tcPr>
            <w:tcW w:w="1134" w:type="dxa"/>
          </w:tcPr>
          <w:p w14:paraId="67B02C60" w14:textId="77777777" w:rsidR="00026569" w:rsidRDefault="00026569" w:rsidP="00D33316">
            <w:pPr>
              <w:pStyle w:val="Default"/>
              <w:jc w:val="right"/>
              <w:rPr>
                <w:b/>
                <w:bCs/>
                <w:sz w:val="22"/>
                <w:szCs w:val="22"/>
              </w:rPr>
            </w:pPr>
          </w:p>
        </w:tc>
        <w:tc>
          <w:tcPr>
            <w:tcW w:w="3685" w:type="dxa"/>
          </w:tcPr>
          <w:p w14:paraId="6CA35615" w14:textId="77777777" w:rsidR="00026569" w:rsidRDefault="00026569" w:rsidP="00C512C5">
            <w:pPr>
              <w:pStyle w:val="Default"/>
              <w:rPr>
                <w:b/>
                <w:bCs/>
                <w:sz w:val="22"/>
                <w:szCs w:val="22"/>
              </w:rPr>
            </w:pPr>
          </w:p>
        </w:tc>
      </w:tr>
      <w:tr w:rsidR="00026569" w14:paraId="0F6D58E7" w14:textId="77777777" w:rsidTr="00026569">
        <w:tc>
          <w:tcPr>
            <w:tcW w:w="680" w:type="dxa"/>
          </w:tcPr>
          <w:p w14:paraId="623654D8" w14:textId="2428D21C" w:rsidR="00026569" w:rsidRPr="00614451" w:rsidRDefault="00026569" w:rsidP="00C512C5">
            <w:pPr>
              <w:pStyle w:val="Default"/>
              <w:rPr>
                <w:b/>
                <w:bCs/>
              </w:rPr>
            </w:pPr>
            <w:r w:rsidRPr="00614451">
              <w:rPr>
                <w:b/>
                <w:bCs/>
              </w:rPr>
              <w:t>2.1.</w:t>
            </w:r>
          </w:p>
        </w:tc>
        <w:tc>
          <w:tcPr>
            <w:tcW w:w="2434" w:type="dxa"/>
          </w:tcPr>
          <w:p w14:paraId="5961DE66" w14:textId="0CEEC6C3" w:rsidR="00026569" w:rsidRPr="00614451" w:rsidRDefault="00026569" w:rsidP="00C512C5">
            <w:pPr>
              <w:pStyle w:val="Default"/>
              <w:rPr>
                <w:b/>
                <w:bCs/>
              </w:rPr>
            </w:pPr>
            <w:r w:rsidRPr="00614451">
              <w:rPr>
                <w:i/>
                <w:iCs/>
              </w:rPr>
              <w:t xml:space="preserve">... reagentai, kontrolinės medžiagos ir/ar papildomos priemonės, reikalingos tyrimui atlikti su siūlomu analizatoriumi </w:t>
            </w:r>
            <w:r w:rsidRPr="00614451">
              <w:rPr>
                <w:b/>
                <w:bCs/>
                <w:i/>
                <w:iCs/>
              </w:rPr>
              <w:t>(įrašyti tikslius pavadinimus)</w:t>
            </w:r>
          </w:p>
        </w:tc>
        <w:tc>
          <w:tcPr>
            <w:tcW w:w="1418" w:type="dxa"/>
          </w:tcPr>
          <w:p w14:paraId="1A9DD988" w14:textId="77777777" w:rsidR="00026569" w:rsidRPr="00614451" w:rsidRDefault="00026569" w:rsidP="00681301">
            <w:pPr>
              <w:pStyle w:val="Default"/>
              <w:rPr>
                <w:b/>
                <w:bCs/>
              </w:rPr>
            </w:pPr>
          </w:p>
        </w:tc>
        <w:tc>
          <w:tcPr>
            <w:tcW w:w="1842" w:type="dxa"/>
          </w:tcPr>
          <w:p w14:paraId="34AEEE27" w14:textId="77777777" w:rsidR="00026569" w:rsidRDefault="00026569" w:rsidP="00C512C5">
            <w:pPr>
              <w:pStyle w:val="Default"/>
              <w:rPr>
                <w:b/>
                <w:bCs/>
                <w:sz w:val="22"/>
                <w:szCs w:val="22"/>
              </w:rPr>
            </w:pPr>
          </w:p>
        </w:tc>
        <w:tc>
          <w:tcPr>
            <w:tcW w:w="1134" w:type="dxa"/>
          </w:tcPr>
          <w:p w14:paraId="2662F1F0" w14:textId="77777777" w:rsidR="00026569" w:rsidRDefault="00026569" w:rsidP="00C512C5">
            <w:pPr>
              <w:pStyle w:val="Default"/>
              <w:rPr>
                <w:b/>
                <w:bCs/>
                <w:sz w:val="22"/>
                <w:szCs w:val="22"/>
              </w:rPr>
            </w:pPr>
          </w:p>
        </w:tc>
        <w:tc>
          <w:tcPr>
            <w:tcW w:w="1276" w:type="dxa"/>
          </w:tcPr>
          <w:p w14:paraId="35F32D67" w14:textId="04FE2F23" w:rsidR="00026569" w:rsidRDefault="00026569" w:rsidP="00C512C5">
            <w:pPr>
              <w:pStyle w:val="Default"/>
              <w:rPr>
                <w:b/>
                <w:bCs/>
                <w:sz w:val="22"/>
                <w:szCs w:val="22"/>
              </w:rPr>
            </w:pPr>
          </w:p>
        </w:tc>
        <w:tc>
          <w:tcPr>
            <w:tcW w:w="1134" w:type="dxa"/>
          </w:tcPr>
          <w:p w14:paraId="4D219D16" w14:textId="77777777" w:rsidR="00026569" w:rsidRDefault="00026569" w:rsidP="00C512C5">
            <w:pPr>
              <w:pStyle w:val="Default"/>
              <w:rPr>
                <w:b/>
                <w:bCs/>
                <w:sz w:val="22"/>
                <w:szCs w:val="22"/>
              </w:rPr>
            </w:pPr>
          </w:p>
        </w:tc>
        <w:tc>
          <w:tcPr>
            <w:tcW w:w="1134" w:type="dxa"/>
          </w:tcPr>
          <w:p w14:paraId="1D943893" w14:textId="77777777" w:rsidR="00026569" w:rsidRDefault="00026569" w:rsidP="00C512C5">
            <w:pPr>
              <w:pStyle w:val="Default"/>
              <w:rPr>
                <w:b/>
                <w:bCs/>
                <w:sz w:val="22"/>
                <w:szCs w:val="22"/>
              </w:rPr>
            </w:pPr>
          </w:p>
        </w:tc>
        <w:tc>
          <w:tcPr>
            <w:tcW w:w="3685" w:type="dxa"/>
          </w:tcPr>
          <w:p w14:paraId="5A4B223D" w14:textId="77777777" w:rsidR="00026569" w:rsidRDefault="00026569" w:rsidP="00C512C5">
            <w:pPr>
              <w:pStyle w:val="Default"/>
              <w:rPr>
                <w:b/>
                <w:bCs/>
                <w:sz w:val="22"/>
                <w:szCs w:val="22"/>
              </w:rPr>
            </w:pPr>
          </w:p>
        </w:tc>
      </w:tr>
      <w:tr w:rsidR="00B55432" w14:paraId="7FA76A78" w14:textId="77777777" w:rsidTr="002240A5">
        <w:tc>
          <w:tcPr>
            <w:tcW w:w="8784" w:type="dxa"/>
            <w:gridSpan w:val="6"/>
          </w:tcPr>
          <w:p w14:paraId="6C3E4E5C" w14:textId="35DD1FC2" w:rsidR="00B55432" w:rsidRDefault="001D60CA" w:rsidP="00B55432">
            <w:pPr>
              <w:pStyle w:val="Default"/>
              <w:jc w:val="right"/>
              <w:rPr>
                <w:b/>
                <w:bCs/>
                <w:sz w:val="22"/>
                <w:szCs w:val="22"/>
              </w:rPr>
            </w:pPr>
            <w:r w:rsidRPr="000E61C4">
              <w:rPr>
                <w:b/>
                <w:bCs/>
              </w:rPr>
              <w:t>Bendra sąlyginė pasiūlymo kaina</w:t>
            </w:r>
            <w:r>
              <w:rPr>
                <w:b/>
                <w:bCs/>
              </w:rPr>
              <w:t>:</w:t>
            </w:r>
          </w:p>
        </w:tc>
        <w:tc>
          <w:tcPr>
            <w:tcW w:w="1134" w:type="dxa"/>
          </w:tcPr>
          <w:p w14:paraId="2D511656" w14:textId="77777777" w:rsidR="00B55432" w:rsidRDefault="00B55432" w:rsidP="00C512C5">
            <w:pPr>
              <w:pStyle w:val="Default"/>
              <w:rPr>
                <w:b/>
                <w:bCs/>
                <w:sz w:val="22"/>
                <w:szCs w:val="22"/>
              </w:rPr>
            </w:pPr>
          </w:p>
        </w:tc>
        <w:tc>
          <w:tcPr>
            <w:tcW w:w="1134" w:type="dxa"/>
          </w:tcPr>
          <w:p w14:paraId="1AD29EE9" w14:textId="77777777" w:rsidR="00B55432" w:rsidRDefault="00B55432" w:rsidP="00C512C5">
            <w:pPr>
              <w:pStyle w:val="Default"/>
              <w:rPr>
                <w:b/>
                <w:bCs/>
                <w:sz w:val="22"/>
                <w:szCs w:val="22"/>
              </w:rPr>
            </w:pPr>
          </w:p>
        </w:tc>
        <w:tc>
          <w:tcPr>
            <w:tcW w:w="3685" w:type="dxa"/>
          </w:tcPr>
          <w:p w14:paraId="1D2716EE" w14:textId="3A1C0526" w:rsidR="00B55432" w:rsidRDefault="00B55432" w:rsidP="00B55432">
            <w:pPr>
              <w:pStyle w:val="Default"/>
              <w:jc w:val="center"/>
              <w:rPr>
                <w:b/>
                <w:bCs/>
                <w:sz w:val="22"/>
                <w:szCs w:val="22"/>
              </w:rPr>
            </w:pPr>
            <w:r>
              <w:rPr>
                <w:b/>
                <w:bCs/>
                <w:sz w:val="22"/>
                <w:szCs w:val="22"/>
              </w:rPr>
              <w:t>X</w:t>
            </w:r>
          </w:p>
        </w:tc>
      </w:tr>
    </w:tbl>
    <w:p w14:paraId="52ACAC4A" w14:textId="77777777" w:rsidR="00CF44F9" w:rsidRDefault="00CF44F9" w:rsidP="00076136">
      <w:pPr>
        <w:pStyle w:val="Default"/>
        <w:rPr>
          <w:b/>
          <w:bCs/>
          <w:sz w:val="22"/>
          <w:szCs w:val="22"/>
        </w:rPr>
      </w:pPr>
    </w:p>
    <w:p w14:paraId="5D4ABFB3" w14:textId="77777777" w:rsidR="00F61697" w:rsidRDefault="00F61697" w:rsidP="002C78B9">
      <w:pPr>
        <w:spacing w:after="0" w:line="240" w:lineRule="auto"/>
        <w:rPr>
          <w:rFonts w:ascii="Times New Roman" w:hAnsi="Times New Roman" w:cs="Times New Roman"/>
          <w:b/>
          <w:bCs/>
        </w:rPr>
      </w:pPr>
    </w:p>
    <w:p w14:paraId="64E193E7" w14:textId="43D1A8EF" w:rsidR="002C78B9" w:rsidRPr="000E61C4" w:rsidRDefault="002C78B9" w:rsidP="002C78B9">
      <w:pPr>
        <w:spacing w:after="0" w:line="240" w:lineRule="auto"/>
        <w:rPr>
          <w:rFonts w:ascii="Times New Roman" w:hAnsi="Times New Roman" w:cs="Times New Roman"/>
          <w:b/>
          <w:bCs/>
          <w:color w:val="FF0000"/>
        </w:rPr>
      </w:pPr>
      <w:r w:rsidRPr="000E61C4">
        <w:rPr>
          <w:rFonts w:ascii="Times New Roman" w:hAnsi="Times New Roman" w:cs="Times New Roman"/>
          <w:b/>
          <w:bCs/>
        </w:rPr>
        <w:t>Bendra sąlyginė pasiūlymo kaina yra..........................................................Eur....................ct</w:t>
      </w:r>
      <w:r w:rsidRPr="000E61C4">
        <w:rPr>
          <w:rFonts w:ascii="Times New Roman" w:hAnsi="Times New Roman" w:cs="Times New Roman"/>
          <w:b/>
          <w:bCs/>
          <w:color w:val="FF0000"/>
        </w:rPr>
        <w:t xml:space="preserve"> </w:t>
      </w:r>
      <w:r w:rsidRPr="000E61C4">
        <w:rPr>
          <w:rFonts w:ascii="Times New Roman" w:hAnsi="Times New Roman" w:cs="Times New Roman"/>
          <w:b/>
          <w:bCs/>
        </w:rPr>
        <w:t>(su PVM).</w:t>
      </w:r>
    </w:p>
    <w:p w14:paraId="3CF3F4A3" w14:textId="77777777" w:rsidR="002C78B9" w:rsidRPr="000E61C4" w:rsidRDefault="002C78B9" w:rsidP="002C78B9">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E61C4">
        <w:rPr>
          <w:rFonts w:ascii="Times New Roman" w:hAnsi="Times New Roman" w:cs="Times New Roman"/>
        </w:rPr>
        <w:t xml:space="preserve">                                                                              (žodžiais)</w:t>
      </w:r>
    </w:p>
    <w:p w14:paraId="66969B1A" w14:textId="77777777" w:rsidR="00BC1A71" w:rsidRDefault="00BC1A71" w:rsidP="005F7574">
      <w:pPr>
        <w:pStyle w:val="Default"/>
        <w:rPr>
          <w:b/>
          <w:bCs/>
        </w:rPr>
      </w:pPr>
    </w:p>
    <w:p w14:paraId="24AFC857" w14:textId="77777777" w:rsidR="00857014" w:rsidRDefault="00857014" w:rsidP="0046453A">
      <w:pPr>
        <w:pStyle w:val="Default"/>
        <w:jc w:val="center"/>
        <w:rPr>
          <w:b/>
          <w:bCs/>
        </w:rPr>
      </w:pPr>
    </w:p>
    <w:p w14:paraId="618516A6" w14:textId="0800E076" w:rsidR="005F7574" w:rsidRDefault="005F7574" w:rsidP="0046453A">
      <w:pPr>
        <w:pStyle w:val="Default"/>
        <w:jc w:val="center"/>
        <w:rPr>
          <w:b/>
          <w:bCs/>
        </w:rPr>
      </w:pPr>
      <w:r w:rsidRPr="00614451">
        <w:rPr>
          <w:b/>
          <w:bCs/>
        </w:rPr>
        <w:t>BŪTINI BENDRIEJI TECHNINĖS SPECIFIKACIJOS REIKALAVIMAI PANAUDAI SIŪLOMIEMS ANALIZATORIAMS</w:t>
      </w:r>
    </w:p>
    <w:p w14:paraId="7E763288" w14:textId="77777777" w:rsidR="0046453A" w:rsidRPr="00614451" w:rsidRDefault="0046453A" w:rsidP="0046453A">
      <w:pPr>
        <w:pStyle w:val="Default"/>
        <w:jc w:val="center"/>
      </w:pPr>
    </w:p>
    <w:p w14:paraId="49C2CABA" w14:textId="7E18D13B" w:rsidR="005F7574" w:rsidRPr="00614451" w:rsidRDefault="005F7574" w:rsidP="0046453A">
      <w:pPr>
        <w:pStyle w:val="Default"/>
        <w:ind w:firstLine="567"/>
        <w:jc w:val="both"/>
      </w:pPr>
      <w:r w:rsidRPr="00614451">
        <w:t xml:space="preserve">1. Į VšĮ Rokiškio pirminės asmens sveikatos priežiūros centro klinikos diagnostikos laboratoriją (Juodupės g. 1A, Rokiškis) analizatoriai pristatomi per 20 kalendorinių dienų nuo sutarties pasirašymo dienos. </w:t>
      </w:r>
      <w:r w:rsidRPr="00614451">
        <w:rPr>
          <w:b/>
          <w:bCs/>
        </w:rPr>
        <w:t xml:space="preserve">Tiekėjas savo sąskaita analizatorius pristato, sumontuoja, instaliuoja, paruošia jį darbui ir išbando. </w:t>
      </w:r>
      <w:r w:rsidRPr="00614451">
        <w:t xml:space="preserve">Tiekėjas pateikia analizatorių naudojimo vadovą lietuvių ir anglų kalbomis, užpildo analizatorių techninius pasus, apmoka personalą darbui su pateiktais analizatoriais. </w:t>
      </w:r>
    </w:p>
    <w:p w14:paraId="50E8150A" w14:textId="77777777" w:rsidR="005F7574" w:rsidRPr="00614451" w:rsidRDefault="005F7574" w:rsidP="0046453A">
      <w:pPr>
        <w:pStyle w:val="Default"/>
        <w:ind w:firstLine="567"/>
        <w:jc w:val="both"/>
      </w:pPr>
      <w:r w:rsidRPr="00614451">
        <w:t xml:space="preserve">2. Sutarties vykdymo metu Tiekėjas, suteikęs įrangą panaudos būdu, turės savo sąskaita remontuoti, atlikti techninę priežiūrą pagal gamintojo </w:t>
      </w:r>
    </w:p>
    <w:p w14:paraId="2B542B6B" w14:textId="47BE5CAB" w:rsidR="005F7574" w:rsidRPr="00614451" w:rsidRDefault="005F7574" w:rsidP="003C765F">
      <w:pPr>
        <w:pStyle w:val="Default"/>
        <w:jc w:val="both"/>
      </w:pPr>
      <w:r w:rsidRPr="00614451">
        <w:t xml:space="preserve">rekomendacijas ir techninės būklės tikrinimą (jei toks reikalingas, vadovaujantis teisės aktų reikalavimais ar gamintojo rekomendacijomis) bei kitaip užtikrinti nenutrūkstamą įrangos veikimą ir tinkamą funkcionavimą. Gedimas, po pranešimo gavimo, turi būti pradėtas šalinti per 24 val. darbo dienomis arba per kitas 24 val. pristatomas toks pat pakaitinis analizatorius. </w:t>
      </w:r>
    </w:p>
    <w:p w14:paraId="6770A982" w14:textId="6CF5FA6A" w:rsidR="0098369C" w:rsidRDefault="005F7574" w:rsidP="0046453A">
      <w:pPr>
        <w:pStyle w:val="Default"/>
        <w:ind w:firstLine="567"/>
        <w:jc w:val="both"/>
      </w:pPr>
      <w:r w:rsidRPr="00614451">
        <w:t>3. Visą sutarties galiojimo laikotarpį tiekėjas įsipareigoja teikti nemokamą kvalifikuotų specialistų konsultaciją ir pagalbą visais klausimais, susijusiais su teikiamų prekių ir įrangos kokybišku darbu.</w:t>
      </w:r>
    </w:p>
    <w:p w14:paraId="42014922" w14:textId="77777777" w:rsidR="0098369C" w:rsidRDefault="0098369C" w:rsidP="00404BC4">
      <w:pPr>
        <w:pStyle w:val="Default"/>
        <w:jc w:val="both"/>
        <w:rPr>
          <w:sz w:val="23"/>
          <w:szCs w:val="23"/>
        </w:rPr>
      </w:pPr>
    </w:p>
    <w:p w14:paraId="674DA53F" w14:textId="77777777" w:rsidR="00614451" w:rsidRDefault="00614451" w:rsidP="00404BC4">
      <w:pPr>
        <w:pStyle w:val="Default"/>
        <w:jc w:val="both"/>
        <w:rPr>
          <w:sz w:val="23"/>
          <w:szCs w:val="23"/>
        </w:rPr>
      </w:pPr>
    </w:p>
    <w:p w14:paraId="4E271C29" w14:textId="77777777" w:rsidR="00614451" w:rsidRDefault="00614451" w:rsidP="00404BC4">
      <w:pPr>
        <w:pStyle w:val="Default"/>
        <w:jc w:val="both"/>
        <w:rPr>
          <w:sz w:val="23"/>
          <w:szCs w:val="23"/>
        </w:rPr>
      </w:pPr>
    </w:p>
    <w:p w14:paraId="237D053D" w14:textId="77777777" w:rsidR="00E4206C" w:rsidRDefault="00E4206C" w:rsidP="00705A36">
      <w:pPr>
        <w:pStyle w:val="Default"/>
        <w:jc w:val="center"/>
        <w:rPr>
          <w:b/>
          <w:bCs/>
        </w:rPr>
      </w:pPr>
    </w:p>
    <w:p w14:paraId="17030DEE" w14:textId="77777777" w:rsidR="00E4206C" w:rsidRDefault="00E4206C" w:rsidP="00705A36">
      <w:pPr>
        <w:pStyle w:val="Default"/>
        <w:jc w:val="center"/>
        <w:rPr>
          <w:b/>
          <w:bCs/>
        </w:rPr>
      </w:pPr>
    </w:p>
    <w:p w14:paraId="300755EB" w14:textId="77777777" w:rsidR="00E4206C" w:rsidRDefault="00E4206C" w:rsidP="00705A36">
      <w:pPr>
        <w:pStyle w:val="Default"/>
        <w:jc w:val="center"/>
        <w:rPr>
          <w:b/>
          <w:bCs/>
        </w:rPr>
      </w:pPr>
    </w:p>
    <w:p w14:paraId="7FF57D8A" w14:textId="6B3A20C0" w:rsidR="0098369C" w:rsidRDefault="00705A36" w:rsidP="00705A36">
      <w:pPr>
        <w:pStyle w:val="Default"/>
        <w:jc w:val="center"/>
        <w:rPr>
          <w:b/>
          <w:bCs/>
        </w:rPr>
      </w:pPr>
      <w:r w:rsidRPr="00705A36">
        <w:rPr>
          <w:b/>
          <w:bCs/>
        </w:rPr>
        <w:t>TECHNINIŲ PARAMETRŲ REIKALAVIMAI PANAUDAI SIŪLOM</w:t>
      </w:r>
      <w:r>
        <w:rPr>
          <w:b/>
          <w:bCs/>
        </w:rPr>
        <w:t>IEMS</w:t>
      </w:r>
      <w:r w:rsidRPr="00705A36">
        <w:rPr>
          <w:b/>
          <w:bCs/>
        </w:rPr>
        <w:t xml:space="preserve"> ANALIZATORI</w:t>
      </w:r>
      <w:r>
        <w:rPr>
          <w:b/>
          <w:bCs/>
        </w:rPr>
        <w:t>AMS</w:t>
      </w:r>
      <w:r w:rsidR="008710B8">
        <w:rPr>
          <w:b/>
          <w:bCs/>
        </w:rPr>
        <w:t xml:space="preserve"> (2 VNT.)</w:t>
      </w:r>
    </w:p>
    <w:p w14:paraId="7C9D1314" w14:textId="77777777" w:rsidR="00705A36" w:rsidRPr="00614451" w:rsidRDefault="00705A36" w:rsidP="00705A36">
      <w:pPr>
        <w:pStyle w:val="Default"/>
        <w:jc w:val="center"/>
        <w:rPr>
          <w:b/>
          <w:bCs/>
        </w:rPr>
      </w:pPr>
    </w:p>
    <w:tbl>
      <w:tblPr>
        <w:tblStyle w:val="Lentelstinklelis"/>
        <w:tblW w:w="0" w:type="auto"/>
        <w:tblLook w:val="04A0" w:firstRow="1" w:lastRow="0" w:firstColumn="1" w:lastColumn="0" w:noHBand="0" w:noVBand="1"/>
      </w:tblPr>
      <w:tblGrid>
        <w:gridCol w:w="556"/>
        <w:gridCol w:w="3834"/>
        <w:gridCol w:w="5244"/>
        <w:gridCol w:w="4359"/>
      </w:tblGrid>
      <w:tr w:rsidR="00614451" w:rsidRPr="00614451" w14:paraId="06F2DAB9" w14:textId="77777777" w:rsidTr="00072D3E">
        <w:tc>
          <w:tcPr>
            <w:tcW w:w="556" w:type="dxa"/>
          </w:tcPr>
          <w:p w14:paraId="403F2517" w14:textId="772FCFDD" w:rsidR="00CF44F9" w:rsidRPr="00614451" w:rsidRDefault="00614451" w:rsidP="00A67F83">
            <w:pPr>
              <w:pStyle w:val="Default"/>
              <w:jc w:val="center"/>
            </w:pPr>
            <w:r w:rsidRPr="00614451">
              <w:t>Eil. Nr.</w:t>
            </w:r>
          </w:p>
        </w:tc>
        <w:tc>
          <w:tcPr>
            <w:tcW w:w="3834" w:type="dxa"/>
          </w:tcPr>
          <w:p w14:paraId="517EB63A" w14:textId="6E1F72F1" w:rsidR="00CF44F9" w:rsidRPr="00614451" w:rsidRDefault="00614451" w:rsidP="00A67F83">
            <w:pPr>
              <w:pStyle w:val="Default"/>
              <w:jc w:val="center"/>
            </w:pPr>
            <w:r w:rsidRPr="00614451">
              <w:t>Pavadinimas/ techniniai parametrai</w:t>
            </w:r>
          </w:p>
        </w:tc>
        <w:tc>
          <w:tcPr>
            <w:tcW w:w="5244" w:type="dxa"/>
          </w:tcPr>
          <w:p w14:paraId="0521A4DE" w14:textId="32838141" w:rsidR="00CF44F9" w:rsidRPr="00614451" w:rsidRDefault="00614451" w:rsidP="00A67F83">
            <w:pPr>
              <w:pStyle w:val="Default"/>
              <w:jc w:val="center"/>
            </w:pPr>
            <w:r w:rsidRPr="00614451">
              <w:t>Reikalaujami techniniai parametrai</w:t>
            </w:r>
          </w:p>
        </w:tc>
        <w:tc>
          <w:tcPr>
            <w:tcW w:w="4359" w:type="dxa"/>
          </w:tcPr>
          <w:p w14:paraId="31EE5DA2" w14:textId="77777777" w:rsidR="00A67F83" w:rsidRPr="00A67F83" w:rsidRDefault="00A67F83" w:rsidP="00A67F83">
            <w:pPr>
              <w:jc w:val="center"/>
              <w:rPr>
                <w:rFonts w:ascii="Times New Roman" w:eastAsia="Times New Roman" w:hAnsi="Times New Roman" w:cs="Times New Roman"/>
                <w:bCs/>
                <w:kern w:val="0"/>
                <w:lang w:eastAsia="lt-LT"/>
                <w14:ligatures w14:val="none"/>
              </w:rPr>
            </w:pPr>
            <w:r w:rsidRPr="00A67F83">
              <w:rPr>
                <w:rFonts w:ascii="Times New Roman" w:eastAsia="Times New Roman" w:hAnsi="Times New Roman" w:cs="Times New Roman"/>
                <w:kern w:val="0"/>
                <w:lang w:eastAsia="lt-LT"/>
                <w14:ligatures w14:val="none"/>
              </w:rPr>
              <w:t>Techninis parametrų atitikimas</w:t>
            </w:r>
            <w:r w:rsidRPr="00A67F83">
              <w:rPr>
                <w:rFonts w:ascii="Times New Roman" w:eastAsia="Times New Roman" w:hAnsi="Times New Roman" w:cs="Times New Roman"/>
                <w:b/>
                <w:bCs/>
                <w:kern w:val="0"/>
                <w:lang w:eastAsia="lt-LT"/>
                <w14:ligatures w14:val="none"/>
              </w:rPr>
              <w:t xml:space="preserve">, </w:t>
            </w:r>
            <w:r w:rsidRPr="00A67F83">
              <w:rPr>
                <w:rFonts w:ascii="Times New Roman" w:eastAsia="Times New Roman" w:hAnsi="Times New Roman" w:cs="Times New Roman"/>
                <w:bCs/>
                <w:kern w:val="0"/>
                <w:lang w:eastAsia="lt-LT"/>
                <w14:ligatures w14:val="none"/>
              </w:rPr>
              <w:t xml:space="preserve">konkreti parametro reikšmė </w:t>
            </w:r>
          </w:p>
          <w:p w14:paraId="76BE8B4C" w14:textId="208AD576" w:rsidR="00CF44F9" w:rsidRPr="00614451" w:rsidRDefault="00A67F83" w:rsidP="00A67F83">
            <w:pPr>
              <w:pStyle w:val="Default"/>
              <w:jc w:val="center"/>
              <w:rPr>
                <w:b/>
                <w:bCs/>
              </w:rPr>
            </w:pPr>
            <w:r w:rsidRPr="00A67F83">
              <w:rPr>
                <w:rFonts w:eastAsia="Times New Roman"/>
                <w:bCs/>
                <w:color w:val="auto"/>
                <w:lang w:eastAsia="lt-LT"/>
                <w14:ligatures w14:val="none"/>
              </w:rPr>
              <w:t>(</w:t>
            </w:r>
            <w:r w:rsidRPr="00A67F83">
              <w:rPr>
                <w:rFonts w:eastAsia="Times New Roman"/>
                <w:b/>
                <w:color w:val="auto"/>
                <w:lang w:eastAsia="lt-LT"/>
                <w14:ligatures w14:val="none"/>
              </w:rPr>
              <w:t xml:space="preserve">nurodyti </w:t>
            </w:r>
            <w:r w:rsidRPr="00A67F83">
              <w:rPr>
                <w:rFonts w:eastAsia="Times New Roman"/>
                <w:b/>
                <w:color w:val="auto"/>
                <w:kern w:val="2"/>
              </w:rPr>
              <w:t xml:space="preserve"> dokumento pavadinimą ir puslapio Nr., pažymintį vietą, kurioje yra pateikta siūlomą techninį parametrą bei parametro reikšmę patvirtinanti gamintojo informacija</w:t>
            </w:r>
            <w:r w:rsidRPr="00A67F83">
              <w:rPr>
                <w:rFonts w:eastAsia="Times New Roman"/>
                <w:bCs/>
                <w:color w:val="auto"/>
                <w:kern w:val="2"/>
              </w:rPr>
              <w:t>)</w:t>
            </w:r>
          </w:p>
        </w:tc>
      </w:tr>
      <w:tr w:rsidR="00614451" w:rsidRPr="00614451" w14:paraId="1FA54D0B" w14:textId="77777777" w:rsidTr="00072D3E">
        <w:tc>
          <w:tcPr>
            <w:tcW w:w="556" w:type="dxa"/>
          </w:tcPr>
          <w:p w14:paraId="2DBDA547" w14:textId="2163C319" w:rsidR="00CF44F9" w:rsidRPr="00614451" w:rsidRDefault="00614451" w:rsidP="0098369C">
            <w:pPr>
              <w:pStyle w:val="Default"/>
            </w:pPr>
            <w:r w:rsidRPr="00614451">
              <w:t>1.</w:t>
            </w:r>
          </w:p>
        </w:tc>
        <w:tc>
          <w:tcPr>
            <w:tcW w:w="3834" w:type="dxa"/>
          </w:tcPr>
          <w:p w14:paraId="5F7A65DD" w14:textId="35E6B5FF" w:rsidR="00CF44F9" w:rsidRPr="00614451" w:rsidRDefault="00614451" w:rsidP="0098369C">
            <w:pPr>
              <w:pStyle w:val="Default"/>
              <w:rPr>
                <w:b/>
                <w:bCs/>
              </w:rPr>
            </w:pPr>
            <w:r w:rsidRPr="00614451">
              <w:t>Analizatoriai 3 dalių hematologiniams tyrimams ir CRB atlikti (2 vnt.) arba jiems lygiavertės sistemos (2 vnt.)</w:t>
            </w:r>
          </w:p>
        </w:tc>
        <w:tc>
          <w:tcPr>
            <w:tcW w:w="5244" w:type="dxa"/>
          </w:tcPr>
          <w:p w14:paraId="75A2BDA7" w14:textId="191102C1" w:rsidR="00CF44F9" w:rsidRPr="00614451" w:rsidRDefault="00614451" w:rsidP="00072D3E">
            <w:pPr>
              <w:pStyle w:val="Default"/>
              <w:rPr>
                <w:b/>
                <w:bCs/>
              </w:rPr>
            </w:pPr>
            <w:r w:rsidRPr="00614451">
              <w:t>Analizatoriaus arba sistemos pavadinimas, tipas/ modelis, gamintojas</w:t>
            </w:r>
          </w:p>
        </w:tc>
        <w:tc>
          <w:tcPr>
            <w:tcW w:w="4359" w:type="dxa"/>
          </w:tcPr>
          <w:p w14:paraId="7F529EDC" w14:textId="2569DE29" w:rsidR="00CF44F9" w:rsidRPr="00614451" w:rsidRDefault="000158FB" w:rsidP="0098369C">
            <w:pPr>
              <w:pStyle w:val="Default"/>
              <w:rPr>
                <w:b/>
                <w:bCs/>
              </w:rPr>
            </w:pPr>
            <w:r>
              <w:rPr>
                <w:rFonts w:eastAsia="Times New Roman"/>
              </w:rPr>
              <w:t>(Įrašo tiekėjas)</w:t>
            </w:r>
          </w:p>
        </w:tc>
      </w:tr>
      <w:tr w:rsidR="00614451" w:rsidRPr="00614451" w14:paraId="3FE0D955" w14:textId="77777777" w:rsidTr="00072D3E">
        <w:tc>
          <w:tcPr>
            <w:tcW w:w="556" w:type="dxa"/>
          </w:tcPr>
          <w:p w14:paraId="238960DC" w14:textId="63B35060" w:rsidR="00CF44F9" w:rsidRPr="00614451" w:rsidRDefault="00614451" w:rsidP="0098369C">
            <w:pPr>
              <w:pStyle w:val="Default"/>
            </w:pPr>
            <w:r w:rsidRPr="00614451">
              <w:t>2.</w:t>
            </w:r>
          </w:p>
        </w:tc>
        <w:tc>
          <w:tcPr>
            <w:tcW w:w="3834" w:type="dxa"/>
          </w:tcPr>
          <w:p w14:paraId="6855A4CC" w14:textId="29C7AC04" w:rsidR="00CF44F9" w:rsidRPr="00614451" w:rsidRDefault="00614451" w:rsidP="0098369C">
            <w:pPr>
              <w:pStyle w:val="Default"/>
            </w:pPr>
            <w:r w:rsidRPr="00614451">
              <w:t>Matuojami parametrai</w:t>
            </w:r>
          </w:p>
        </w:tc>
        <w:tc>
          <w:tcPr>
            <w:tcW w:w="5244" w:type="dxa"/>
          </w:tcPr>
          <w:p w14:paraId="38A00DE3" w14:textId="66C0AB54" w:rsidR="00CF44F9" w:rsidRPr="00614451" w:rsidRDefault="00614451" w:rsidP="00072D3E">
            <w:pPr>
              <w:pStyle w:val="Default"/>
              <w:rPr>
                <w:b/>
                <w:bCs/>
              </w:rPr>
            </w:pPr>
            <w:r w:rsidRPr="00614451">
              <w:t xml:space="preserve">Ne mažiau 19: WBC, RBC, </w:t>
            </w:r>
            <w:proofErr w:type="spellStart"/>
            <w:r w:rsidRPr="00614451">
              <w:t>Hgb</w:t>
            </w:r>
            <w:proofErr w:type="spellEnd"/>
            <w:r w:rsidRPr="00614451">
              <w:t xml:space="preserve">, </w:t>
            </w:r>
            <w:proofErr w:type="spellStart"/>
            <w:r w:rsidRPr="00614451">
              <w:t>Hct</w:t>
            </w:r>
            <w:proofErr w:type="spellEnd"/>
            <w:r w:rsidRPr="00614451">
              <w:t xml:space="preserve">, MCV, MCH, MCHC, PLT, RDW, PDW, MPV, PCT,  </w:t>
            </w:r>
            <w:proofErr w:type="spellStart"/>
            <w:r w:rsidRPr="00614451">
              <w:t>monocitai</w:t>
            </w:r>
            <w:proofErr w:type="spellEnd"/>
            <w:r w:rsidRPr="00614451">
              <w:t xml:space="preserve"> (#, %), limfocitai (#, %), </w:t>
            </w:r>
            <w:proofErr w:type="spellStart"/>
            <w:r w:rsidRPr="00614451">
              <w:t>granuliocitai</w:t>
            </w:r>
            <w:proofErr w:type="spellEnd"/>
            <w:r w:rsidRPr="00614451">
              <w:t xml:space="preserve"> (#, %), histogramos, CRB</w:t>
            </w:r>
          </w:p>
        </w:tc>
        <w:tc>
          <w:tcPr>
            <w:tcW w:w="4359" w:type="dxa"/>
          </w:tcPr>
          <w:p w14:paraId="6F4186E4" w14:textId="4B855298" w:rsidR="00CF44F9" w:rsidRPr="00614451" w:rsidRDefault="000158FB" w:rsidP="0098369C">
            <w:pPr>
              <w:pStyle w:val="Default"/>
              <w:rPr>
                <w:b/>
                <w:bCs/>
              </w:rPr>
            </w:pPr>
            <w:r>
              <w:rPr>
                <w:rFonts w:eastAsia="Times New Roman"/>
              </w:rPr>
              <w:t>(Įrašo tiekėjas)</w:t>
            </w:r>
          </w:p>
        </w:tc>
      </w:tr>
      <w:tr w:rsidR="00614451" w:rsidRPr="00614451" w14:paraId="5390A468" w14:textId="77777777" w:rsidTr="00072D3E">
        <w:tc>
          <w:tcPr>
            <w:tcW w:w="556" w:type="dxa"/>
          </w:tcPr>
          <w:p w14:paraId="2FFE5923" w14:textId="5D2D07D8" w:rsidR="00CF44F9" w:rsidRPr="00614451" w:rsidRDefault="00614451" w:rsidP="0098369C">
            <w:pPr>
              <w:pStyle w:val="Default"/>
            </w:pPr>
            <w:r w:rsidRPr="00614451">
              <w:t>3.</w:t>
            </w:r>
          </w:p>
        </w:tc>
        <w:tc>
          <w:tcPr>
            <w:tcW w:w="3834" w:type="dxa"/>
          </w:tcPr>
          <w:p w14:paraId="4BAE6397" w14:textId="3484FCA8" w:rsidR="00CF44F9" w:rsidRPr="00614451" w:rsidRDefault="00614451" w:rsidP="0098369C">
            <w:pPr>
              <w:pStyle w:val="Default"/>
            </w:pPr>
            <w:r w:rsidRPr="00614451">
              <w:t>Mėginiai, jų tipas</w:t>
            </w:r>
          </w:p>
        </w:tc>
        <w:tc>
          <w:tcPr>
            <w:tcW w:w="5244" w:type="dxa"/>
          </w:tcPr>
          <w:p w14:paraId="32C8E830" w14:textId="77777777" w:rsidR="000F552F" w:rsidRDefault="00614451" w:rsidP="00072D3E">
            <w:pPr>
              <w:pStyle w:val="Default"/>
            </w:pPr>
            <w:r w:rsidRPr="00614451">
              <w:t xml:space="preserve">Tiriamoji medžiaga- kraujas. Galimybė tirti kapiliarinį ir veninį kraują iš atvirų pirminių mėgintuvėlių su EDTA ir </w:t>
            </w:r>
            <w:proofErr w:type="spellStart"/>
            <w:r w:rsidRPr="00614451">
              <w:t>mikromėgintuvėlių</w:t>
            </w:r>
            <w:proofErr w:type="spellEnd"/>
            <w:r w:rsidRPr="00614451">
              <w:t xml:space="preserve"> </w:t>
            </w:r>
          </w:p>
          <w:p w14:paraId="7C2F6374" w14:textId="34F4EA2F" w:rsidR="00CF44F9" w:rsidRPr="00614451" w:rsidRDefault="00614451" w:rsidP="00072D3E">
            <w:pPr>
              <w:pStyle w:val="Default"/>
              <w:rPr>
                <w:b/>
                <w:bCs/>
              </w:rPr>
            </w:pPr>
            <w:r w:rsidRPr="00614451">
              <w:t xml:space="preserve">150-200 </w:t>
            </w:r>
            <w:proofErr w:type="spellStart"/>
            <w:r w:rsidRPr="00614451">
              <w:t>μl</w:t>
            </w:r>
            <w:proofErr w:type="spellEnd"/>
          </w:p>
        </w:tc>
        <w:tc>
          <w:tcPr>
            <w:tcW w:w="4359" w:type="dxa"/>
          </w:tcPr>
          <w:p w14:paraId="410763E8" w14:textId="54BE5C4C" w:rsidR="00CF44F9" w:rsidRPr="00614451" w:rsidRDefault="000158FB" w:rsidP="0098369C">
            <w:pPr>
              <w:pStyle w:val="Default"/>
              <w:rPr>
                <w:b/>
                <w:bCs/>
              </w:rPr>
            </w:pPr>
            <w:r>
              <w:rPr>
                <w:rFonts w:eastAsia="Times New Roman"/>
              </w:rPr>
              <w:t>(Įrašo tiekėjas)</w:t>
            </w:r>
          </w:p>
        </w:tc>
      </w:tr>
      <w:tr w:rsidR="00614451" w:rsidRPr="00614451" w14:paraId="41916161" w14:textId="77777777" w:rsidTr="00072D3E">
        <w:tc>
          <w:tcPr>
            <w:tcW w:w="556" w:type="dxa"/>
          </w:tcPr>
          <w:p w14:paraId="6EFFFD8C" w14:textId="518671EC" w:rsidR="00CF44F9" w:rsidRPr="00614451" w:rsidRDefault="00614451" w:rsidP="0098369C">
            <w:pPr>
              <w:pStyle w:val="Default"/>
            </w:pPr>
            <w:r w:rsidRPr="00614451">
              <w:t>4.</w:t>
            </w:r>
          </w:p>
        </w:tc>
        <w:tc>
          <w:tcPr>
            <w:tcW w:w="3834" w:type="dxa"/>
          </w:tcPr>
          <w:p w14:paraId="6DAEE6E8" w14:textId="7235EE42" w:rsidR="00CF44F9" w:rsidRPr="00614451" w:rsidRDefault="00614451" w:rsidP="0098369C">
            <w:pPr>
              <w:pStyle w:val="Default"/>
            </w:pPr>
            <w:r w:rsidRPr="00614451">
              <w:t>Mėginio tūris</w:t>
            </w:r>
          </w:p>
        </w:tc>
        <w:tc>
          <w:tcPr>
            <w:tcW w:w="5244" w:type="dxa"/>
          </w:tcPr>
          <w:p w14:paraId="69DD46A5" w14:textId="3E1AFE17" w:rsidR="00CF44F9" w:rsidRPr="00614451" w:rsidRDefault="00614451" w:rsidP="00072D3E">
            <w:pPr>
              <w:pStyle w:val="Default"/>
              <w:rPr>
                <w:b/>
                <w:bCs/>
              </w:rPr>
            </w:pPr>
            <w:r w:rsidRPr="00614451">
              <w:t xml:space="preserve">Ne daugiau kaip 40 </w:t>
            </w:r>
            <w:proofErr w:type="spellStart"/>
            <w:r w:rsidRPr="00614451">
              <w:t>μl</w:t>
            </w:r>
            <w:proofErr w:type="spellEnd"/>
            <w:r w:rsidRPr="00614451">
              <w:t xml:space="preserve"> kraujo CBC režime</w:t>
            </w:r>
          </w:p>
        </w:tc>
        <w:tc>
          <w:tcPr>
            <w:tcW w:w="4359" w:type="dxa"/>
          </w:tcPr>
          <w:p w14:paraId="68EC053A" w14:textId="25E7C09A" w:rsidR="00CF44F9" w:rsidRPr="00614451" w:rsidRDefault="000158FB" w:rsidP="0098369C">
            <w:pPr>
              <w:pStyle w:val="Default"/>
              <w:rPr>
                <w:b/>
                <w:bCs/>
              </w:rPr>
            </w:pPr>
            <w:r>
              <w:rPr>
                <w:rFonts w:eastAsia="Times New Roman"/>
              </w:rPr>
              <w:t>(Įrašo tiekėjas)</w:t>
            </w:r>
          </w:p>
        </w:tc>
      </w:tr>
      <w:tr w:rsidR="00614451" w:rsidRPr="00614451" w14:paraId="18AD77FF" w14:textId="77777777" w:rsidTr="00072D3E">
        <w:tc>
          <w:tcPr>
            <w:tcW w:w="556" w:type="dxa"/>
          </w:tcPr>
          <w:p w14:paraId="0151A1E1" w14:textId="67C602F8" w:rsidR="00CF44F9" w:rsidRPr="00614451" w:rsidRDefault="00614451" w:rsidP="0098369C">
            <w:pPr>
              <w:pStyle w:val="Default"/>
            </w:pPr>
            <w:r>
              <w:t>5.</w:t>
            </w:r>
          </w:p>
        </w:tc>
        <w:tc>
          <w:tcPr>
            <w:tcW w:w="3834" w:type="dxa"/>
          </w:tcPr>
          <w:p w14:paraId="33BBEDD6" w14:textId="331ECA98" w:rsidR="00CF44F9" w:rsidRPr="00614451" w:rsidRDefault="00614451" w:rsidP="0098369C">
            <w:pPr>
              <w:pStyle w:val="Default"/>
            </w:pPr>
            <w:r w:rsidRPr="00614451">
              <w:t>Tyrimų atlikimo greitis</w:t>
            </w:r>
          </w:p>
        </w:tc>
        <w:tc>
          <w:tcPr>
            <w:tcW w:w="5244" w:type="dxa"/>
          </w:tcPr>
          <w:p w14:paraId="5AEAC4D2" w14:textId="60804E7B" w:rsidR="00614451" w:rsidRPr="00614451" w:rsidRDefault="00614451" w:rsidP="00072D3E">
            <w:pPr>
              <w:pStyle w:val="Default"/>
            </w:pPr>
            <w:r w:rsidRPr="00614451">
              <w:t>Ne mažiau 50 tyrimų/val</w:t>
            </w:r>
            <w:r w:rsidR="000F552F">
              <w:t>.</w:t>
            </w:r>
            <w:r w:rsidRPr="00614451">
              <w:t xml:space="preserve"> (CBC režime)</w:t>
            </w:r>
          </w:p>
          <w:p w14:paraId="4B9FEDF4" w14:textId="0A8A01AC" w:rsidR="00CF44F9" w:rsidRPr="00614451" w:rsidRDefault="00614451" w:rsidP="00072D3E">
            <w:pPr>
              <w:pStyle w:val="Default"/>
            </w:pPr>
            <w:r w:rsidRPr="00614451">
              <w:t>Ne mažiau 15 tyrimų/val. (CBC+CRP režime)</w:t>
            </w:r>
          </w:p>
        </w:tc>
        <w:tc>
          <w:tcPr>
            <w:tcW w:w="4359" w:type="dxa"/>
          </w:tcPr>
          <w:p w14:paraId="51788C5C" w14:textId="46D4AA7D" w:rsidR="00CF44F9" w:rsidRPr="00614451" w:rsidRDefault="000158FB" w:rsidP="0098369C">
            <w:pPr>
              <w:pStyle w:val="Default"/>
              <w:rPr>
                <w:b/>
                <w:bCs/>
              </w:rPr>
            </w:pPr>
            <w:r>
              <w:rPr>
                <w:rFonts w:eastAsia="Times New Roman"/>
              </w:rPr>
              <w:t>(Įrašo tiekėjas)</w:t>
            </w:r>
          </w:p>
        </w:tc>
      </w:tr>
      <w:tr w:rsidR="00614451" w:rsidRPr="00614451" w14:paraId="7C4A2CF3" w14:textId="77777777" w:rsidTr="00072D3E">
        <w:tc>
          <w:tcPr>
            <w:tcW w:w="556" w:type="dxa"/>
          </w:tcPr>
          <w:p w14:paraId="67C121FA" w14:textId="011CDCC3" w:rsidR="00614451" w:rsidRDefault="00614451" w:rsidP="0098369C">
            <w:pPr>
              <w:pStyle w:val="Default"/>
            </w:pPr>
            <w:r>
              <w:t>6.</w:t>
            </w:r>
          </w:p>
        </w:tc>
        <w:tc>
          <w:tcPr>
            <w:tcW w:w="3834" w:type="dxa"/>
          </w:tcPr>
          <w:p w14:paraId="77415B71" w14:textId="68A155B4" w:rsidR="00614451" w:rsidRPr="00614451" w:rsidRDefault="00614451" w:rsidP="0098369C">
            <w:pPr>
              <w:pStyle w:val="Default"/>
            </w:pPr>
            <w:proofErr w:type="spellStart"/>
            <w:r>
              <w:t>Linijiškumas</w:t>
            </w:r>
            <w:proofErr w:type="spellEnd"/>
          </w:p>
        </w:tc>
        <w:tc>
          <w:tcPr>
            <w:tcW w:w="5244" w:type="dxa"/>
          </w:tcPr>
          <w:p w14:paraId="215E0646" w14:textId="6B6ED9CE" w:rsidR="00614451" w:rsidRPr="00614451" w:rsidRDefault="00614451" w:rsidP="00072D3E">
            <w:pPr>
              <w:pStyle w:val="Default"/>
              <w:tabs>
                <w:tab w:val="left" w:pos="1980"/>
              </w:tabs>
            </w:pPr>
            <w:r w:rsidRPr="00614451">
              <w:t>Ne mažiau kaip:</w:t>
            </w:r>
            <w:r w:rsidR="002354CD">
              <w:t xml:space="preserve"> </w:t>
            </w:r>
            <w:r w:rsidRPr="00614451">
              <w:t>CRP 5-200 mg/l</w:t>
            </w:r>
          </w:p>
        </w:tc>
        <w:tc>
          <w:tcPr>
            <w:tcW w:w="4359" w:type="dxa"/>
          </w:tcPr>
          <w:p w14:paraId="2F236799" w14:textId="679D4F61" w:rsidR="00614451" w:rsidRPr="00614451" w:rsidRDefault="000158FB" w:rsidP="0098369C">
            <w:pPr>
              <w:pStyle w:val="Default"/>
              <w:rPr>
                <w:b/>
                <w:bCs/>
              </w:rPr>
            </w:pPr>
            <w:r>
              <w:rPr>
                <w:rFonts w:eastAsia="Times New Roman"/>
              </w:rPr>
              <w:t>(Įrašo tiekėjas)</w:t>
            </w:r>
          </w:p>
        </w:tc>
      </w:tr>
      <w:tr w:rsidR="00614451" w:rsidRPr="00614451" w14:paraId="4FC12BE5" w14:textId="77777777" w:rsidTr="00072D3E">
        <w:tc>
          <w:tcPr>
            <w:tcW w:w="556" w:type="dxa"/>
          </w:tcPr>
          <w:p w14:paraId="20E35D5B" w14:textId="09AD1D62" w:rsidR="00614451" w:rsidRDefault="00614451" w:rsidP="0098369C">
            <w:pPr>
              <w:pStyle w:val="Default"/>
            </w:pPr>
            <w:r>
              <w:t>7.</w:t>
            </w:r>
          </w:p>
        </w:tc>
        <w:tc>
          <w:tcPr>
            <w:tcW w:w="3834" w:type="dxa"/>
          </w:tcPr>
          <w:p w14:paraId="4D81236E" w14:textId="2DBA3C64" w:rsidR="00614451" w:rsidRPr="00614451" w:rsidRDefault="00614451" w:rsidP="0098369C">
            <w:pPr>
              <w:pStyle w:val="Default"/>
            </w:pPr>
            <w:r>
              <w:t>Reagentų likučio kontrolė</w:t>
            </w:r>
          </w:p>
        </w:tc>
        <w:tc>
          <w:tcPr>
            <w:tcW w:w="5244" w:type="dxa"/>
          </w:tcPr>
          <w:p w14:paraId="6E3915B7" w14:textId="22CD13AE" w:rsidR="00614451" w:rsidRPr="00614451" w:rsidRDefault="00614451" w:rsidP="00072D3E">
            <w:pPr>
              <w:pStyle w:val="Default"/>
            </w:pPr>
            <w:r w:rsidRPr="00614451">
              <w:t>Būtina</w:t>
            </w:r>
          </w:p>
        </w:tc>
        <w:tc>
          <w:tcPr>
            <w:tcW w:w="4359" w:type="dxa"/>
          </w:tcPr>
          <w:p w14:paraId="1F02F6C2" w14:textId="31AA29F3" w:rsidR="00614451" w:rsidRPr="00614451" w:rsidRDefault="000158FB" w:rsidP="0098369C">
            <w:pPr>
              <w:pStyle w:val="Default"/>
              <w:rPr>
                <w:b/>
                <w:bCs/>
              </w:rPr>
            </w:pPr>
            <w:r>
              <w:rPr>
                <w:rFonts w:eastAsia="Times New Roman"/>
              </w:rPr>
              <w:t>(Įrašo tiekėjas)</w:t>
            </w:r>
          </w:p>
        </w:tc>
      </w:tr>
      <w:tr w:rsidR="00614451" w:rsidRPr="00614451" w14:paraId="7B025E89" w14:textId="77777777" w:rsidTr="00072D3E">
        <w:tc>
          <w:tcPr>
            <w:tcW w:w="556" w:type="dxa"/>
          </w:tcPr>
          <w:p w14:paraId="7BC1641F" w14:textId="152E0855" w:rsidR="00614451" w:rsidRDefault="00614451" w:rsidP="0098369C">
            <w:pPr>
              <w:pStyle w:val="Default"/>
            </w:pPr>
            <w:r>
              <w:t>8.</w:t>
            </w:r>
          </w:p>
        </w:tc>
        <w:tc>
          <w:tcPr>
            <w:tcW w:w="3834" w:type="dxa"/>
          </w:tcPr>
          <w:p w14:paraId="452B0155" w14:textId="1E2F4703" w:rsidR="00614451" w:rsidRPr="00DB3B84" w:rsidRDefault="00DB3B84" w:rsidP="0098369C">
            <w:pPr>
              <w:pStyle w:val="Default"/>
            </w:pPr>
            <w:r w:rsidRPr="00DB3B84">
              <w:t>Valdymas (</w:t>
            </w:r>
            <w:proofErr w:type="spellStart"/>
            <w:r w:rsidRPr="00DB3B84">
              <w:t>validavimas</w:t>
            </w:r>
            <w:proofErr w:type="spellEnd"/>
            <w:r w:rsidRPr="00DB3B84">
              <w:t xml:space="preserve">), rezultatų pateikimas vienoje </w:t>
            </w:r>
            <w:proofErr w:type="spellStart"/>
            <w:r w:rsidRPr="00DB3B84">
              <w:t>ompiuterizuotoje</w:t>
            </w:r>
            <w:proofErr w:type="spellEnd"/>
            <w:r w:rsidRPr="00DB3B84">
              <w:t xml:space="preserve"> darbo vietoje</w:t>
            </w:r>
          </w:p>
        </w:tc>
        <w:tc>
          <w:tcPr>
            <w:tcW w:w="5244" w:type="dxa"/>
          </w:tcPr>
          <w:p w14:paraId="2EA298A3" w14:textId="16A6A821" w:rsidR="00614451" w:rsidRPr="00DB3B84" w:rsidRDefault="00DB3B84" w:rsidP="00072D3E">
            <w:pPr>
              <w:pStyle w:val="Default"/>
            </w:pPr>
            <w:r w:rsidRPr="00DB3B84">
              <w:t>Būtina</w:t>
            </w:r>
          </w:p>
          <w:p w14:paraId="1DDF0567" w14:textId="128CA9DF" w:rsidR="00DB3B84" w:rsidRPr="00614451" w:rsidRDefault="00DB3B84" w:rsidP="00072D3E">
            <w:pPr>
              <w:pStyle w:val="Default"/>
              <w:rPr>
                <w:b/>
                <w:bCs/>
              </w:rPr>
            </w:pPr>
            <w:r w:rsidRPr="00DB3B84">
              <w:t>Rezultatai gali būti atspausdinami spausdintuvu</w:t>
            </w:r>
          </w:p>
        </w:tc>
        <w:tc>
          <w:tcPr>
            <w:tcW w:w="4359" w:type="dxa"/>
          </w:tcPr>
          <w:p w14:paraId="0FDF0CFF" w14:textId="6818272B" w:rsidR="00614451" w:rsidRPr="00614451" w:rsidRDefault="000158FB" w:rsidP="0098369C">
            <w:pPr>
              <w:pStyle w:val="Default"/>
              <w:rPr>
                <w:b/>
                <w:bCs/>
              </w:rPr>
            </w:pPr>
            <w:r>
              <w:rPr>
                <w:rFonts w:eastAsia="Times New Roman"/>
              </w:rPr>
              <w:t>(Įrašo tiekėjas)</w:t>
            </w:r>
          </w:p>
        </w:tc>
      </w:tr>
      <w:tr w:rsidR="00614451" w:rsidRPr="00614451" w14:paraId="566F9944" w14:textId="77777777" w:rsidTr="00072D3E">
        <w:tc>
          <w:tcPr>
            <w:tcW w:w="556" w:type="dxa"/>
          </w:tcPr>
          <w:p w14:paraId="5A118B27" w14:textId="4EBF7282" w:rsidR="00614451" w:rsidRDefault="00DB3B84" w:rsidP="0098369C">
            <w:pPr>
              <w:pStyle w:val="Default"/>
            </w:pPr>
            <w:r>
              <w:t>9.</w:t>
            </w:r>
          </w:p>
        </w:tc>
        <w:tc>
          <w:tcPr>
            <w:tcW w:w="3834" w:type="dxa"/>
          </w:tcPr>
          <w:p w14:paraId="6E144011" w14:textId="1E81FB55" w:rsidR="00614451" w:rsidRPr="00614451" w:rsidRDefault="00DB3B84" w:rsidP="0098369C">
            <w:pPr>
              <w:pStyle w:val="Default"/>
            </w:pPr>
            <w:r>
              <w:t>Komplektacija</w:t>
            </w:r>
          </w:p>
        </w:tc>
        <w:tc>
          <w:tcPr>
            <w:tcW w:w="5244" w:type="dxa"/>
          </w:tcPr>
          <w:p w14:paraId="19EAB168" w14:textId="6E31DFBB" w:rsidR="00614451" w:rsidRPr="00DB3B84" w:rsidRDefault="00DB3B84" w:rsidP="00072D3E">
            <w:pPr>
              <w:pStyle w:val="Default"/>
              <w:rPr>
                <w:b/>
                <w:bCs/>
              </w:rPr>
            </w:pPr>
            <w:r w:rsidRPr="00DB3B84">
              <w:t xml:space="preserve">Analizatorius, spausdintuvas </w:t>
            </w:r>
            <w:r w:rsidRPr="00DB3B84">
              <w:rPr>
                <w:b/>
                <w:bCs/>
              </w:rPr>
              <w:t>su jam pritaikytu popieriumi</w:t>
            </w:r>
            <w:r w:rsidRPr="00DB3B84">
              <w:t xml:space="preserve">, UPS arba sistema, susidedanti iš hematologinio analizatoriaus, CRB analizatoriaus ir juos apjungiančios programinės įrangos, PC, spausdintuvo </w:t>
            </w:r>
            <w:r w:rsidRPr="00DB3B84">
              <w:rPr>
                <w:b/>
                <w:bCs/>
              </w:rPr>
              <w:t>su jam pritaikytu popieriumi</w:t>
            </w:r>
            <w:r w:rsidRPr="00DB3B84">
              <w:t xml:space="preserve">, UPS, brūkšninių kodų skaitytuvas CBC ir CRP mėginių </w:t>
            </w:r>
            <w:r w:rsidRPr="00DB3B84">
              <w:lastRenderedPageBreak/>
              <w:t>identifikavimui. Jei siūloma sistema, CRB analizatorius turi turėti automatinę HCT korekciją.</w:t>
            </w:r>
          </w:p>
        </w:tc>
        <w:tc>
          <w:tcPr>
            <w:tcW w:w="4359" w:type="dxa"/>
          </w:tcPr>
          <w:p w14:paraId="5BA4A58A" w14:textId="01A378F0" w:rsidR="00614451" w:rsidRPr="00614451" w:rsidRDefault="000158FB" w:rsidP="0098369C">
            <w:pPr>
              <w:pStyle w:val="Default"/>
              <w:rPr>
                <w:b/>
                <w:bCs/>
              </w:rPr>
            </w:pPr>
            <w:r>
              <w:rPr>
                <w:rFonts w:eastAsia="Times New Roman"/>
              </w:rPr>
              <w:lastRenderedPageBreak/>
              <w:t>(Įrašo tiekėjas)</w:t>
            </w:r>
          </w:p>
        </w:tc>
      </w:tr>
      <w:tr w:rsidR="00614451" w:rsidRPr="00614451" w14:paraId="57D33FD6" w14:textId="77777777" w:rsidTr="00072D3E">
        <w:tc>
          <w:tcPr>
            <w:tcW w:w="556" w:type="dxa"/>
          </w:tcPr>
          <w:p w14:paraId="58A881A6" w14:textId="08C1268B" w:rsidR="00614451" w:rsidRPr="00DB3B84" w:rsidRDefault="00DB3B84" w:rsidP="0098369C">
            <w:pPr>
              <w:pStyle w:val="Default"/>
            </w:pPr>
            <w:r w:rsidRPr="00DB3B84">
              <w:t>10.</w:t>
            </w:r>
          </w:p>
        </w:tc>
        <w:tc>
          <w:tcPr>
            <w:tcW w:w="3834" w:type="dxa"/>
          </w:tcPr>
          <w:p w14:paraId="53829A4A" w14:textId="183651A9" w:rsidR="00614451" w:rsidRPr="00DB3B84" w:rsidRDefault="00DB3B84" w:rsidP="0098369C">
            <w:pPr>
              <w:pStyle w:val="Default"/>
            </w:pPr>
            <w:r w:rsidRPr="00DB3B84">
              <w:t>Galimybė analizator</w:t>
            </w:r>
            <w:r w:rsidR="000F552F">
              <w:t>ių</w:t>
            </w:r>
            <w:r w:rsidRPr="00DB3B84">
              <w:t xml:space="preserve"> prijungti prie laboratorijoje įdiegtos informacinės sistemos </w:t>
            </w:r>
            <w:proofErr w:type="spellStart"/>
            <w:r w:rsidRPr="00DB3B84">
              <w:t>OpenLims</w:t>
            </w:r>
            <w:proofErr w:type="spellEnd"/>
          </w:p>
        </w:tc>
        <w:tc>
          <w:tcPr>
            <w:tcW w:w="5244" w:type="dxa"/>
          </w:tcPr>
          <w:p w14:paraId="5465F2AE" w14:textId="16C4050D" w:rsidR="00614451" w:rsidRPr="00DB3B84" w:rsidRDefault="00DB3B84" w:rsidP="00072D3E">
            <w:pPr>
              <w:pStyle w:val="Default"/>
            </w:pPr>
            <w:r w:rsidRPr="00DB3B84">
              <w:t>Būtina</w:t>
            </w:r>
          </w:p>
        </w:tc>
        <w:tc>
          <w:tcPr>
            <w:tcW w:w="4359" w:type="dxa"/>
          </w:tcPr>
          <w:p w14:paraId="661BE955" w14:textId="77633A45" w:rsidR="00614451" w:rsidRPr="00614451" w:rsidRDefault="000158FB" w:rsidP="0098369C">
            <w:pPr>
              <w:pStyle w:val="Default"/>
              <w:rPr>
                <w:b/>
                <w:bCs/>
              </w:rPr>
            </w:pPr>
            <w:r>
              <w:rPr>
                <w:rFonts w:eastAsia="Times New Roman"/>
              </w:rPr>
              <w:t>(Įrašo tiekėjas)</w:t>
            </w:r>
          </w:p>
        </w:tc>
      </w:tr>
      <w:tr w:rsidR="00614451" w:rsidRPr="00614451" w14:paraId="4FE07F29" w14:textId="77777777" w:rsidTr="00072D3E">
        <w:tc>
          <w:tcPr>
            <w:tcW w:w="556" w:type="dxa"/>
          </w:tcPr>
          <w:p w14:paraId="15CE7434" w14:textId="570E4D43" w:rsidR="00614451" w:rsidRPr="00DB3B84" w:rsidRDefault="00DB3B84" w:rsidP="0098369C">
            <w:pPr>
              <w:pStyle w:val="Default"/>
            </w:pPr>
            <w:r w:rsidRPr="00DB3B84">
              <w:t>11.</w:t>
            </w:r>
          </w:p>
        </w:tc>
        <w:tc>
          <w:tcPr>
            <w:tcW w:w="3834" w:type="dxa"/>
          </w:tcPr>
          <w:p w14:paraId="2C4CAB22" w14:textId="261181CD" w:rsidR="00614451" w:rsidRPr="00DB3B84" w:rsidRDefault="00DB3B84" w:rsidP="0098369C">
            <w:pPr>
              <w:pStyle w:val="Default"/>
            </w:pPr>
            <w:r w:rsidRPr="00DB3B84">
              <w:t>Įranga paženklinta CE ženklu</w:t>
            </w:r>
          </w:p>
        </w:tc>
        <w:tc>
          <w:tcPr>
            <w:tcW w:w="5244" w:type="dxa"/>
          </w:tcPr>
          <w:p w14:paraId="144E12B1" w14:textId="790277B8" w:rsidR="00614451" w:rsidRPr="00DB3B84" w:rsidRDefault="00DB3B84" w:rsidP="00072D3E">
            <w:pPr>
              <w:pStyle w:val="Default"/>
            </w:pPr>
            <w:r w:rsidRPr="00DB3B84">
              <w:t>Būtina</w:t>
            </w:r>
          </w:p>
        </w:tc>
        <w:tc>
          <w:tcPr>
            <w:tcW w:w="4359" w:type="dxa"/>
          </w:tcPr>
          <w:p w14:paraId="122FD3E4" w14:textId="34BF53EB" w:rsidR="00614451" w:rsidRPr="00614451" w:rsidRDefault="000158FB" w:rsidP="0098369C">
            <w:pPr>
              <w:pStyle w:val="Default"/>
              <w:rPr>
                <w:b/>
                <w:bCs/>
              </w:rPr>
            </w:pPr>
            <w:r>
              <w:rPr>
                <w:rFonts w:eastAsia="Times New Roman"/>
              </w:rPr>
              <w:t>(Įrašo tiekėjas)</w:t>
            </w:r>
          </w:p>
        </w:tc>
      </w:tr>
    </w:tbl>
    <w:p w14:paraId="5A84D84C" w14:textId="77777777" w:rsidR="00CF44F9" w:rsidRDefault="00CF44F9" w:rsidP="0098369C">
      <w:pPr>
        <w:pStyle w:val="Default"/>
        <w:rPr>
          <w:b/>
          <w:bCs/>
          <w:sz w:val="22"/>
          <w:szCs w:val="22"/>
        </w:rPr>
      </w:pPr>
    </w:p>
    <w:p w14:paraId="37CF2FA8" w14:textId="77777777" w:rsidR="00CF44F9" w:rsidRDefault="00CF44F9" w:rsidP="0098369C">
      <w:pPr>
        <w:pStyle w:val="Default"/>
        <w:rPr>
          <w:b/>
          <w:bCs/>
          <w:sz w:val="22"/>
          <w:szCs w:val="22"/>
        </w:rPr>
      </w:pPr>
    </w:p>
    <w:p w14:paraId="72C8EE22" w14:textId="314A25B7" w:rsidR="00CF44F9" w:rsidRDefault="00AD5A1B" w:rsidP="00AD5A1B">
      <w:pPr>
        <w:pStyle w:val="Default"/>
        <w:jc w:val="center"/>
        <w:rPr>
          <w:b/>
          <w:bCs/>
          <w:sz w:val="22"/>
          <w:szCs w:val="22"/>
        </w:rPr>
      </w:pPr>
      <w:r>
        <w:rPr>
          <w:b/>
          <w:bCs/>
          <w:sz w:val="22"/>
          <w:szCs w:val="22"/>
        </w:rPr>
        <w:t>________________________________</w:t>
      </w:r>
    </w:p>
    <w:p w14:paraId="2790086C" w14:textId="77777777" w:rsidR="00CF44F9" w:rsidRDefault="00CF44F9" w:rsidP="0098369C">
      <w:pPr>
        <w:pStyle w:val="Default"/>
        <w:rPr>
          <w:b/>
          <w:bCs/>
          <w:sz w:val="22"/>
          <w:szCs w:val="22"/>
        </w:rPr>
      </w:pPr>
    </w:p>
    <w:tbl>
      <w:tblPr>
        <w:tblW w:w="1448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4395"/>
        <w:gridCol w:w="5793"/>
        <w:gridCol w:w="3621"/>
      </w:tblGrid>
      <w:tr w:rsidR="00EE007E" w14:paraId="438CC2E4" w14:textId="77777777" w:rsidTr="0098369C">
        <w:trPr>
          <w:trHeight w:val="523"/>
        </w:trPr>
        <w:tc>
          <w:tcPr>
            <w:tcW w:w="675" w:type="dxa"/>
            <w:tcBorders>
              <w:top w:val="none" w:sz="6" w:space="0" w:color="auto"/>
              <w:bottom w:val="none" w:sz="6" w:space="0" w:color="auto"/>
              <w:right w:val="none" w:sz="6" w:space="0" w:color="auto"/>
            </w:tcBorders>
          </w:tcPr>
          <w:p w14:paraId="19265904" w14:textId="386A5D40" w:rsidR="00EE007E" w:rsidRDefault="00EE007E" w:rsidP="00EE007E">
            <w:pPr>
              <w:pStyle w:val="Default"/>
              <w:rPr>
                <w:sz w:val="23"/>
                <w:szCs w:val="23"/>
              </w:rPr>
            </w:pPr>
          </w:p>
        </w:tc>
        <w:tc>
          <w:tcPr>
            <w:tcW w:w="4395" w:type="dxa"/>
            <w:tcBorders>
              <w:top w:val="none" w:sz="6" w:space="0" w:color="auto"/>
              <w:left w:val="none" w:sz="6" w:space="0" w:color="auto"/>
              <w:bottom w:val="none" w:sz="6" w:space="0" w:color="auto"/>
              <w:right w:val="none" w:sz="6" w:space="0" w:color="auto"/>
            </w:tcBorders>
          </w:tcPr>
          <w:p w14:paraId="6F31A11A" w14:textId="568B4888" w:rsidR="00EE007E" w:rsidRDefault="00EE007E" w:rsidP="00EE007E">
            <w:pPr>
              <w:pStyle w:val="Default"/>
              <w:rPr>
                <w:sz w:val="23"/>
                <w:szCs w:val="23"/>
              </w:rPr>
            </w:pPr>
          </w:p>
        </w:tc>
        <w:tc>
          <w:tcPr>
            <w:tcW w:w="5793" w:type="dxa"/>
            <w:tcBorders>
              <w:top w:val="none" w:sz="6" w:space="0" w:color="auto"/>
              <w:left w:val="none" w:sz="6" w:space="0" w:color="auto"/>
              <w:bottom w:val="none" w:sz="6" w:space="0" w:color="auto"/>
              <w:right w:val="none" w:sz="6" w:space="0" w:color="auto"/>
            </w:tcBorders>
          </w:tcPr>
          <w:p w14:paraId="5DFE5A8E" w14:textId="778C2599" w:rsidR="00EE007E" w:rsidRDefault="00EE007E" w:rsidP="00EE007E">
            <w:pPr>
              <w:pStyle w:val="Default"/>
              <w:rPr>
                <w:sz w:val="23"/>
                <w:szCs w:val="23"/>
              </w:rPr>
            </w:pPr>
          </w:p>
        </w:tc>
        <w:tc>
          <w:tcPr>
            <w:tcW w:w="3621" w:type="dxa"/>
            <w:tcBorders>
              <w:top w:val="none" w:sz="6" w:space="0" w:color="auto"/>
              <w:left w:val="none" w:sz="6" w:space="0" w:color="auto"/>
              <w:bottom w:val="none" w:sz="6" w:space="0" w:color="auto"/>
            </w:tcBorders>
          </w:tcPr>
          <w:p w14:paraId="01E4DA06" w14:textId="77777777" w:rsidR="00EE007E" w:rsidRDefault="00EE007E" w:rsidP="00EE007E">
            <w:pPr>
              <w:pStyle w:val="Default"/>
              <w:rPr>
                <w:sz w:val="23"/>
                <w:szCs w:val="23"/>
              </w:rPr>
            </w:pPr>
          </w:p>
        </w:tc>
      </w:tr>
    </w:tbl>
    <w:p w14:paraId="535BD6A5" w14:textId="77777777" w:rsidR="0098369C" w:rsidRDefault="0098369C" w:rsidP="0098369C">
      <w:pPr>
        <w:pStyle w:val="Default"/>
        <w:rPr>
          <w:b/>
          <w:bCs/>
          <w:sz w:val="22"/>
          <w:szCs w:val="22"/>
        </w:rPr>
      </w:pPr>
    </w:p>
    <w:p w14:paraId="74FB9FFD" w14:textId="77777777" w:rsidR="0098369C" w:rsidRDefault="0098369C" w:rsidP="0098369C">
      <w:pPr>
        <w:pStyle w:val="Default"/>
        <w:rPr>
          <w:b/>
          <w:bCs/>
          <w:sz w:val="22"/>
          <w:szCs w:val="22"/>
        </w:rPr>
      </w:pPr>
    </w:p>
    <w:p w14:paraId="4B501712" w14:textId="77777777" w:rsidR="0098369C" w:rsidRDefault="0098369C" w:rsidP="0098369C">
      <w:pPr>
        <w:pStyle w:val="Default"/>
        <w:rPr>
          <w:b/>
          <w:bCs/>
          <w:sz w:val="22"/>
          <w:szCs w:val="22"/>
        </w:rPr>
      </w:pPr>
    </w:p>
    <w:p w14:paraId="2B40BC15" w14:textId="77777777" w:rsidR="0098369C" w:rsidRDefault="0098369C" w:rsidP="0098369C">
      <w:pPr>
        <w:pStyle w:val="Default"/>
        <w:rPr>
          <w:sz w:val="22"/>
          <w:szCs w:val="22"/>
        </w:rPr>
      </w:pPr>
    </w:p>
    <w:p w14:paraId="4E901369" w14:textId="77777777" w:rsidR="005F7574" w:rsidRDefault="005F7574" w:rsidP="005F7574">
      <w:pPr>
        <w:pStyle w:val="Default"/>
        <w:rPr>
          <w:sz w:val="23"/>
          <w:szCs w:val="23"/>
        </w:rPr>
      </w:pPr>
    </w:p>
    <w:sectPr w:rsidR="005F7574" w:rsidSect="00987D60">
      <w:headerReference w:type="default" r:id="rId6"/>
      <w:pgSz w:w="16838" w:h="11906" w:orient="landscape"/>
      <w:pgMar w:top="851" w:right="1134"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B6C5" w14:textId="77777777" w:rsidR="00392230" w:rsidRDefault="00392230" w:rsidP="00307B6F">
      <w:pPr>
        <w:spacing w:after="0" w:line="240" w:lineRule="auto"/>
      </w:pPr>
      <w:r>
        <w:separator/>
      </w:r>
    </w:p>
  </w:endnote>
  <w:endnote w:type="continuationSeparator" w:id="0">
    <w:p w14:paraId="113314F7" w14:textId="77777777" w:rsidR="00392230" w:rsidRDefault="00392230" w:rsidP="0030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C991" w14:textId="77777777" w:rsidR="00392230" w:rsidRDefault="00392230" w:rsidP="00307B6F">
      <w:pPr>
        <w:spacing w:after="0" w:line="240" w:lineRule="auto"/>
      </w:pPr>
      <w:r>
        <w:separator/>
      </w:r>
    </w:p>
  </w:footnote>
  <w:footnote w:type="continuationSeparator" w:id="0">
    <w:p w14:paraId="193732D3" w14:textId="77777777" w:rsidR="00392230" w:rsidRDefault="00392230" w:rsidP="00307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F5B" w14:textId="639171C5" w:rsidR="00307B6F" w:rsidRPr="00307B6F" w:rsidRDefault="00307B6F" w:rsidP="00307B6F">
    <w:pPr>
      <w:tabs>
        <w:tab w:val="center" w:pos="4819"/>
        <w:tab w:val="right" w:pos="9638"/>
      </w:tabs>
      <w:spacing w:after="0" w:line="240" w:lineRule="auto"/>
      <w:rPr>
        <w:rFonts w:ascii="Times New Roman" w:hAnsi="Times New Roman" w:cs="Times New Roman"/>
      </w:rPr>
    </w:pPr>
    <w:r w:rsidRPr="00307B6F">
      <w:rPr>
        <w:rFonts w:ascii="Times New Roman" w:hAnsi="Times New Roman" w:cs="Times New Roman"/>
        <w:sz w:val="22"/>
        <w:szCs w:val="22"/>
      </w:rPr>
      <w:t xml:space="preserve">                                                                                                                                                                                                                                        </w:t>
    </w:r>
    <w:r w:rsidRPr="00307B6F">
      <w:rPr>
        <w:rFonts w:ascii="Times New Roman" w:hAnsi="Times New Roman" w:cs="Times New Roman"/>
      </w:rPr>
      <w:t>Versija Nr. 1</w:t>
    </w:r>
  </w:p>
  <w:p w14:paraId="64B2E836" w14:textId="77777777" w:rsidR="00307B6F" w:rsidRDefault="00307B6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89"/>
    <w:rsid w:val="000158FB"/>
    <w:rsid w:val="00026569"/>
    <w:rsid w:val="00070E3E"/>
    <w:rsid w:val="00072D3E"/>
    <w:rsid w:val="00076136"/>
    <w:rsid w:val="000820E0"/>
    <w:rsid w:val="000F552F"/>
    <w:rsid w:val="00150805"/>
    <w:rsid w:val="00150C44"/>
    <w:rsid w:val="001D10CF"/>
    <w:rsid w:val="001D60CA"/>
    <w:rsid w:val="002354CD"/>
    <w:rsid w:val="00236DD0"/>
    <w:rsid w:val="002C78B9"/>
    <w:rsid w:val="00307B6F"/>
    <w:rsid w:val="00392230"/>
    <w:rsid w:val="003C765F"/>
    <w:rsid w:val="003E643B"/>
    <w:rsid w:val="003F62FA"/>
    <w:rsid w:val="00404BC4"/>
    <w:rsid w:val="0046453A"/>
    <w:rsid w:val="004E2FB6"/>
    <w:rsid w:val="005E1CAB"/>
    <w:rsid w:val="005E2C2E"/>
    <w:rsid w:val="005F7574"/>
    <w:rsid w:val="00614451"/>
    <w:rsid w:val="00631647"/>
    <w:rsid w:val="00677341"/>
    <w:rsid w:val="00681301"/>
    <w:rsid w:val="00705A36"/>
    <w:rsid w:val="00712F03"/>
    <w:rsid w:val="00732C89"/>
    <w:rsid w:val="0080098F"/>
    <w:rsid w:val="00811C3E"/>
    <w:rsid w:val="00827AEF"/>
    <w:rsid w:val="00857014"/>
    <w:rsid w:val="008710B8"/>
    <w:rsid w:val="008E617E"/>
    <w:rsid w:val="00955087"/>
    <w:rsid w:val="0098369C"/>
    <w:rsid w:val="00987D60"/>
    <w:rsid w:val="009B1D38"/>
    <w:rsid w:val="009F0BA5"/>
    <w:rsid w:val="009F75B2"/>
    <w:rsid w:val="00A06D1D"/>
    <w:rsid w:val="00A67F83"/>
    <w:rsid w:val="00A819A7"/>
    <w:rsid w:val="00AD5A1B"/>
    <w:rsid w:val="00B1225B"/>
    <w:rsid w:val="00B55432"/>
    <w:rsid w:val="00B96862"/>
    <w:rsid w:val="00BC1A71"/>
    <w:rsid w:val="00C60049"/>
    <w:rsid w:val="00CF0BDC"/>
    <w:rsid w:val="00CF44F9"/>
    <w:rsid w:val="00D33316"/>
    <w:rsid w:val="00D70B4F"/>
    <w:rsid w:val="00DB3B84"/>
    <w:rsid w:val="00E4206C"/>
    <w:rsid w:val="00EA7960"/>
    <w:rsid w:val="00EC2292"/>
    <w:rsid w:val="00EE007E"/>
    <w:rsid w:val="00F61697"/>
    <w:rsid w:val="00F64A01"/>
    <w:rsid w:val="00FA7F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5D53"/>
  <w15:chartTrackingRefBased/>
  <w15:docId w15:val="{7DA82954-0EE0-47C5-AF8C-25E23B9B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32C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32C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32C8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32C8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32C8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32C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32C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32C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32C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2C8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32C8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32C8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32C8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32C8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32C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32C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32C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32C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32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32C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32C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32C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32C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32C89"/>
    <w:rPr>
      <w:i/>
      <w:iCs/>
      <w:color w:val="404040" w:themeColor="text1" w:themeTint="BF"/>
    </w:rPr>
  </w:style>
  <w:style w:type="paragraph" w:styleId="Sraopastraipa">
    <w:name w:val="List Paragraph"/>
    <w:basedOn w:val="prastasis"/>
    <w:uiPriority w:val="34"/>
    <w:qFormat/>
    <w:rsid w:val="00732C89"/>
    <w:pPr>
      <w:ind w:left="720"/>
      <w:contextualSpacing/>
    </w:pPr>
  </w:style>
  <w:style w:type="character" w:styleId="Rykuspabraukimas">
    <w:name w:val="Intense Emphasis"/>
    <w:basedOn w:val="Numatytasispastraiposriftas"/>
    <w:uiPriority w:val="21"/>
    <w:qFormat/>
    <w:rsid w:val="00732C89"/>
    <w:rPr>
      <w:i/>
      <w:iCs/>
      <w:color w:val="2F5496" w:themeColor="accent1" w:themeShade="BF"/>
    </w:rPr>
  </w:style>
  <w:style w:type="paragraph" w:styleId="Iskirtacitata">
    <w:name w:val="Intense Quote"/>
    <w:basedOn w:val="prastasis"/>
    <w:next w:val="prastasis"/>
    <w:link w:val="IskirtacitataDiagrama"/>
    <w:uiPriority w:val="30"/>
    <w:qFormat/>
    <w:rsid w:val="00732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32C89"/>
    <w:rPr>
      <w:i/>
      <w:iCs/>
      <w:color w:val="2F5496" w:themeColor="accent1" w:themeShade="BF"/>
    </w:rPr>
  </w:style>
  <w:style w:type="character" w:styleId="Rykinuoroda">
    <w:name w:val="Intense Reference"/>
    <w:basedOn w:val="Numatytasispastraiposriftas"/>
    <w:uiPriority w:val="32"/>
    <w:qFormat/>
    <w:rsid w:val="00732C89"/>
    <w:rPr>
      <w:b/>
      <w:bCs/>
      <w:smallCaps/>
      <w:color w:val="2F5496" w:themeColor="accent1" w:themeShade="BF"/>
      <w:spacing w:val="5"/>
    </w:rPr>
  </w:style>
  <w:style w:type="paragraph" w:customStyle="1" w:styleId="Default">
    <w:name w:val="Default"/>
    <w:rsid w:val="00076136"/>
    <w:pPr>
      <w:autoSpaceDE w:val="0"/>
      <w:autoSpaceDN w:val="0"/>
      <w:adjustRightInd w:val="0"/>
      <w:spacing w:after="0" w:line="240" w:lineRule="auto"/>
    </w:pPr>
    <w:rPr>
      <w:rFonts w:ascii="Times New Roman" w:hAnsi="Times New Roman" w:cs="Times New Roman"/>
      <w:color w:val="000000"/>
      <w:kern w:val="0"/>
    </w:rPr>
  </w:style>
  <w:style w:type="table" w:styleId="Lentelstinklelis">
    <w:name w:val="Table Grid"/>
    <w:basedOn w:val="prastojilentel"/>
    <w:uiPriority w:val="39"/>
    <w:rsid w:val="00CF4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70B4F"/>
    <w:rPr>
      <w:sz w:val="16"/>
      <w:szCs w:val="16"/>
    </w:rPr>
  </w:style>
  <w:style w:type="paragraph" w:styleId="Komentarotekstas">
    <w:name w:val="annotation text"/>
    <w:basedOn w:val="prastasis"/>
    <w:link w:val="KomentarotekstasDiagrama"/>
    <w:uiPriority w:val="99"/>
    <w:unhideWhenUsed/>
    <w:rsid w:val="00D70B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70B4F"/>
    <w:rPr>
      <w:sz w:val="20"/>
      <w:szCs w:val="20"/>
    </w:rPr>
  </w:style>
  <w:style w:type="paragraph" w:styleId="Komentarotema">
    <w:name w:val="annotation subject"/>
    <w:basedOn w:val="Komentarotekstas"/>
    <w:next w:val="Komentarotekstas"/>
    <w:link w:val="KomentarotemaDiagrama"/>
    <w:uiPriority w:val="99"/>
    <w:semiHidden/>
    <w:unhideWhenUsed/>
    <w:rsid w:val="00D70B4F"/>
    <w:rPr>
      <w:b/>
      <w:bCs/>
    </w:rPr>
  </w:style>
  <w:style w:type="character" w:customStyle="1" w:styleId="KomentarotemaDiagrama">
    <w:name w:val="Komentaro tema Diagrama"/>
    <w:basedOn w:val="KomentarotekstasDiagrama"/>
    <w:link w:val="Komentarotema"/>
    <w:uiPriority w:val="99"/>
    <w:semiHidden/>
    <w:rsid w:val="00D70B4F"/>
    <w:rPr>
      <w:b/>
      <w:bCs/>
      <w:sz w:val="20"/>
      <w:szCs w:val="20"/>
    </w:rPr>
  </w:style>
  <w:style w:type="paragraph" w:styleId="Antrats">
    <w:name w:val="header"/>
    <w:basedOn w:val="prastasis"/>
    <w:link w:val="AntratsDiagrama"/>
    <w:uiPriority w:val="99"/>
    <w:unhideWhenUsed/>
    <w:rsid w:val="00307B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07B6F"/>
  </w:style>
  <w:style w:type="paragraph" w:styleId="Porat">
    <w:name w:val="footer"/>
    <w:basedOn w:val="prastasis"/>
    <w:link w:val="PoratDiagrama"/>
    <w:uiPriority w:val="99"/>
    <w:unhideWhenUsed/>
    <w:rsid w:val="00307B6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07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5352</Words>
  <Characters>3052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Vida Gindvilienė</cp:lastModifiedBy>
  <cp:revision>5</cp:revision>
  <dcterms:created xsi:type="dcterms:W3CDTF">2025-09-08T11:49:00Z</dcterms:created>
  <dcterms:modified xsi:type="dcterms:W3CDTF">2025-09-08T11:51:00Z</dcterms:modified>
</cp:coreProperties>
</file>