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0C9A4CB9" w:rsidR="00CE7CDC" w:rsidRPr="00713DFD" w:rsidRDefault="00CE7CDC" w:rsidP="00097837">
      <w:pPr>
        <w:pStyle w:val="Antrat2"/>
        <w:ind w:left="9781"/>
        <w:rPr>
          <w:rFonts w:eastAsia="Calibri" w:cs="Tahoma"/>
          <w:color w:val="0070C0"/>
          <w:sz w:val="22"/>
          <w:szCs w:val="22"/>
        </w:rPr>
      </w:pPr>
      <w:bookmarkStart w:id="0" w:name="_Toc164520804"/>
      <w:bookmarkStart w:id="1" w:name="_Hlk168747701"/>
      <w:r>
        <w:rPr>
          <w:color w:val="0070C0"/>
          <w:sz w:val="22"/>
        </w:rPr>
        <w:t xml:space="preserve">Annex </w:t>
      </w:r>
      <w:r w:rsidR="00D6705B">
        <w:rPr>
          <w:color w:val="0070C0"/>
          <w:sz w:val="22"/>
        </w:rPr>
        <w:t>X</w:t>
      </w:r>
      <w:r>
        <w:rPr>
          <w:color w:val="0070C0"/>
          <w:sz w:val="22"/>
        </w:rPr>
        <w:t xml:space="preserve"> to the Procurement Conditions ‘Qualification Requirements for Tenderers and Required Quality and Environmental Management System Standards’</w:t>
      </w:r>
      <w:bookmarkEnd w:id="0"/>
    </w:p>
    <w:bookmarkEnd w:id="1"/>
    <w:p w14:paraId="35948AF5" w14:textId="77777777" w:rsidR="00CE7CDC" w:rsidRPr="00713DFD" w:rsidRDefault="00CE7CDC" w:rsidP="0004748A">
      <w:pPr>
        <w:pStyle w:val="Paantrat"/>
        <w:jc w:val="center"/>
        <w:rPr>
          <w:rFonts w:ascii="Tahoma" w:hAnsi="Tahoma" w:cs="Tahoma"/>
          <w:smallCaps/>
          <w:sz w:val="22"/>
          <w:szCs w:val="22"/>
        </w:rPr>
      </w:pPr>
    </w:p>
    <w:p w14:paraId="6D43C6A4" w14:textId="1A0605A6" w:rsidR="00125274" w:rsidRPr="00713DFD" w:rsidRDefault="00125274" w:rsidP="0004748A">
      <w:pPr>
        <w:pStyle w:val="Paantrat"/>
        <w:jc w:val="center"/>
        <w:rPr>
          <w:rFonts w:ascii="Tahoma" w:hAnsi="Tahoma" w:cs="Tahoma"/>
          <w:sz w:val="22"/>
          <w:szCs w:val="22"/>
        </w:rPr>
      </w:pPr>
      <w:r>
        <w:rPr>
          <w:rFonts w:ascii="Tahoma" w:hAnsi="Tahoma"/>
          <w:smallCaps/>
          <w:sz w:val="22"/>
        </w:rPr>
        <w:t xml:space="preserve"> QUALIFICATION REQUIREMENTS FOR TENDERERS AND REQUIRED QUALITY AND ENVIRONMENTAL MANAGEMENT SYSTEM STANDARDS</w:t>
      </w:r>
    </w:p>
    <w:p w14:paraId="2D5FA04D" w14:textId="767DEEA2" w:rsidR="00EE7B59" w:rsidRPr="003F4641" w:rsidRDefault="00125274" w:rsidP="003F4641">
      <w:pPr>
        <w:numPr>
          <w:ilvl w:val="0"/>
          <w:numId w:val="2"/>
        </w:numPr>
        <w:tabs>
          <w:tab w:val="left" w:pos="993"/>
        </w:tabs>
        <w:spacing w:after="0"/>
        <w:ind w:left="0" w:firstLine="567"/>
        <w:contextualSpacing/>
        <w:jc w:val="both"/>
        <w:rPr>
          <w:rFonts w:ascii="Tahoma" w:eastAsia="Calibri" w:hAnsi="Tahoma" w:cs="Tahoma"/>
          <w:sz w:val="22"/>
          <w:szCs w:val="22"/>
        </w:rPr>
      </w:pPr>
      <w:r>
        <w:rPr>
          <w:rFonts w:ascii="Tahoma" w:hAnsi="Tahoma"/>
          <w:sz w:val="22"/>
        </w:rPr>
        <w:t>The qualification of the tenderer must comply with the qualification requirements set out in this Annex. If the tenderer’s qualification for the right to engage in the activity concerned is not verified in full, the tenderer shall undertake to the Contracting Authority that the Contract is going to be performed only by the persons entitled to engage in the relevant activity.</w:t>
      </w:r>
    </w:p>
    <w:p w14:paraId="145BDD35" w14:textId="62EC74F0" w:rsidR="00125274" w:rsidRPr="00713DFD"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rPr>
      </w:pPr>
      <w:r>
        <w:rPr>
          <w:rFonts w:ascii="Tahoma" w:hAnsi="Tahoma"/>
          <w:color w:val="000000"/>
          <w:sz w:val="22"/>
        </w:rPr>
        <w:t xml:space="preserve">Where a tender bid is submitted </w:t>
      </w:r>
      <w:proofErr w:type="gramStart"/>
      <w:r>
        <w:rPr>
          <w:rFonts w:ascii="Tahoma" w:hAnsi="Tahoma"/>
          <w:color w:val="000000"/>
          <w:sz w:val="22"/>
        </w:rPr>
        <w:t>on the basis of</w:t>
      </w:r>
      <w:proofErr w:type="gramEnd"/>
      <w:r>
        <w:rPr>
          <w:rFonts w:ascii="Tahoma" w:hAnsi="Tahoma"/>
          <w:color w:val="000000"/>
          <w:sz w:val="22"/>
        </w:rPr>
        <w:t xml:space="preserve"> a joint venture agreement between a group of economic operators, at least one member of a group of economic operators or all members of a group of economic operators shall jointly </w:t>
      </w:r>
      <w:r>
        <w:rPr>
          <w:rFonts w:ascii="Tahoma" w:hAnsi="Tahoma"/>
          <w:sz w:val="22"/>
        </w:rPr>
        <w:t>meet the requirements set out in point 1 in Table 1 and submit the documents referred to therein.</w:t>
      </w:r>
    </w:p>
    <w:p w14:paraId="2341E843" w14:textId="5E81C7F7"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rPr>
      </w:pPr>
      <w:r>
        <w:rPr>
          <w:rFonts w:ascii="Tahoma" w:hAnsi="Tahoma"/>
          <w:sz w:val="22"/>
        </w:rPr>
        <w:t>Where the tenderer relies on the capacities of other economic operators to meet the established economic and financial capacity requirements (if such requirements are applicable), they must assume joint and</w:t>
      </w:r>
      <w:r>
        <w:rPr>
          <w:rFonts w:ascii="Tahoma" w:hAnsi="Tahoma"/>
          <w:color w:val="7030A0"/>
          <w:sz w:val="22"/>
        </w:rPr>
        <w:t xml:space="preserve"> </w:t>
      </w:r>
      <w:r>
        <w:rPr>
          <w:rFonts w:ascii="Tahoma" w:hAnsi="Tahoma"/>
          <w:sz w:val="22"/>
        </w:rPr>
        <w:t xml:space="preserve">several liability for the performance of the Contract. </w:t>
      </w:r>
    </w:p>
    <w:p w14:paraId="32781A0C" w14:textId="605E5046"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rPr>
      </w:pPr>
      <w:r>
        <w:rPr>
          <w:rFonts w:ascii="Tahoma" w:hAnsi="Tahoma"/>
          <w:sz w:val="22"/>
        </w:rPr>
        <w:t>The Contracting Authority may consider that the tenderer does not have the required professional capacity if it identifies a conflict of interest of the tenderer, which may adversely affect the performance of the Contract.</w:t>
      </w:r>
    </w:p>
    <w:p w14:paraId="448C11AE" w14:textId="517084DF" w:rsidR="00125274" w:rsidRPr="00713DFD" w:rsidRDefault="00125274">
      <w:pPr>
        <w:numPr>
          <w:ilvl w:val="0"/>
          <w:numId w:val="2"/>
        </w:numPr>
        <w:tabs>
          <w:tab w:val="left" w:pos="993"/>
        </w:tabs>
        <w:ind w:left="0" w:firstLine="567"/>
        <w:contextualSpacing/>
        <w:rPr>
          <w:rFonts w:ascii="Tahoma" w:eastAsia="Calibri" w:hAnsi="Tahoma" w:cs="Tahoma"/>
          <w:sz w:val="22"/>
          <w:szCs w:val="22"/>
        </w:rPr>
      </w:pPr>
      <w:r>
        <w:rPr>
          <w:rFonts w:ascii="Tahoma" w:hAnsi="Tahoma"/>
          <w:sz w:val="22"/>
        </w:rPr>
        <w:t>If the tenderer provides equivalent documents, equivalence of the documents provided must be demonstrated by the tender itself.</w:t>
      </w:r>
    </w:p>
    <w:p w14:paraId="4C8F1973" w14:textId="43836A53" w:rsidR="00486FC8" w:rsidRPr="00713DFD" w:rsidRDefault="00486FC8" w:rsidP="002B166C">
      <w:pPr>
        <w:pStyle w:val="Sraopastraipa"/>
        <w:tabs>
          <w:tab w:val="left" w:pos="709"/>
          <w:tab w:val="left" w:pos="25941"/>
        </w:tabs>
        <w:spacing w:after="0"/>
        <w:jc w:val="right"/>
        <w:rPr>
          <w:rFonts w:cs="Tahoma"/>
          <w:iCs/>
        </w:rPr>
      </w:pPr>
      <w:r>
        <w:t>Table 1</w:t>
      </w:r>
    </w:p>
    <w:tbl>
      <w:tblPr>
        <w:tblStyle w:val="TableGrid3"/>
        <w:tblW w:w="15163" w:type="dxa"/>
        <w:tblLayout w:type="fixed"/>
        <w:tblLook w:val="04A0" w:firstRow="1" w:lastRow="0" w:firstColumn="1" w:lastColumn="0" w:noHBand="0" w:noVBand="1"/>
      </w:tblPr>
      <w:tblGrid>
        <w:gridCol w:w="704"/>
        <w:gridCol w:w="4678"/>
        <w:gridCol w:w="5812"/>
        <w:gridCol w:w="3969"/>
      </w:tblGrid>
      <w:tr w:rsidR="00A05136" w:rsidRPr="00713DFD" w14:paraId="7FBD135B" w14:textId="32CF9AC5" w:rsidTr="008C4269">
        <w:trPr>
          <w:trHeight w:val="602"/>
        </w:trPr>
        <w:tc>
          <w:tcPr>
            <w:tcW w:w="704" w:type="dxa"/>
            <w:shd w:val="clear" w:color="auto" w:fill="DEEAF6" w:themeFill="accent1" w:themeFillTint="33"/>
            <w:vAlign w:val="center"/>
            <w:hideMark/>
          </w:tcPr>
          <w:p w14:paraId="28D0376E" w14:textId="77777777" w:rsidR="00A05136" w:rsidRPr="00713DFD" w:rsidRDefault="00A05136" w:rsidP="002B166C">
            <w:pPr>
              <w:spacing w:before="100" w:beforeAutospacing="1" w:after="100" w:afterAutospacing="1"/>
              <w:jc w:val="center"/>
              <w:rPr>
                <w:rFonts w:ascii="Tahoma" w:hAnsi="Tahoma" w:cs="Tahoma"/>
                <w:b/>
                <w:bCs/>
                <w:sz w:val="22"/>
                <w:szCs w:val="22"/>
              </w:rPr>
            </w:pPr>
            <w:r>
              <w:rPr>
                <w:rFonts w:ascii="Tahoma" w:hAnsi="Tahoma"/>
                <w:b/>
                <w:sz w:val="22"/>
              </w:rPr>
              <w:t xml:space="preserve"> No</w:t>
            </w:r>
          </w:p>
        </w:tc>
        <w:tc>
          <w:tcPr>
            <w:tcW w:w="4678" w:type="dxa"/>
            <w:shd w:val="clear" w:color="auto" w:fill="DEEAF6" w:themeFill="accent1" w:themeFillTint="33"/>
            <w:vAlign w:val="center"/>
            <w:hideMark/>
          </w:tcPr>
          <w:p w14:paraId="56EB4AF4" w14:textId="0B773749" w:rsidR="00A05136" w:rsidRPr="00713DFD" w:rsidRDefault="00A05136" w:rsidP="002B166C">
            <w:pPr>
              <w:spacing w:before="100" w:beforeAutospacing="1" w:after="100" w:afterAutospacing="1"/>
              <w:jc w:val="center"/>
              <w:rPr>
                <w:rFonts w:ascii="Tahoma" w:eastAsiaTheme="minorHAnsi" w:hAnsi="Tahoma" w:cs="Tahoma"/>
                <w:b/>
                <w:bCs/>
                <w:sz w:val="22"/>
                <w:szCs w:val="22"/>
              </w:rPr>
            </w:pPr>
            <w:r>
              <w:rPr>
                <w:rFonts w:ascii="Tahoma" w:hAnsi="Tahoma"/>
                <w:b/>
                <w:color w:val="000000"/>
                <w:sz w:val="22"/>
              </w:rPr>
              <w:t>Qualification requirement</w:t>
            </w:r>
          </w:p>
        </w:tc>
        <w:tc>
          <w:tcPr>
            <w:tcW w:w="5812" w:type="dxa"/>
            <w:shd w:val="clear" w:color="auto" w:fill="DEEAF6" w:themeFill="accent1" w:themeFillTint="33"/>
            <w:vAlign w:val="center"/>
          </w:tcPr>
          <w:p w14:paraId="1BA7643C" w14:textId="77777777" w:rsidR="00A05136" w:rsidRPr="00713DFD" w:rsidRDefault="00A05136" w:rsidP="00520773">
            <w:pPr>
              <w:autoSpaceDE w:val="0"/>
              <w:autoSpaceDN w:val="0"/>
              <w:adjustRightInd w:val="0"/>
              <w:spacing w:before="100" w:beforeAutospacing="1" w:after="100" w:afterAutospacing="1"/>
              <w:jc w:val="center"/>
              <w:rPr>
                <w:rFonts w:ascii="Tahoma" w:hAnsi="Tahoma" w:cs="Tahoma"/>
                <w:b/>
                <w:bCs/>
                <w:color w:val="000000"/>
                <w:sz w:val="22"/>
                <w:szCs w:val="22"/>
              </w:rPr>
            </w:pPr>
            <w:r>
              <w:rPr>
                <w:rFonts w:ascii="Tahoma" w:hAnsi="Tahoma"/>
                <w:b/>
                <w:color w:val="000000"/>
                <w:sz w:val="22"/>
              </w:rPr>
              <w:t>Documents proving compliance with the requirement</w:t>
            </w:r>
          </w:p>
        </w:tc>
        <w:tc>
          <w:tcPr>
            <w:tcW w:w="3969" w:type="dxa"/>
            <w:shd w:val="clear" w:color="auto" w:fill="DEEAF6" w:themeFill="accent1" w:themeFillTint="33"/>
          </w:tcPr>
          <w:p w14:paraId="61715620" w14:textId="108AA4D2" w:rsidR="00A05136" w:rsidRPr="00713DFD" w:rsidRDefault="00A05136" w:rsidP="008C4269">
            <w:pPr>
              <w:autoSpaceDE w:val="0"/>
              <w:autoSpaceDN w:val="0"/>
              <w:adjustRightInd w:val="0"/>
              <w:jc w:val="center"/>
              <w:rPr>
                <w:rFonts w:ascii="Tahoma" w:hAnsi="Tahoma" w:cs="Tahoma"/>
                <w:b/>
                <w:bCs/>
                <w:color w:val="000000"/>
                <w:sz w:val="22"/>
                <w:szCs w:val="22"/>
              </w:rPr>
            </w:pPr>
            <w:r>
              <w:rPr>
                <w:rFonts w:ascii="Tahoma" w:hAnsi="Tahoma"/>
                <w:b/>
                <w:color w:val="000000"/>
                <w:sz w:val="22"/>
              </w:rPr>
              <w:t>Entity that must comply with the requirement</w:t>
            </w:r>
          </w:p>
        </w:tc>
      </w:tr>
      <w:tr w:rsidR="00A05136" w:rsidRPr="00713DFD" w14:paraId="0F271C32" w14:textId="0D7CCF69" w:rsidTr="008C4269">
        <w:trPr>
          <w:trHeight w:val="70"/>
        </w:trPr>
        <w:tc>
          <w:tcPr>
            <w:tcW w:w="704" w:type="dxa"/>
          </w:tcPr>
          <w:p w14:paraId="4164CCBF" w14:textId="2D24315F" w:rsidR="00A05136" w:rsidRPr="00713DFD" w:rsidRDefault="00A05136" w:rsidP="00160C4F">
            <w:pPr>
              <w:spacing w:after="100" w:afterAutospacing="1"/>
              <w:jc w:val="both"/>
              <w:rPr>
                <w:rFonts w:ascii="Tahoma" w:eastAsiaTheme="minorHAnsi" w:hAnsi="Tahoma" w:cs="Tahoma"/>
                <w:sz w:val="22"/>
                <w:szCs w:val="22"/>
              </w:rPr>
            </w:pPr>
            <w:r>
              <w:rPr>
                <w:rFonts w:ascii="Tahoma" w:hAnsi="Tahoma"/>
                <w:sz w:val="22"/>
              </w:rPr>
              <w:t>1.</w:t>
            </w:r>
          </w:p>
        </w:tc>
        <w:tc>
          <w:tcPr>
            <w:tcW w:w="4678" w:type="dxa"/>
          </w:tcPr>
          <w:p w14:paraId="5E979C78" w14:textId="4A78965B" w:rsidR="008C4269" w:rsidRPr="000F5546" w:rsidRDefault="008C4269" w:rsidP="008C4269">
            <w:pPr>
              <w:spacing w:after="0" w:line="240" w:lineRule="auto"/>
              <w:jc w:val="both"/>
              <w:rPr>
                <w:rFonts w:ascii="Tahoma" w:hAnsi="Tahoma" w:cs="Tahoma"/>
                <w:sz w:val="22"/>
                <w:szCs w:val="22"/>
              </w:rPr>
            </w:pPr>
            <w:r>
              <w:rPr>
                <w:rFonts w:ascii="Tahoma" w:hAnsi="Tahoma"/>
                <w:sz w:val="22"/>
              </w:rPr>
              <w:t xml:space="preserve">At the time of submission of the tender bid, the tenderer has been providing remote identity proofing services to at least one qualified trust service provider registered in an EU Member State or Norway, Switzerland or the United Kingdom for issuing qualified electronic signature certificates in accordance with </w:t>
            </w:r>
            <w:r>
              <w:rPr>
                <w:rFonts w:ascii="Tahoma" w:hAnsi="Tahoma"/>
                <w:color w:val="222222"/>
                <w:sz w:val="22"/>
                <w:shd w:val="clear" w:color="auto" w:fill="FFFFFF"/>
              </w:rPr>
              <w:t>Article 24(1a)(c) of the</w:t>
            </w:r>
            <w:r>
              <w:rPr>
                <w:rFonts w:ascii="Tahoma" w:hAnsi="Tahoma"/>
                <w:i/>
                <w:color w:val="222222"/>
                <w:sz w:val="22"/>
                <w:shd w:val="clear" w:color="auto" w:fill="FFFFFF"/>
              </w:rPr>
              <w:t xml:space="preserve"> Regulation </w:t>
            </w:r>
            <w:r>
              <w:rPr>
                <w:rStyle w:val="Emfaz"/>
                <w:rFonts w:ascii="Tahoma" w:hAnsi="Tahoma"/>
                <w:color w:val="222222"/>
                <w:sz w:val="22"/>
                <w:shd w:val="clear" w:color="auto" w:fill="FFFFFF"/>
              </w:rPr>
              <w:t>(EU</w:t>
            </w:r>
            <w:r>
              <w:rPr>
                <w:rFonts w:ascii="Tahoma" w:hAnsi="Tahoma"/>
                <w:color w:val="222222"/>
                <w:sz w:val="22"/>
                <w:shd w:val="clear" w:color="auto" w:fill="FFFFFF"/>
              </w:rPr>
              <w:t>)</w:t>
            </w:r>
            <w:r>
              <w:rPr>
                <w:rStyle w:val="Emfaz"/>
                <w:rFonts w:ascii="Tahoma" w:hAnsi="Tahoma"/>
                <w:color w:val="222222"/>
                <w:sz w:val="22"/>
                <w:shd w:val="clear" w:color="auto" w:fill="FFFFFF"/>
              </w:rPr>
              <w:t xml:space="preserve"> No 2024 </w:t>
            </w:r>
            <w:r w:rsidRPr="000F5546">
              <w:rPr>
                <w:rStyle w:val="Emfaz"/>
                <w:rFonts w:ascii="Tahoma" w:hAnsi="Tahoma"/>
                <w:i w:val="0"/>
                <w:iCs w:val="0"/>
                <w:color w:val="222222"/>
                <w:sz w:val="22"/>
                <w:shd w:val="clear" w:color="auto" w:fill="FFFFFF"/>
              </w:rPr>
              <w:t>(hereinafter referred to as the</w:t>
            </w:r>
            <w:r w:rsidR="000F5546">
              <w:rPr>
                <w:rStyle w:val="Emfaz"/>
                <w:rFonts w:ascii="Tahoma" w:hAnsi="Tahoma"/>
                <w:i w:val="0"/>
                <w:iCs w:val="0"/>
                <w:color w:val="222222"/>
                <w:sz w:val="22"/>
                <w:shd w:val="clear" w:color="auto" w:fill="FFFFFF"/>
              </w:rPr>
              <w:t xml:space="preserve"> </w:t>
            </w:r>
            <w:proofErr w:type="spellStart"/>
            <w:r w:rsidRPr="000F5546">
              <w:rPr>
                <w:rFonts w:ascii="Tahoma" w:hAnsi="Tahoma"/>
                <w:sz w:val="22"/>
              </w:rPr>
              <w:t>eIDAS</w:t>
            </w:r>
            <w:proofErr w:type="spellEnd"/>
            <w:r w:rsidRPr="000F5546">
              <w:rPr>
                <w:rFonts w:ascii="Tahoma" w:hAnsi="Tahoma"/>
                <w:color w:val="222222"/>
                <w:sz w:val="22"/>
                <w:shd w:val="clear" w:color="auto" w:fill="FFFFFF"/>
              </w:rPr>
              <w:t>).</w:t>
            </w:r>
          </w:p>
          <w:p w14:paraId="23A577E8" w14:textId="3F69F2E2" w:rsidR="00A05136" w:rsidRPr="00713DFD" w:rsidRDefault="00A05136" w:rsidP="00AB3519">
            <w:pPr>
              <w:pStyle w:val="prastasiniatinklio"/>
              <w:spacing w:before="0" w:beforeAutospacing="0" w:afterLines="60" w:after="144" w:afterAutospacing="0"/>
              <w:jc w:val="both"/>
              <w:rPr>
                <w:rFonts w:ascii="Tahoma" w:hAnsi="Tahoma" w:cs="Tahoma"/>
                <w:sz w:val="22"/>
                <w:szCs w:val="22"/>
              </w:rPr>
            </w:pPr>
          </w:p>
        </w:tc>
        <w:tc>
          <w:tcPr>
            <w:tcW w:w="5812" w:type="dxa"/>
          </w:tcPr>
          <w:p w14:paraId="31213C27" w14:textId="77777777" w:rsidR="008C4269" w:rsidRPr="00CD36EA" w:rsidRDefault="00A05136" w:rsidP="008C4269">
            <w:pPr>
              <w:pStyle w:val="Sraopastraipa"/>
              <w:tabs>
                <w:tab w:val="left" w:pos="248"/>
                <w:tab w:val="left" w:pos="673"/>
              </w:tabs>
              <w:spacing w:after="0" w:line="240" w:lineRule="auto"/>
              <w:ind w:left="-35"/>
              <w:jc w:val="both"/>
              <w:rPr>
                <w:rFonts w:cs="Tahoma"/>
              </w:rPr>
            </w:pPr>
            <w:r>
              <w:t>1. Regarding qualified trust service providers:</w:t>
            </w:r>
          </w:p>
          <w:p w14:paraId="630D82BA" w14:textId="52C35E01" w:rsidR="008C4269" w:rsidRPr="00CD36EA" w:rsidRDefault="008C4269" w:rsidP="008C4269">
            <w:pPr>
              <w:pStyle w:val="Sraopastraipa"/>
              <w:numPr>
                <w:ilvl w:val="0"/>
                <w:numId w:val="13"/>
              </w:numPr>
              <w:tabs>
                <w:tab w:val="left" w:pos="248"/>
                <w:tab w:val="left" w:pos="673"/>
              </w:tabs>
              <w:spacing w:after="0" w:line="240" w:lineRule="auto"/>
              <w:jc w:val="both"/>
              <w:rPr>
                <w:rFonts w:cs="Tahoma"/>
              </w:rPr>
            </w:pPr>
            <w:r>
              <w:t>References to trusted lists publicly available in the countries where they are registered</w:t>
            </w:r>
          </w:p>
          <w:p w14:paraId="185CFC41" w14:textId="2BFA2B86" w:rsidR="008C4269" w:rsidRPr="00CD36EA" w:rsidRDefault="008C4269" w:rsidP="008C4269">
            <w:pPr>
              <w:pStyle w:val="Sraopastraipa"/>
              <w:numPr>
                <w:ilvl w:val="0"/>
                <w:numId w:val="13"/>
              </w:numPr>
              <w:tabs>
                <w:tab w:val="left" w:pos="248"/>
                <w:tab w:val="left" w:pos="673"/>
              </w:tabs>
              <w:spacing w:after="0" w:line="240" w:lineRule="auto"/>
              <w:jc w:val="both"/>
              <w:rPr>
                <w:rFonts w:cs="Tahoma"/>
              </w:rPr>
            </w:pPr>
            <w:r>
              <w:t>Valid certification practice statements or other equivalent documents, which define the procedure for remote identity proofing and verification by issuing qualified e-signature certificates</w:t>
            </w:r>
          </w:p>
          <w:p w14:paraId="4246058E" w14:textId="77777777" w:rsidR="008C4269" w:rsidRPr="00CD36EA" w:rsidRDefault="008C4269" w:rsidP="008C4269">
            <w:pPr>
              <w:pStyle w:val="Sraopastraipa"/>
              <w:tabs>
                <w:tab w:val="left" w:pos="248"/>
                <w:tab w:val="left" w:pos="673"/>
              </w:tabs>
              <w:spacing w:after="0" w:line="240" w:lineRule="auto"/>
              <w:ind w:left="325"/>
              <w:jc w:val="both"/>
              <w:rPr>
                <w:rFonts w:cs="Tahoma"/>
              </w:rPr>
            </w:pPr>
          </w:p>
          <w:p w14:paraId="29ADE496" w14:textId="134FFE6B" w:rsidR="00A05136" w:rsidRPr="00713DFD" w:rsidRDefault="008C4269" w:rsidP="008C4269">
            <w:pPr>
              <w:autoSpaceDE w:val="0"/>
              <w:autoSpaceDN w:val="0"/>
              <w:adjustRightInd w:val="0"/>
              <w:spacing w:afterLines="60" w:after="144"/>
              <w:jc w:val="both"/>
              <w:rPr>
                <w:rFonts w:ascii="Tahoma" w:hAnsi="Tahoma" w:cs="Tahoma"/>
                <w:sz w:val="22"/>
                <w:szCs w:val="22"/>
              </w:rPr>
            </w:pPr>
            <w:r>
              <w:rPr>
                <w:rFonts w:ascii="Tahoma" w:hAnsi="Tahoma"/>
                <w:sz w:val="22"/>
              </w:rPr>
              <w:t xml:space="preserve">2. Certificate of qualified trust service providers or other document confirming that, at the time of submission of the tender bid, the tenderer provided remote Identity </w:t>
            </w:r>
            <w:r>
              <w:rPr>
                <w:rFonts w:ascii="Tahoma" w:hAnsi="Tahoma"/>
                <w:sz w:val="22"/>
              </w:rPr>
              <w:lastRenderedPageBreak/>
              <w:t>Verification Services by issuing qualified e-signature certificates in accordance with the requirements of Article 24(1</w:t>
            </w:r>
            <w:proofErr w:type="gramStart"/>
            <w:r>
              <w:rPr>
                <w:rFonts w:ascii="Tahoma" w:hAnsi="Tahoma"/>
                <w:sz w:val="22"/>
              </w:rPr>
              <w:t>a)(</w:t>
            </w:r>
            <w:proofErr w:type="gramEnd"/>
            <w:r>
              <w:rPr>
                <w:rFonts w:ascii="Tahoma" w:hAnsi="Tahoma"/>
                <w:sz w:val="22"/>
              </w:rPr>
              <w:t xml:space="preserve">c) of the </w:t>
            </w:r>
            <w:proofErr w:type="spellStart"/>
            <w:r>
              <w:rPr>
                <w:rFonts w:ascii="Tahoma" w:hAnsi="Tahoma"/>
                <w:sz w:val="22"/>
              </w:rPr>
              <w:t>eIDAS</w:t>
            </w:r>
            <w:proofErr w:type="spellEnd"/>
            <w:r>
              <w:rPr>
                <w:rFonts w:ascii="Tahoma" w:hAnsi="Tahoma"/>
                <w:sz w:val="22"/>
              </w:rPr>
              <w:t xml:space="preserve"> Regulation.</w:t>
            </w:r>
          </w:p>
        </w:tc>
        <w:tc>
          <w:tcPr>
            <w:tcW w:w="3969" w:type="dxa"/>
          </w:tcPr>
          <w:p w14:paraId="3CB08F00" w14:textId="538057FA" w:rsidR="0017413B" w:rsidRPr="0017413B" w:rsidRDefault="0017413B" w:rsidP="00586C4A">
            <w:pPr>
              <w:jc w:val="both"/>
              <w:rPr>
                <w:rFonts w:ascii="Tahoma" w:hAnsi="Tahoma" w:cs="Tahoma"/>
                <w:sz w:val="22"/>
                <w:szCs w:val="22"/>
              </w:rPr>
            </w:pPr>
            <w:r>
              <w:rPr>
                <w:rFonts w:ascii="Tahoma" w:hAnsi="Tahoma"/>
                <w:sz w:val="22"/>
              </w:rPr>
              <w:lastRenderedPageBreak/>
              <w:t xml:space="preserve">The tenderer or at least one member of the group of economic operators, </w:t>
            </w:r>
            <w:r>
              <w:rPr>
                <w:rFonts w:ascii="Tahoma" w:hAnsi="Tahoma"/>
                <w:color w:val="000000"/>
                <w:sz w:val="22"/>
              </w:rPr>
              <w:t>or all members of the group of economic operators together</w:t>
            </w:r>
          </w:p>
          <w:p w14:paraId="6FC81AEE" w14:textId="2EDF516B" w:rsidR="00320A06" w:rsidRPr="00320A06" w:rsidRDefault="00320A06" w:rsidP="00586C4A">
            <w:pPr>
              <w:tabs>
                <w:tab w:val="left" w:pos="993"/>
              </w:tabs>
              <w:spacing w:line="20" w:lineRule="atLeast"/>
              <w:jc w:val="both"/>
              <w:rPr>
                <w:rFonts w:ascii="Tahoma" w:hAnsi="Tahoma" w:cs="Tahoma"/>
                <w:sz w:val="22"/>
                <w:szCs w:val="22"/>
              </w:rPr>
            </w:pPr>
            <w:r>
              <w:rPr>
                <w:rFonts w:ascii="Tahoma" w:hAnsi="Tahoma"/>
                <w:sz w:val="22"/>
              </w:rPr>
              <w:t>The tenderer may rely on the capacity of other economic operators only if those economic operators themselves are going to perform that part of the Contract requiring their capacity.</w:t>
            </w:r>
          </w:p>
          <w:p w14:paraId="082D9CDB" w14:textId="0E9E345F" w:rsidR="00A05136" w:rsidRPr="00F14A28" w:rsidRDefault="00320A06" w:rsidP="00586C4A">
            <w:pPr>
              <w:tabs>
                <w:tab w:val="left" w:pos="993"/>
              </w:tabs>
              <w:spacing w:line="20" w:lineRule="atLeast"/>
              <w:jc w:val="both"/>
              <w:rPr>
                <w:rFonts w:ascii="Tahoma" w:hAnsi="Tahoma" w:cs="Tahoma"/>
                <w:sz w:val="22"/>
                <w:szCs w:val="22"/>
              </w:rPr>
            </w:pPr>
            <w:r>
              <w:rPr>
                <w:rFonts w:ascii="Tahoma" w:hAnsi="Tahoma"/>
                <w:sz w:val="22"/>
              </w:rPr>
              <w:lastRenderedPageBreak/>
              <w:t>If the tenderer meets the established requirement itself but intends to use sub-providers,</w:t>
            </w:r>
            <w:r>
              <w:rPr>
                <w:rFonts w:ascii="Tahoma" w:hAnsi="Tahoma"/>
                <w:b/>
                <w:sz w:val="22"/>
              </w:rPr>
              <w:t> </w:t>
            </w:r>
            <w:r>
              <w:rPr>
                <w:rFonts w:ascii="Tahoma" w:hAnsi="Tahoma"/>
                <w:sz w:val="22"/>
              </w:rPr>
              <w:t>the specialists of sub-providers must meet the established requirements if the sub-providers themselves perform the part of the Procurement Contract that requires the specified qualification.</w:t>
            </w:r>
          </w:p>
        </w:tc>
      </w:tr>
    </w:tbl>
    <w:p w14:paraId="5E1C911C" w14:textId="2FDC1572" w:rsidR="00DC5A3A" w:rsidRPr="00713DFD" w:rsidRDefault="00DC5A3A" w:rsidP="000D5DFA">
      <w:pPr>
        <w:pStyle w:val="Sraopastraipa"/>
        <w:numPr>
          <w:ilvl w:val="0"/>
          <w:numId w:val="2"/>
        </w:numPr>
        <w:tabs>
          <w:tab w:val="left" w:pos="993"/>
        </w:tabs>
        <w:spacing w:line="20" w:lineRule="atLeast"/>
        <w:ind w:left="0" w:firstLine="567"/>
        <w:jc w:val="both"/>
        <w:rPr>
          <w:rFonts w:cs="Tahoma"/>
        </w:rPr>
      </w:pPr>
      <w:r>
        <w:lastRenderedPageBreak/>
        <w:t xml:space="preserve">Conformity of tenderers with the qualification requirements shall be assessed in accordance with the procedure for the evaluation of tender bids set out in the Procurement Conditions. </w:t>
      </w:r>
    </w:p>
    <w:p w14:paraId="08F7D423" w14:textId="1711EFCA" w:rsidR="00DC5A3A" w:rsidRPr="00713DFD" w:rsidRDefault="00DC5A3A" w:rsidP="000D5DFA">
      <w:pPr>
        <w:pStyle w:val="Sraopastraipa"/>
        <w:numPr>
          <w:ilvl w:val="0"/>
          <w:numId w:val="2"/>
        </w:numPr>
        <w:tabs>
          <w:tab w:val="left" w:pos="993"/>
        </w:tabs>
        <w:spacing w:line="20" w:lineRule="atLeast"/>
        <w:ind w:left="0" w:firstLine="567"/>
        <w:jc w:val="both"/>
        <w:rPr>
          <w:rFonts w:cs="Tahoma"/>
        </w:rPr>
      </w:pPr>
      <w:r>
        <w:t xml:space="preserve">Tenderer qualification adjustments/supplements/clarifications shall be carried out in accordance with the </w:t>
      </w:r>
      <w:r>
        <w:rPr>
          <w:color w:val="000000"/>
        </w:rPr>
        <w:t xml:space="preserve">Rules approved by Order No. 1S-240 of the Director of the Public Procurement Office of 30 December 2022 </w:t>
      </w:r>
      <w:proofErr w:type="gramStart"/>
      <w:r>
        <w:rPr>
          <w:color w:val="000000"/>
        </w:rPr>
        <w:t>On</w:t>
      </w:r>
      <w:proofErr w:type="gramEnd"/>
      <w:r>
        <w:rPr>
          <w:color w:val="000000"/>
        </w:rPr>
        <w:t xml:space="preserve"> Approval of the Rules for Adjustment, Supplement or Clarification of Tender Bids</w:t>
      </w:r>
      <w:r w:rsidRPr="00713DFD">
        <w:rPr>
          <w:rStyle w:val="Puslapioinaosnuoroda"/>
          <w:rFonts w:cs="Tahoma"/>
        </w:rPr>
        <w:footnoteReference w:id="1"/>
      </w:r>
      <w:r>
        <w:t>.</w:t>
      </w:r>
    </w:p>
    <w:p w14:paraId="788438C0" w14:textId="77777777" w:rsidR="00721307" w:rsidRDefault="00721307" w:rsidP="00721307">
      <w:pPr>
        <w:spacing w:after="0" w:line="20" w:lineRule="atLeast"/>
        <w:jc w:val="both"/>
        <w:rPr>
          <w:rFonts w:cs="Tahoma"/>
        </w:rPr>
      </w:pPr>
    </w:p>
    <w:sectPr w:rsidR="00721307"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9647" w14:textId="77777777" w:rsidR="00E51FE3" w:rsidRPr="00D35081" w:rsidRDefault="00E51FE3" w:rsidP="00DD3A79">
      <w:pPr>
        <w:spacing w:line="240" w:lineRule="auto"/>
      </w:pPr>
      <w:r w:rsidRPr="00D35081">
        <w:separator/>
      </w:r>
    </w:p>
  </w:endnote>
  <w:endnote w:type="continuationSeparator" w:id="0">
    <w:p w14:paraId="18B07E88" w14:textId="77777777" w:rsidR="00E51FE3" w:rsidRPr="00D35081" w:rsidRDefault="00E51FE3" w:rsidP="00DD3A79">
      <w:pPr>
        <w:spacing w:line="240" w:lineRule="auto"/>
      </w:pPr>
      <w:r w:rsidRPr="00D35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D6FF" w14:textId="77777777" w:rsidR="00E51FE3" w:rsidRPr="00D35081" w:rsidRDefault="00E51FE3" w:rsidP="00DD3A79">
      <w:pPr>
        <w:spacing w:line="240" w:lineRule="auto"/>
      </w:pPr>
      <w:r w:rsidRPr="00D35081">
        <w:separator/>
      </w:r>
    </w:p>
  </w:footnote>
  <w:footnote w:type="continuationSeparator" w:id="0">
    <w:p w14:paraId="049037AF" w14:textId="77777777" w:rsidR="00E51FE3" w:rsidRPr="00D35081" w:rsidRDefault="00E51FE3" w:rsidP="00DD3A79">
      <w:pPr>
        <w:spacing w:line="240" w:lineRule="auto"/>
      </w:pPr>
      <w:r w:rsidRPr="00D35081">
        <w:continuationSeparator/>
      </w:r>
    </w:p>
  </w:footnote>
  <w:footnote w:id="1">
    <w:p w14:paraId="603D4173" w14:textId="77777777" w:rsidR="00DC5A3A" w:rsidRPr="00520773" w:rsidRDefault="00DC5A3A" w:rsidP="00DC5A3A">
      <w:pPr>
        <w:pStyle w:val="Puslapioinaostekstas"/>
        <w:jc w:val="both"/>
        <w:rPr>
          <w:rFonts w:ascii="Tahoma" w:hAnsi="Tahoma" w:cs="Tahoma"/>
        </w:rPr>
      </w:pPr>
      <w:r>
        <w:rPr>
          <w:rStyle w:val="Puslapioinaosnuoroda"/>
          <w:rFonts w:ascii="Tahoma" w:hAnsi="Tahoma" w:cs="Tahoma"/>
        </w:rPr>
        <w:footnoteRef/>
      </w:r>
      <w:r>
        <w:rPr>
          <w:rFonts w:ascii="Tahoma" w:hAnsi="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Antrats"/>
          <w:jc w:val="right"/>
          <w:rPr>
            <w:rFonts w:cs="Tahoma"/>
          </w:rPr>
        </w:pPr>
        <w:r w:rsidRPr="00D35081">
          <w:rPr>
            <w:rFonts w:cs="Tahoma"/>
          </w:rPr>
          <w:fldChar w:fldCharType="begin"/>
        </w:r>
        <w:r w:rsidRPr="00D35081">
          <w:rPr>
            <w:rFonts w:cs="Tahoma"/>
          </w:rPr>
          <w:instrText xml:space="preserve"> PAGE </w:instrText>
        </w:r>
        <w:r w:rsidRPr="00D35081">
          <w:rPr>
            <w:rFonts w:cs="Tahoma"/>
          </w:rPr>
          <w:fldChar w:fldCharType="separate"/>
        </w:r>
        <w:r w:rsidR="00094905" w:rsidRPr="00E20CA5">
          <w:rPr>
            <w:rFonts w:cs="Tahoma"/>
          </w:rPr>
          <w:t>6</w:t>
        </w:r>
        <w:r w:rsidRPr="00D35081">
          <w:rPr>
            <w:rFonts w:cs="Tahoma"/>
          </w:rPr>
          <w:fldChar w:fldCharType="end"/>
        </w:r>
        <w:r>
          <w:t>-</w:t>
        </w:r>
        <w:r w:rsidRPr="00D35081">
          <w:rPr>
            <w:rFonts w:cs="Tahoma"/>
          </w:rPr>
          <w:fldChar w:fldCharType="begin"/>
        </w:r>
        <w:r w:rsidRPr="00D35081">
          <w:rPr>
            <w:rFonts w:cs="Tahoma"/>
          </w:rPr>
          <w:instrText xml:space="preserve"> NUMPAGES  </w:instrText>
        </w:r>
        <w:r w:rsidRPr="00D35081">
          <w:rPr>
            <w:rFonts w:cs="Tahoma"/>
          </w:rPr>
          <w:fldChar w:fldCharType="separate"/>
        </w:r>
        <w:r w:rsidR="00094905" w:rsidRPr="00E20CA5">
          <w:rPr>
            <w:rFonts w:cs="Tahoma"/>
          </w:rPr>
          <w:t>6</w:t>
        </w:r>
        <w:r w:rsidRPr="00D35081">
          <w:rPr>
            <w:rFonts w:cs="Tahoma"/>
          </w:rPr>
          <w:fldChar w:fldCharType="end"/>
        </w:r>
      </w:p>
    </w:sdtContent>
  </w:sdt>
  <w:p w14:paraId="191CD49C" w14:textId="77777777" w:rsidR="00DD3A79" w:rsidRPr="00D35081"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visibility:visible;mso-wrap-style:square" o:bullet="t">
        <v:imagedata r:id="rId1" o:title=""/>
      </v:shape>
    </w:pict>
  </w:numPicBullet>
  <w:abstractNum w:abstractNumId="0" w15:restartNumberingAfterBreak="0">
    <w:nsid w:val="FFFFFF89"/>
    <w:multiLevelType w:val="singleLevel"/>
    <w:tmpl w:val="0EC01CC8"/>
    <w:lvl w:ilvl="0">
      <w:start w:val="1"/>
      <w:numFmt w:val="bullet"/>
      <w:pStyle w:val="Sraassuenkleliais"/>
      <w:lvlText w:val=""/>
      <w:lvlJc w:val="left"/>
      <w:pPr>
        <w:tabs>
          <w:tab w:val="num" w:pos="2453"/>
        </w:tabs>
        <w:ind w:left="2453" w:hanging="360"/>
      </w:pPr>
      <w:rPr>
        <w:rFonts w:ascii="Symbol" w:hAnsi="Symbol" w:hint="default"/>
      </w:rPr>
    </w:lvl>
  </w:abstractNum>
  <w:abstractNum w:abstractNumId="1"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23A00"/>
    <w:multiLevelType w:val="hybridMultilevel"/>
    <w:tmpl w:val="24AC47A6"/>
    <w:lvl w:ilvl="0" w:tplc="0584008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6545B4"/>
    <w:multiLevelType w:val="hybridMultilevel"/>
    <w:tmpl w:val="A8BCB162"/>
    <w:lvl w:ilvl="0" w:tplc="561A9BB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842584"/>
    <w:multiLevelType w:val="hybridMultilevel"/>
    <w:tmpl w:val="02CA6CE2"/>
    <w:lvl w:ilvl="0" w:tplc="399EC250">
      <w:start w:val="1"/>
      <w:numFmt w:val="lowerLetter"/>
      <w:lvlText w:val="%1)"/>
      <w:lvlJc w:val="left"/>
      <w:pPr>
        <w:ind w:left="325" w:hanging="360"/>
      </w:pPr>
      <w:rPr>
        <w:rFonts w:hint="default"/>
      </w:rPr>
    </w:lvl>
    <w:lvl w:ilvl="1" w:tplc="04270019" w:tentative="1">
      <w:start w:val="1"/>
      <w:numFmt w:val="lowerLetter"/>
      <w:lvlText w:val="%2."/>
      <w:lvlJc w:val="left"/>
      <w:pPr>
        <w:ind w:left="1045" w:hanging="360"/>
      </w:pPr>
    </w:lvl>
    <w:lvl w:ilvl="2" w:tplc="0427001B" w:tentative="1">
      <w:start w:val="1"/>
      <w:numFmt w:val="lowerRoman"/>
      <w:lvlText w:val="%3."/>
      <w:lvlJc w:val="right"/>
      <w:pPr>
        <w:ind w:left="1765" w:hanging="180"/>
      </w:pPr>
    </w:lvl>
    <w:lvl w:ilvl="3" w:tplc="0427000F" w:tentative="1">
      <w:start w:val="1"/>
      <w:numFmt w:val="decimal"/>
      <w:lvlText w:val="%4."/>
      <w:lvlJc w:val="left"/>
      <w:pPr>
        <w:ind w:left="2485" w:hanging="360"/>
      </w:pPr>
    </w:lvl>
    <w:lvl w:ilvl="4" w:tplc="04270019" w:tentative="1">
      <w:start w:val="1"/>
      <w:numFmt w:val="lowerLetter"/>
      <w:lvlText w:val="%5."/>
      <w:lvlJc w:val="left"/>
      <w:pPr>
        <w:ind w:left="3205" w:hanging="360"/>
      </w:pPr>
    </w:lvl>
    <w:lvl w:ilvl="5" w:tplc="0427001B" w:tentative="1">
      <w:start w:val="1"/>
      <w:numFmt w:val="lowerRoman"/>
      <w:lvlText w:val="%6."/>
      <w:lvlJc w:val="right"/>
      <w:pPr>
        <w:ind w:left="3925" w:hanging="180"/>
      </w:pPr>
    </w:lvl>
    <w:lvl w:ilvl="6" w:tplc="0427000F" w:tentative="1">
      <w:start w:val="1"/>
      <w:numFmt w:val="decimal"/>
      <w:lvlText w:val="%7."/>
      <w:lvlJc w:val="left"/>
      <w:pPr>
        <w:ind w:left="4645" w:hanging="360"/>
      </w:pPr>
    </w:lvl>
    <w:lvl w:ilvl="7" w:tplc="04270019" w:tentative="1">
      <w:start w:val="1"/>
      <w:numFmt w:val="lowerLetter"/>
      <w:lvlText w:val="%8."/>
      <w:lvlJc w:val="left"/>
      <w:pPr>
        <w:ind w:left="5365" w:hanging="360"/>
      </w:pPr>
    </w:lvl>
    <w:lvl w:ilvl="8" w:tplc="0427001B" w:tentative="1">
      <w:start w:val="1"/>
      <w:numFmt w:val="lowerRoman"/>
      <w:lvlText w:val="%9."/>
      <w:lvlJc w:val="right"/>
      <w:pPr>
        <w:ind w:left="6085" w:hanging="180"/>
      </w:pPr>
    </w:lvl>
  </w:abstractNum>
  <w:abstractNum w:abstractNumId="7"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9"/>
  </w:num>
  <w:num w:numId="3" w16cid:durableId="1608006280">
    <w:abstractNumId w:val="1"/>
  </w:num>
  <w:num w:numId="4" w16cid:durableId="824391359">
    <w:abstractNumId w:val="11"/>
  </w:num>
  <w:num w:numId="5" w16cid:durableId="1824272776">
    <w:abstractNumId w:val="12"/>
  </w:num>
  <w:num w:numId="6" w16cid:durableId="330183946">
    <w:abstractNumId w:val="8"/>
  </w:num>
  <w:num w:numId="7" w16cid:durableId="448936772">
    <w:abstractNumId w:val="7"/>
  </w:num>
  <w:num w:numId="8" w16cid:durableId="1762098397">
    <w:abstractNumId w:val="10"/>
  </w:num>
  <w:num w:numId="9" w16cid:durableId="1056858905">
    <w:abstractNumId w:val="2"/>
  </w:num>
  <w:num w:numId="10" w16cid:durableId="890573273">
    <w:abstractNumId w:val="5"/>
  </w:num>
  <w:num w:numId="11" w16cid:durableId="1318026392">
    <w:abstractNumId w:val="4"/>
  </w:num>
  <w:num w:numId="12" w16cid:durableId="823158658">
    <w:abstractNumId w:val="3"/>
  </w:num>
  <w:num w:numId="13" w16cid:durableId="5093704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119F2"/>
    <w:rsid w:val="000168C7"/>
    <w:rsid w:val="0002106A"/>
    <w:rsid w:val="00034649"/>
    <w:rsid w:val="00034A1F"/>
    <w:rsid w:val="00040250"/>
    <w:rsid w:val="00042AA0"/>
    <w:rsid w:val="0004633B"/>
    <w:rsid w:val="0004748A"/>
    <w:rsid w:val="0005393D"/>
    <w:rsid w:val="00057681"/>
    <w:rsid w:val="00064F28"/>
    <w:rsid w:val="000721A8"/>
    <w:rsid w:val="000736CA"/>
    <w:rsid w:val="000765E5"/>
    <w:rsid w:val="00076EB9"/>
    <w:rsid w:val="00082FFD"/>
    <w:rsid w:val="00084802"/>
    <w:rsid w:val="00085B91"/>
    <w:rsid w:val="00094905"/>
    <w:rsid w:val="00095909"/>
    <w:rsid w:val="00097837"/>
    <w:rsid w:val="000A5479"/>
    <w:rsid w:val="000B1855"/>
    <w:rsid w:val="000B412C"/>
    <w:rsid w:val="000B6020"/>
    <w:rsid w:val="000C19F2"/>
    <w:rsid w:val="000C2F7D"/>
    <w:rsid w:val="000C31CC"/>
    <w:rsid w:val="000C4016"/>
    <w:rsid w:val="000D3635"/>
    <w:rsid w:val="000D5DFA"/>
    <w:rsid w:val="000E37B7"/>
    <w:rsid w:val="000E5C29"/>
    <w:rsid w:val="000E5D3E"/>
    <w:rsid w:val="000F0E86"/>
    <w:rsid w:val="000F4BEA"/>
    <w:rsid w:val="000F4C23"/>
    <w:rsid w:val="000F5546"/>
    <w:rsid w:val="001021DA"/>
    <w:rsid w:val="0010717B"/>
    <w:rsid w:val="00110A33"/>
    <w:rsid w:val="0011122F"/>
    <w:rsid w:val="00116235"/>
    <w:rsid w:val="00117AF9"/>
    <w:rsid w:val="00121E9F"/>
    <w:rsid w:val="00122013"/>
    <w:rsid w:val="00125274"/>
    <w:rsid w:val="00126D4E"/>
    <w:rsid w:val="001274DC"/>
    <w:rsid w:val="001329CD"/>
    <w:rsid w:val="00137DB8"/>
    <w:rsid w:val="00137E01"/>
    <w:rsid w:val="0014099A"/>
    <w:rsid w:val="00142200"/>
    <w:rsid w:val="00150A80"/>
    <w:rsid w:val="00152C28"/>
    <w:rsid w:val="0015366F"/>
    <w:rsid w:val="00160C4F"/>
    <w:rsid w:val="00163B5B"/>
    <w:rsid w:val="00170AE6"/>
    <w:rsid w:val="0017413B"/>
    <w:rsid w:val="00177198"/>
    <w:rsid w:val="00191170"/>
    <w:rsid w:val="0019658D"/>
    <w:rsid w:val="0019707D"/>
    <w:rsid w:val="001A215A"/>
    <w:rsid w:val="001A70E7"/>
    <w:rsid w:val="001B59A5"/>
    <w:rsid w:val="001C49AB"/>
    <w:rsid w:val="001C516D"/>
    <w:rsid w:val="001D4FA1"/>
    <w:rsid w:val="001E09EB"/>
    <w:rsid w:val="001E1814"/>
    <w:rsid w:val="001E72C0"/>
    <w:rsid w:val="001F7FC5"/>
    <w:rsid w:val="00202E16"/>
    <w:rsid w:val="00211676"/>
    <w:rsid w:val="00213D6F"/>
    <w:rsid w:val="002151E4"/>
    <w:rsid w:val="0022096F"/>
    <w:rsid w:val="00224AE5"/>
    <w:rsid w:val="002257F1"/>
    <w:rsid w:val="0023250F"/>
    <w:rsid w:val="002463E1"/>
    <w:rsid w:val="00246874"/>
    <w:rsid w:val="002515FA"/>
    <w:rsid w:val="00262D12"/>
    <w:rsid w:val="00264991"/>
    <w:rsid w:val="00265FAD"/>
    <w:rsid w:val="00267371"/>
    <w:rsid w:val="00267D87"/>
    <w:rsid w:val="00270564"/>
    <w:rsid w:val="0027603C"/>
    <w:rsid w:val="00285834"/>
    <w:rsid w:val="00294E9D"/>
    <w:rsid w:val="002A4C92"/>
    <w:rsid w:val="002A7375"/>
    <w:rsid w:val="002B166C"/>
    <w:rsid w:val="002C2EEE"/>
    <w:rsid w:val="002D25C6"/>
    <w:rsid w:val="002D396B"/>
    <w:rsid w:val="002D3AB4"/>
    <w:rsid w:val="002E3486"/>
    <w:rsid w:val="002E50CD"/>
    <w:rsid w:val="002F779E"/>
    <w:rsid w:val="00302C11"/>
    <w:rsid w:val="00305891"/>
    <w:rsid w:val="00305DFA"/>
    <w:rsid w:val="00307692"/>
    <w:rsid w:val="00307B1A"/>
    <w:rsid w:val="00307D45"/>
    <w:rsid w:val="00312AF8"/>
    <w:rsid w:val="00320A06"/>
    <w:rsid w:val="003421EB"/>
    <w:rsid w:val="0034314E"/>
    <w:rsid w:val="00343D67"/>
    <w:rsid w:val="00346E3C"/>
    <w:rsid w:val="00347CB2"/>
    <w:rsid w:val="00365825"/>
    <w:rsid w:val="003674DC"/>
    <w:rsid w:val="00371188"/>
    <w:rsid w:val="00372FE0"/>
    <w:rsid w:val="0037508D"/>
    <w:rsid w:val="003771EC"/>
    <w:rsid w:val="0038077C"/>
    <w:rsid w:val="00381F33"/>
    <w:rsid w:val="0038502C"/>
    <w:rsid w:val="003867F1"/>
    <w:rsid w:val="00391A4B"/>
    <w:rsid w:val="00393499"/>
    <w:rsid w:val="003941DB"/>
    <w:rsid w:val="00394B49"/>
    <w:rsid w:val="003953FF"/>
    <w:rsid w:val="00395D2C"/>
    <w:rsid w:val="003A20F5"/>
    <w:rsid w:val="003A3542"/>
    <w:rsid w:val="003A3D3A"/>
    <w:rsid w:val="003B4F58"/>
    <w:rsid w:val="003B74D3"/>
    <w:rsid w:val="003C3BAD"/>
    <w:rsid w:val="003C3E33"/>
    <w:rsid w:val="003C7544"/>
    <w:rsid w:val="003C7B6B"/>
    <w:rsid w:val="003D25E6"/>
    <w:rsid w:val="003D283E"/>
    <w:rsid w:val="003E2CFB"/>
    <w:rsid w:val="003E3E30"/>
    <w:rsid w:val="003E48E6"/>
    <w:rsid w:val="003F4641"/>
    <w:rsid w:val="003F5229"/>
    <w:rsid w:val="004040A2"/>
    <w:rsid w:val="00404FD3"/>
    <w:rsid w:val="00412336"/>
    <w:rsid w:val="004219AF"/>
    <w:rsid w:val="004230ED"/>
    <w:rsid w:val="00423C3C"/>
    <w:rsid w:val="00427A86"/>
    <w:rsid w:val="004304A0"/>
    <w:rsid w:val="00430973"/>
    <w:rsid w:val="00430D7B"/>
    <w:rsid w:val="00433B99"/>
    <w:rsid w:val="004414DE"/>
    <w:rsid w:val="00443DDA"/>
    <w:rsid w:val="00450B8F"/>
    <w:rsid w:val="0045382B"/>
    <w:rsid w:val="00461462"/>
    <w:rsid w:val="0046317C"/>
    <w:rsid w:val="00473565"/>
    <w:rsid w:val="00473845"/>
    <w:rsid w:val="00480C67"/>
    <w:rsid w:val="004856EB"/>
    <w:rsid w:val="00486FC8"/>
    <w:rsid w:val="004870BD"/>
    <w:rsid w:val="004926DB"/>
    <w:rsid w:val="004B08D3"/>
    <w:rsid w:val="004B3C5B"/>
    <w:rsid w:val="004B7F86"/>
    <w:rsid w:val="004C0805"/>
    <w:rsid w:val="004C2F1F"/>
    <w:rsid w:val="004C60E9"/>
    <w:rsid w:val="004D2C7A"/>
    <w:rsid w:val="004F6265"/>
    <w:rsid w:val="004F7EF2"/>
    <w:rsid w:val="0050076D"/>
    <w:rsid w:val="00500F46"/>
    <w:rsid w:val="005020C1"/>
    <w:rsid w:val="0050420B"/>
    <w:rsid w:val="00510662"/>
    <w:rsid w:val="00520773"/>
    <w:rsid w:val="00524633"/>
    <w:rsid w:val="00524BD5"/>
    <w:rsid w:val="005255D9"/>
    <w:rsid w:val="0052627E"/>
    <w:rsid w:val="005270B9"/>
    <w:rsid w:val="0053039D"/>
    <w:rsid w:val="00533BE1"/>
    <w:rsid w:val="00537320"/>
    <w:rsid w:val="005422C2"/>
    <w:rsid w:val="0054387A"/>
    <w:rsid w:val="00546EF2"/>
    <w:rsid w:val="00556481"/>
    <w:rsid w:val="00566984"/>
    <w:rsid w:val="00571952"/>
    <w:rsid w:val="00572137"/>
    <w:rsid w:val="00584A95"/>
    <w:rsid w:val="00586C4A"/>
    <w:rsid w:val="005919E5"/>
    <w:rsid w:val="0059205E"/>
    <w:rsid w:val="005947CE"/>
    <w:rsid w:val="00594A50"/>
    <w:rsid w:val="005A4163"/>
    <w:rsid w:val="005A6FBA"/>
    <w:rsid w:val="005B00A4"/>
    <w:rsid w:val="005B172F"/>
    <w:rsid w:val="005B4B4B"/>
    <w:rsid w:val="005B563F"/>
    <w:rsid w:val="005B5749"/>
    <w:rsid w:val="005C7483"/>
    <w:rsid w:val="005D07C4"/>
    <w:rsid w:val="005D0FA6"/>
    <w:rsid w:val="005D4CFA"/>
    <w:rsid w:val="005D5363"/>
    <w:rsid w:val="005E13B3"/>
    <w:rsid w:val="005E3AEB"/>
    <w:rsid w:val="005F00E7"/>
    <w:rsid w:val="0060164A"/>
    <w:rsid w:val="006040A0"/>
    <w:rsid w:val="00605327"/>
    <w:rsid w:val="0061227C"/>
    <w:rsid w:val="006127D4"/>
    <w:rsid w:val="00616F0E"/>
    <w:rsid w:val="00621540"/>
    <w:rsid w:val="006309C0"/>
    <w:rsid w:val="00641CD6"/>
    <w:rsid w:val="00645F9B"/>
    <w:rsid w:val="00647F64"/>
    <w:rsid w:val="00653542"/>
    <w:rsid w:val="00653E08"/>
    <w:rsid w:val="00660C1F"/>
    <w:rsid w:val="006638CD"/>
    <w:rsid w:val="00663B32"/>
    <w:rsid w:val="006714BC"/>
    <w:rsid w:val="00672D56"/>
    <w:rsid w:val="00675ABB"/>
    <w:rsid w:val="006B002F"/>
    <w:rsid w:val="006B41A4"/>
    <w:rsid w:val="006B728B"/>
    <w:rsid w:val="006C0FE7"/>
    <w:rsid w:val="006C3EAC"/>
    <w:rsid w:val="006C4487"/>
    <w:rsid w:val="006C5B4E"/>
    <w:rsid w:val="006D07E2"/>
    <w:rsid w:val="006E1A9A"/>
    <w:rsid w:val="006E2ECA"/>
    <w:rsid w:val="006F7A54"/>
    <w:rsid w:val="007001A9"/>
    <w:rsid w:val="007003C0"/>
    <w:rsid w:val="00713DFD"/>
    <w:rsid w:val="00713F52"/>
    <w:rsid w:val="007148CC"/>
    <w:rsid w:val="00721307"/>
    <w:rsid w:val="0073030C"/>
    <w:rsid w:val="007426B8"/>
    <w:rsid w:val="00742795"/>
    <w:rsid w:val="00743BB2"/>
    <w:rsid w:val="00747500"/>
    <w:rsid w:val="0075722D"/>
    <w:rsid w:val="0078779D"/>
    <w:rsid w:val="00792A0A"/>
    <w:rsid w:val="007979B2"/>
    <w:rsid w:val="007A1FAE"/>
    <w:rsid w:val="007A5849"/>
    <w:rsid w:val="007B55E8"/>
    <w:rsid w:val="007C67FF"/>
    <w:rsid w:val="007C6BB1"/>
    <w:rsid w:val="007D0710"/>
    <w:rsid w:val="007D3715"/>
    <w:rsid w:val="007D7663"/>
    <w:rsid w:val="007E007B"/>
    <w:rsid w:val="007E1AA3"/>
    <w:rsid w:val="007E3412"/>
    <w:rsid w:val="007E64C7"/>
    <w:rsid w:val="007F0B64"/>
    <w:rsid w:val="007F59D5"/>
    <w:rsid w:val="00803824"/>
    <w:rsid w:val="00814A5C"/>
    <w:rsid w:val="00814BA7"/>
    <w:rsid w:val="00832323"/>
    <w:rsid w:val="008435F7"/>
    <w:rsid w:val="00850BA2"/>
    <w:rsid w:val="008634D6"/>
    <w:rsid w:val="008765A7"/>
    <w:rsid w:val="008863BF"/>
    <w:rsid w:val="0088691C"/>
    <w:rsid w:val="008875F7"/>
    <w:rsid w:val="008A12D8"/>
    <w:rsid w:val="008A6B7D"/>
    <w:rsid w:val="008C031C"/>
    <w:rsid w:val="008C4269"/>
    <w:rsid w:val="008C6777"/>
    <w:rsid w:val="008D2B63"/>
    <w:rsid w:val="008D4896"/>
    <w:rsid w:val="008D551E"/>
    <w:rsid w:val="0090039C"/>
    <w:rsid w:val="009019F5"/>
    <w:rsid w:val="0091123E"/>
    <w:rsid w:val="00921D85"/>
    <w:rsid w:val="00924DC3"/>
    <w:rsid w:val="00930EA3"/>
    <w:rsid w:val="00940AA4"/>
    <w:rsid w:val="0094596F"/>
    <w:rsid w:val="00952622"/>
    <w:rsid w:val="00952678"/>
    <w:rsid w:val="009541E9"/>
    <w:rsid w:val="0096247B"/>
    <w:rsid w:val="0096618C"/>
    <w:rsid w:val="0098125E"/>
    <w:rsid w:val="0098364B"/>
    <w:rsid w:val="00996A86"/>
    <w:rsid w:val="009A2417"/>
    <w:rsid w:val="009A5E1F"/>
    <w:rsid w:val="009B298A"/>
    <w:rsid w:val="009C0882"/>
    <w:rsid w:val="009C1519"/>
    <w:rsid w:val="009C22FC"/>
    <w:rsid w:val="009D14A2"/>
    <w:rsid w:val="009E3FFE"/>
    <w:rsid w:val="009E4E6E"/>
    <w:rsid w:val="009E5A2C"/>
    <w:rsid w:val="009F725C"/>
    <w:rsid w:val="00A05136"/>
    <w:rsid w:val="00A16B2E"/>
    <w:rsid w:val="00A22B35"/>
    <w:rsid w:val="00A23520"/>
    <w:rsid w:val="00A2734D"/>
    <w:rsid w:val="00A317B9"/>
    <w:rsid w:val="00A33B1D"/>
    <w:rsid w:val="00A345B7"/>
    <w:rsid w:val="00A47B9A"/>
    <w:rsid w:val="00A5025F"/>
    <w:rsid w:val="00A525EB"/>
    <w:rsid w:val="00A63BB1"/>
    <w:rsid w:val="00A7194E"/>
    <w:rsid w:val="00A73FF7"/>
    <w:rsid w:val="00A7709C"/>
    <w:rsid w:val="00A8235D"/>
    <w:rsid w:val="00A82F09"/>
    <w:rsid w:val="00A85BF6"/>
    <w:rsid w:val="00A96172"/>
    <w:rsid w:val="00AA3947"/>
    <w:rsid w:val="00AA7330"/>
    <w:rsid w:val="00AB2C2B"/>
    <w:rsid w:val="00AB3519"/>
    <w:rsid w:val="00AB57A3"/>
    <w:rsid w:val="00AB750E"/>
    <w:rsid w:val="00AC0D21"/>
    <w:rsid w:val="00AC2C09"/>
    <w:rsid w:val="00AC3963"/>
    <w:rsid w:val="00AD1813"/>
    <w:rsid w:val="00AD2EEC"/>
    <w:rsid w:val="00AD43C5"/>
    <w:rsid w:val="00AD5CAA"/>
    <w:rsid w:val="00AE0DDA"/>
    <w:rsid w:val="00AE15D7"/>
    <w:rsid w:val="00AF783F"/>
    <w:rsid w:val="00B0195C"/>
    <w:rsid w:val="00B125BC"/>
    <w:rsid w:val="00B1547A"/>
    <w:rsid w:val="00B37023"/>
    <w:rsid w:val="00B411E7"/>
    <w:rsid w:val="00B45E6B"/>
    <w:rsid w:val="00B53171"/>
    <w:rsid w:val="00B55832"/>
    <w:rsid w:val="00B5668B"/>
    <w:rsid w:val="00B62953"/>
    <w:rsid w:val="00B62A67"/>
    <w:rsid w:val="00B64019"/>
    <w:rsid w:val="00B6422D"/>
    <w:rsid w:val="00B73332"/>
    <w:rsid w:val="00B733D6"/>
    <w:rsid w:val="00B74443"/>
    <w:rsid w:val="00B76466"/>
    <w:rsid w:val="00B847EB"/>
    <w:rsid w:val="00BA0B10"/>
    <w:rsid w:val="00BB7F8D"/>
    <w:rsid w:val="00BC2136"/>
    <w:rsid w:val="00BD4EAA"/>
    <w:rsid w:val="00BD581B"/>
    <w:rsid w:val="00BE0928"/>
    <w:rsid w:val="00BE1F4A"/>
    <w:rsid w:val="00BE7B99"/>
    <w:rsid w:val="00BF3457"/>
    <w:rsid w:val="00BF4FEB"/>
    <w:rsid w:val="00BF6230"/>
    <w:rsid w:val="00C1263A"/>
    <w:rsid w:val="00C14005"/>
    <w:rsid w:val="00C166C3"/>
    <w:rsid w:val="00C22E27"/>
    <w:rsid w:val="00C24533"/>
    <w:rsid w:val="00C27897"/>
    <w:rsid w:val="00C27ACA"/>
    <w:rsid w:val="00C41A9A"/>
    <w:rsid w:val="00C61DCE"/>
    <w:rsid w:val="00C6297B"/>
    <w:rsid w:val="00C631DD"/>
    <w:rsid w:val="00C6594A"/>
    <w:rsid w:val="00C70BCE"/>
    <w:rsid w:val="00C76C0C"/>
    <w:rsid w:val="00C7723C"/>
    <w:rsid w:val="00C7742D"/>
    <w:rsid w:val="00C83CBD"/>
    <w:rsid w:val="00C9470A"/>
    <w:rsid w:val="00CA2100"/>
    <w:rsid w:val="00CC0F08"/>
    <w:rsid w:val="00CC2296"/>
    <w:rsid w:val="00CC607C"/>
    <w:rsid w:val="00CD76F3"/>
    <w:rsid w:val="00CD7CA6"/>
    <w:rsid w:val="00CE7CDC"/>
    <w:rsid w:val="00CF1D7C"/>
    <w:rsid w:val="00CF4CC8"/>
    <w:rsid w:val="00D00B2D"/>
    <w:rsid w:val="00D149A9"/>
    <w:rsid w:val="00D17B1A"/>
    <w:rsid w:val="00D35081"/>
    <w:rsid w:val="00D42A21"/>
    <w:rsid w:val="00D44EB6"/>
    <w:rsid w:val="00D503C1"/>
    <w:rsid w:val="00D51868"/>
    <w:rsid w:val="00D5368D"/>
    <w:rsid w:val="00D56F47"/>
    <w:rsid w:val="00D57046"/>
    <w:rsid w:val="00D66F18"/>
    <w:rsid w:val="00D6705B"/>
    <w:rsid w:val="00D74823"/>
    <w:rsid w:val="00D76F3A"/>
    <w:rsid w:val="00D86E3B"/>
    <w:rsid w:val="00D87228"/>
    <w:rsid w:val="00D87A12"/>
    <w:rsid w:val="00DA02D1"/>
    <w:rsid w:val="00DA4173"/>
    <w:rsid w:val="00DA4CF5"/>
    <w:rsid w:val="00DA69F9"/>
    <w:rsid w:val="00DB3913"/>
    <w:rsid w:val="00DB3F58"/>
    <w:rsid w:val="00DB4256"/>
    <w:rsid w:val="00DB4332"/>
    <w:rsid w:val="00DB50D3"/>
    <w:rsid w:val="00DC03B4"/>
    <w:rsid w:val="00DC1AB1"/>
    <w:rsid w:val="00DC2B87"/>
    <w:rsid w:val="00DC3696"/>
    <w:rsid w:val="00DC5A3A"/>
    <w:rsid w:val="00DC6EF4"/>
    <w:rsid w:val="00DD3A79"/>
    <w:rsid w:val="00DD675B"/>
    <w:rsid w:val="00DD7401"/>
    <w:rsid w:val="00DD7EDB"/>
    <w:rsid w:val="00DE1382"/>
    <w:rsid w:val="00DE1B4C"/>
    <w:rsid w:val="00DE3E59"/>
    <w:rsid w:val="00DE4E6E"/>
    <w:rsid w:val="00DE67B5"/>
    <w:rsid w:val="00DE7791"/>
    <w:rsid w:val="00DF4B44"/>
    <w:rsid w:val="00E0114F"/>
    <w:rsid w:val="00E0776C"/>
    <w:rsid w:val="00E106AD"/>
    <w:rsid w:val="00E13E6C"/>
    <w:rsid w:val="00E166F6"/>
    <w:rsid w:val="00E16F74"/>
    <w:rsid w:val="00E20CA5"/>
    <w:rsid w:val="00E22D88"/>
    <w:rsid w:val="00E24AC8"/>
    <w:rsid w:val="00E41D89"/>
    <w:rsid w:val="00E4360E"/>
    <w:rsid w:val="00E43E99"/>
    <w:rsid w:val="00E450E4"/>
    <w:rsid w:val="00E4618A"/>
    <w:rsid w:val="00E477BC"/>
    <w:rsid w:val="00E51FE3"/>
    <w:rsid w:val="00E529CC"/>
    <w:rsid w:val="00E62D64"/>
    <w:rsid w:val="00E63761"/>
    <w:rsid w:val="00E63C1C"/>
    <w:rsid w:val="00E74205"/>
    <w:rsid w:val="00E80CF7"/>
    <w:rsid w:val="00E86FA8"/>
    <w:rsid w:val="00E92D14"/>
    <w:rsid w:val="00E95EF0"/>
    <w:rsid w:val="00EA11AB"/>
    <w:rsid w:val="00EA1EB1"/>
    <w:rsid w:val="00EA24A7"/>
    <w:rsid w:val="00EA69D5"/>
    <w:rsid w:val="00EB0181"/>
    <w:rsid w:val="00EB2838"/>
    <w:rsid w:val="00EB6408"/>
    <w:rsid w:val="00ED0105"/>
    <w:rsid w:val="00EE0B85"/>
    <w:rsid w:val="00EE3EEF"/>
    <w:rsid w:val="00EE7B59"/>
    <w:rsid w:val="00EF0848"/>
    <w:rsid w:val="00EF1E5D"/>
    <w:rsid w:val="00EF285D"/>
    <w:rsid w:val="00EF36D7"/>
    <w:rsid w:val="00EF5EFC"/>
    <w:rsid w:val="00F03A18"/>
    <w:rsid w:val="00F14A28"/>
    <w:rsid w:val="00F16A72"/>
    <w:rsid w:val="00F214CC"/>
    <w:rsid w:val="00F23118"/>
    <w:rsid w:val="00F350AC"/>
    <w:rsid w:val="00F445A7"/>
    <w:rsid w:val="00F466FA"/>
    <w:rsid w:val="00F54977"/>
    <w:rsid w:val="00F559A0"/>
    <w:rsid w:val="00F6061F"/>
    <w:rsid w:val="00F63B63"/>
    <w:rsid w:val="00F64BCE"/>
    <w:rsid w:val="00F708C2"/>
    <w:rsid w:val="00F736C4"/>
    <w:rsid w:val="00F83014"/>
    <w:rsid w:val="00F8747F"/>
    <w:rsid w:val="00F90CB7"/>
    <w:rsid w:val="00F92BF2"/>
    <w:rsid w:val="00FA7B99"/>
    <w:rsid w:val="00FB109D"/>
    <w:rsid w:val="00FB131E"/>
    <w:rsid w:val="00FC23C8"/>
    <w:rsid w:val="00FC2C4A"/>
    <w:rsid w:val="00FC62DC"/>
    <w:rsid w:val="00FD159F"/>
    <w:rsid w:val="00FD17D1"/>
    <w:rsid w:val="00FD3385"/>
    <w:rsid w:val="00FF0E5F"/>
    <w:rsid w:val="00FF36C1"/>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55E8"/>
    <w:pPr>
      <w:spacing w:after="160" w:line="276" w:lineRule="auto"/>
      <w:ind w:firstLine="0"/>
    </w:pPr>
    <w:rPr>
      <w:rFonts w:asciiTheme="minorHAnsi" w:eastAsiaTheme="minorEastAsia" w:hAnsiTheme="minorHAnsi"/>
      <w:sz w:val="21"/>
      <w:szCs w:val="21"/>
      <w:lang w:eastAsia="lt-LT"/>
    </w:rPr>
  </w:style>
  <w:style w:type="paragraph" w:styleId="Antrat1">
    <w:name w:val="heading 1"/>
    <w:basedOn w:val="prastasis"/>
    <w:next w:val="prastasis"/>
    <w:link w:val="Antrat1Diagrama"/>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Char Diagrama1"/>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09E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E09EB"/>
    <w:pPr>
      <w:ind w:left="720"/>
      <w:contextualSpacing/>
    </w:pPr>
    <w:rPr>
      <w:rFonts w:ascii="Tahoma" w:eastAsiaTheme="minorHAnsi" w:hAnsi="Tahoma"/>
      <w:sz w:val="22"/>
      <w:szCs w:val="22"/>
      <w:lang w:eastAsia="en-US"/>
    </w:rPr>
  </w:style>
  <w:style w:type="paragraph" w:styleId="prastasiniatinklio">
    <w:name w:val="Normal (Web)"/>
    <w:basedOn w:val="prastasis"/>
    <w:link w:val="prastasiniatinklioDiagrama"/>
    <w:uiPriority w:val="99"/>
    <w:unhideWhenUsed/>
    <w:rsid w:val="001E09EB"/>
    <w:pPr>
      <w:spacing w:before="100" w:beforeAutospacing="1" w:after="100" w:afterAutospacing="1"/>
    </w:pPr>
  </w:style>
  <w:style w:type="table" w:customStyle="1" w:styleId="TableGrid3">
    <w:name w:val="Table Grid3"/>
    <w:basedOn w:val="prastojilentel"/>
    <w:next w:val="Lentelstinklelis"/>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E09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09EB"/>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05393D"/>
    <w:rPr>
      <w:color w:val="0563C1" w:themeColor="hyperlink"/>
      <w:u w:val="single"/>
    </w:rPr>
  </w:style>
  <w:style w:type="paragraph" w:styleId="Sraassuenkleliais">
    <w:name w:val="List Bullet"/>
    <w:basedOn w:val="prastasis"/>
    <w:uiPriority w:val="99"/>
    <w:unhideWhenUsed/>
    <w:rsid w:val="0005393D"/>
    <w:pPr>
      <w:numPr>
        <w:numId w:val="1"/>
      </w:numPr>
      <w:contextualSpacing/>
    </w:pPr>
  </w:style>
  <w:style w:type="character" w:styleId="Komentaronuoroda">
    <w:name w:val="annotation reference"/>
    <w:basedOn w:val="Numatytasispastraiposriftas"/>
    <w:uiPriority w:val="99"/>
    <w:unhideWhenUsed/>
    <w:rsid w:val="00F445A7"/>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445A7"/>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445A7"/>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45A7"/>
    <w:rPr>
      <w:b/>
      <w:bCs/>
    </w:rPr>
  </w:style>
  <w:style w:type="character" w:customStyle="1" w:styleId="KomentarotemaDiagrama">
    <w:name w:val="Komentaro tema Diagrama"/>
    <w:basedOn w:val="KomentarotekstasDiagrama"/>
    <w:link w:val="Komentarotema"/>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prastasis"/>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prastasis"/>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Paantrat">
    <w:name w:val="Subtitle"/>
    <w:basedOn w:val="prastasis"/>
    <w:next w:val="prastasis"/>
    <w:link w:val="PaantratDiagrama"/>
    <w:uiPriority w:val="99"/>
    <w:qFormat/>
    <w:rsid w:val="0012527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rsid w:val="00486FC8"/>
    <w:rPr>
      <w:rFonts w:eastAsiaTheme="majorEastAsia" w:cstheme="majorBidi"/>
      <w:color w:val="000000" w:themeColor="text1"/>
      <w:sz w:val="21"/>
      <w:szCs w:val="36"/>
      <w:lang w:eastAsia="lt-LT"/>
    </w:rPr>
  </w:style>
  <w:style w:type="character" w:customStyle="1" w:styleId="prastasiniatinklioDiagrama">
    <w:name w:val="Įprastas (žiniatinklio) Diagrama"/>
    <w:basedOn w:val="Numatytasispastraiposriftas"/>
    <w:link w:val="prastasiniatinklio"/>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rsid w:val="00224AE5"/>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prastasis"/>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eastAsia="en-US"/>
    </w:rPr>
  </w:style>
  <w:style w:type="character" w:customStyle="1" w:styleId="ui-provider">
    <w:name w:val="ui-provider"/>
    <w:basedOn w:val="Numatytasispastraiposriftas"/>
    <w:rsid w:val="00A33B1D"/>
  </w:style>
  <w:style w:type="paragraph" w:styleId="Pataisymai">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A4C92"/>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A4C92"/>
    <w:rPr>
      <w:rFonts w:asciiTheme="minorHAnsi" w:eastAsiaTheme="minorEastAsia" w:hAnsiTheme="minorHAnsi"/>
      <w:sz w:val="20"/>
      <w:szCs w:val="20"/>
      <w:lang w:eastAsia="lt-LT"/>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A4C92"/>
    <w:rPr>
      <w:vertAlign w:val="superscript"/>
    </w:rPr>
  </w:style>
  <w:style w:type="character" w:customStyle="1" w:styleId="UnresolvedMention1">
    <w:name w:val="Unresolved Mention1"/>
    <w:basedOn w:val="Numatytasispastraiposriftas"/>
    <w:uiPriority w:val="99"/>
    <w:semiHidden/>
    <w:unhideWhenUsed/>
    <w:rsid w:val="002D25C6"/>
    <w:rPr>
      <w:color w:val="605E5C"/>
      <w:shd w:val="clear" w:color="auto" w:fill="E1DFDD"/>
    </w:rPr>
  </w:style>
  <w:style w:type="table" w:customStyle="1" w:styleId="TableGrid1">
    <w:name w:val="Table Grid1"/>
    <w:basedOn w:val="prastojilentel"/>
    <w:next w:val="Lentelstinklelis"/>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Antrat1Diagrama">
    <w:name w:val="Antraštė 1 Diagrama"/>
    <w:basedOn w:val="Numatytasispastraiposriftas"/>
    <w:link w:val="Antrat1"/>
    <w:uiPriority w:val="9"/>
    <w:rsid w:val="005B00A4"/>
    <w:rPr>
      <w:rFonts w:asciiTheme="majorHAnsi" w:eastAsiaTheme="majorEastAsia" w:hAnsiTheme="majorHAnsi" w:cstheme="majorBidi"/>
      <w:color w:val="2E74B5" w:themeColor="accent1" w:themeShade="BF"/>
      <w:sz w:val="32"/>
      <w:szCs w:val="32"/>
      <w:lang w:eastAsia="lt-LT"/>
    </w:rPr>
  </w:style>
  <w:style w:type="character" w:styleId="Neapdorotaspaminjimas">
    <w:name w:val="Unresolved Mention"/>
    <w:basedOn w:val="Numatytasispastraiposriftas"/>
    <w:uiPriority w:val="99"/>
    <w:semiHidden/>
    <w:unhideWhenUsed/>
    <w:rsid w:val="0045382B"/>
    <w:rPr>
      <w:color w:val="605E5C"/>
      <w:shd w:val="clear" w:color="auto" w:fill="E1DFDD"/>
    </w:rPr>
  </w:style>
  <w:style w:type="character" w:styleId="Emfaz">
    <w:name w:val="Emphasis"/>
    <w:basedOn w:val="Numatytasispastraiposriftas"/>
    <w:uiPriority w:val="20"/>
    <w:qFormat/>
    <w:rsid w:val="008C42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57880787">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075277729">
      <w:bodyDiv w:val="1"/>
      <w:marLeft w:val="0"/>
      <w:marRight w:val="0"/>
      <w:marTop w:val="0"/>
      <w:marBottom w:val="0"/>
      <w:divBdr>
        <w:top w:val="none" w:sz="0" w:space="0" w:color="auto"/>
        <w:left w:val="none" w:sz="0" w:space="0" w:color="auto"/>
        <w:bottom w:val="none" w:sz="0" w:space="0" w:color="auto"/>
        <w:right w:val="none" w:sz="0" w:space="0" w:color="auto"/>
      </w:divBdr>
    </w:div>
    <w:div w:id="1093236739">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79876715">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89623494">
      <w:bodyDiv w:val="1"/>
      <w:marLeft w:val="0"/>
      <w:marRight w:val="0"/>
      <w:marTop w:val="0"/>
      <w:marBottom w:val="0"/>
      <w:divBdr>
        <w:top w:val="none" w:sz="0" w:space="0" w:color="auto"/>
        <w:left w:val="none" w:sz="0" w:space="0" w:color="auto"/>
        <w:bottom w:val="none" w:sz="0" w:space="0" w:color="auto"/>
        <w:right w:val="none" w:sz="0" w:space="0" w:color="auto"/>
      </w:divBdr>
    </w:div>
    <w:div w:id="1834103863">
      <w:bodyDiv w:val="1"/>
      <w:marLeft w:val="0"/>
      <w:marRight w:val="0"/>
      <w:marTop w:val="0"/>
      <w:marBottom w:val="0"/>
      <w:divBdr>
        <w:top w:val="none" w:sz="0" w:space="0" w:color="auto"/>
        <w:left w:val="none" w:sz="0" w:space="0" w:color="auto"/>
        <w:bottom w:val="none" w:sz="0" w:space="0" w:color="auto"/>
        <w:right w:val="none" w:sz="0" w:space="0" w:color="auto"/>
      </w:divBdr>
    </w:div>
    <w:div w:id="1903131558">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09741-A932-4845-BEE2-743C177CB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3.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4.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2449</Words>
  <Characters>1396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Kvalifikacijos reikalavimai_Ekspertas</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Rima Račkauskienė</cp:lastModifiedBy>
  <cp:revision>4</cp:revision>
  <dcterms:created xsi:type="dcterms:W3CDTF">2025-06-26T06:10:00Z</dcterms:created>
  <dcterms:modified xsi:type="dcterms:W3CDTF">2025-09-10T13:52:00Z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0x010100FAA667C2F5E11C4E819BA678C0C0043E</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ies>
</file>