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A430A0" w:rsidRDefault="00A430A0" w:rsidP="003F7745">
      <w:pPr>
        <w:ind w:firstLine="0"/>
        <w:jc w:val="center"/>
        <w:rPr>
          <w:b/>
          <w:caps/>
        </w:rPr>
      </w:pPr>
      <w:r w:rsidRPr="00A430A0">
        <w:rPr>
          <w:b/>
          <w:caps/>
        </w:rPr>
        <w:t xml:space="preserve">NEPERTRAUKIAMO MAITINIMO ŠALTINIŲ (UPS) </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454" w:type="dxa"/>
        <w:tblLook w:val="04A0" w:firstRow="1" w:lastRow="0" w:firstColumn="1" w:lastColumn="0" w:noHBand="0" w:noVBand="1"/>
      </w:tblPr>
      <w:tblGrid>
        <w:gridCol w:w="570"/>
        <w:gridCol w:w="5804"/>
        <w:gridCol w:w="1134"/>
        <w:gridCol w:w="1701"/>
        <w:gridCol w:w="2552"/>
        <w:gridCol w:w="2693"/>
      </w:tblGrid>
      <w:tr w:rsidR="00A03CED" w:rsidRPr="003F7745" w:rsidTr="00A03CED">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Eil. Nr.</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Pr>
                <w:b/>
                <w:szCs w:val="24"/>
                <w:lang w:eastAsia="lt-LT"/>
              </w:rPr>
              <w:t>Numatomas prekių kiekis</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D94AAA" w:rsidP="00A03CED">
            <w:pPr>
              <w:tabs>
                <w:tab w:val="left" w:pos="6071"/>
              </w:tabs>
              <w:spacing w:line="259" w:lineRule="auto"/>
              <w:ind w:firstLine="0"/>
              <w:jc w:val="center"/>
              <w:rPr>
                <w:b/>
                <w:szCs w:val="24"/>
                <w:lang w:eastAsia="lt-LT"/>
              </w:rPr>
            </w:pPr>
            <w:r>
              <w:rPr>
                <w:b/>
                <w:szCs w:val="24"/>
                <w:lang w:eastAsia="lt-LT"/>
              </w:rPr>
              <w:t>K</w:t>
            </w:r>
            <w:r w:rsidR="00A03CED" w:rsidRPr="003F7745">
              <w:rPr>
                <w:b/>
                <w:szCs w:val="24"/>
                <w:lang w:eastAsia="lt-LT"/>
              </w:rPr>
              <w:t>aina</w:t>
            </w:r>
            <w:r w:rsidR="00A03CED">
              <w:rPr>
                <w:b/>
                <w:szCs w:val="24"/>
                <w:lang w:eastAsia="lt-LT"/>
              </w:rPr>
              <w:t xml:space="preserve"> Eur</w:t>
            </w:r>
            <w:r w:rsidR="00A03CED" w:rsidRPr="003F7745">
              <w:rPr>
                <w:b/>
                <w:szCs w:val="24"/>
                <w:lang w:eastAsia="lt-LT"/>
              </w:rPr>
              <w:t xml:space="preserve"> </w:t>
            </w:r>
            <w:r w:rsidR="00A03CED">
              <w:rPr>
                <w:b/>
                <w:szCs w:val="24"/>
                <w:lang w:eastAsia="lt-LT"/>
              </w:rPr>
              <w:t>(be</w:t>
            </w:r>
            <w:r w:rsidR="00A03CED" w:rsidRPr="003F7745">
              <w:rPr>
                <w:b/>
                <w:szCs w:val="24"/>
                <w:lang w:eastAsia="lt-LT"/>
              </w:rPr>
              <w:t xml:space="preserve"> PVM už vieną</w:t>
            </w:r>
            <w:r w:rsidR="00A03CED" w:rsidRPr="003F7745">
              <w:rPr>
                <w:szCs w:val="24"/>
                <w:lang w:eastAsia="lt-LT"/>
              </w:rPr>
              <w:t xml:space="preserve"> </w:t>
            </w:r>
            <w:r w:rsidR="00A03CED" w:rsidRPr="003F7745">
              <w:rPr>
                <w:b/>
                <w:szCs w:val="24"/>
                <w:lang w:eastAsia="lt-LT"/>
              </w:rPr>
              <w:t>vnt.</w:t>
            </w:r>
            <w:r w:rsidR="00A03CED">
              <w:rPr>
                <w:b/>
                <w:szCs w:val="24"/>
                <w:lang w:eastAsia="lt-LT"/>
              </w:rPr>
              <w:t>)</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755BF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755BF7">
            <w:pPr>
              <w:tabs>
                <w:tab w:val="left" w:pos="6071"/>
              </w:tabs>
              <w:spacing w:line="259" w:lineRule="auto"/>
              <w:ind w:firstLine="0"/>
              <w:jc w:val="center"/>
              <w:rPr>
                <w:b/>
                <w:szCs w:val="24"/>
                <w:lang w:eastAsia="lt-LT"/>
              </w:rPr>
            </w:pPr>
            <w:r w:rsidRPr="008920BF">
              <w:rPr>
                <w:b/>
                <w:szCs w:val="24"/>
                <w:lang w:eastAsia="lt-LT"/>
              </w:rPr>
              <w:t>(Eur be PVM)</w:t>
            </w:r>
          </w:p>
        </w:tc>
      </w:tr>
      <w:tr w:rsidR="00A03CED" w:rsidRPr="003F7745" w:rsidTr="00A03CED">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1</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Pr>
                <w:b/>
                <w:szCs w:val="24"/>
                <w:lang w:eastAsia="lt-LT"/>
              </w:rPr>
              <w:t>6</w:t>
            </w:r>
          </w:p>
        </w:tc>
      </w:tr>
      <w:tr w:rsidR="00A03CED"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r w:rsidRPr="003F7745">
              <w:rPr>
                <w:szCs w:val="24"/>
                <w:lang w:eastAsia="lt-LT"/>
              </w:rPr>
              <w:t>1.</w:t>
            </w:r>
          </w:p>
        </w:tc>
        <w:tc>
          <w:tcPr>
            <w:tcW w:w="5804" w:type="dxa"/>
            <w:tcBorders>
              <w:top w:val="single" w:sz="8" w:space="0" w:color="auto"/>
              <w:left w:val="single" w:sz="8" w:space="0" w:color="auto"/>
              <w:bottom w:val="nil"/>
              <w:right w:val="single" w:sz="8" w:space="0" w:color="auto"/>
            </w:tcBorders>
            <w:shd w:val="clear" w:color="auto" w:fill="auto"/>
            <w:vAlign w:val="center"/>
            <w:hideMark/>
          </w:tcPr>
          <w:p w:rsidR="00A03CED" w:rsidRPr="00D37CF9" w:rsidRDefault="00A430A0" w:rsidP="00A430A0">
            <w:pPr>
              <w:ind w:firstLine="0"/>
              <w:jc w:val="center"/>
              <w:rPr>
                <w:color w:val="000000"/>
                <w:szCs w:val="24"/>
              </w:rPr>
            </w:pPr>
            <w:r w:rsidRPr="00A430A0">
              <w:rPr>
                <w:b/>
                <w:color w:val="000000"/>
                <w:szCs w:val="24"/>
              </w:rPr>
              <w:t>Nepertraukiamo maitinimo šaltini</w:t>
            </w:r>
            <w:r>
              <w:rPr>
                <w:b/>
                <w:color w:val="000000"/>
                <w:szCs w:val="24"/>
              </w:rPr>
              <w:t>s</w:t>
            </w:r>
            <w:r w:rsidRPr="00A430A0">
              <w:rPr>
                <w:b/>
                <w:color w:val="000000"/>
                <w:szCs w:val="24"/>
              </w:rPr>
              <w:t xml:space="preserve"> (UPS) </w:t>
            </w:r>
            <w:r w:rsidR="00A03CED"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A03CED" w:rsidRPr="00D37CF9" w:rsidRDefault="00A03CED" w:rsidP="00755BF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3CED" w:rsidRPr="00D37CF9" w:rsidRDefault="00A430A0" w:rsidP="00755BF7">
            <w:pPr>
              <w:ind w:firstLine="0"/>
              <w:jc w:val="center"/>
              <w:rPr>
                <w:color w:val="000000"/>
                <w:szCs w:val="24"/>
              </w:rPr>
            </w:pPr>
            <w:r>
              <w:rPr>
                <w:color w:val="000000"/>
                <w:szCs w:val="24"/>
              </w:rPr>
              <w:t>50</w:t>
            </w:r>
          </w:p>
        </w:tc>
        <w:tc>
          <w:tcPr>
            <w:tcW w:w="2552"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vAlign w:val="center"/>
          </w:tcPr>
          <w:p w:rsidR="00A03CED" w:rsidRPr="003F7745" w:rsidRDefault="00A03CED" w:rsidP="00A03CED">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(Eur)</w:t>
            </w: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right"/>
              <w:rPr>
                <w:b/>
                <w:szCs w:val="24"/>
                <w:lang w:eastAsia="lt-LT"/>
              </w:rPr>
            </w:pPr>
            <w:r w:rsidRPr="00AA29ED">
              <w:rPr>
                <w:b/>
                <w:szCs w:val="24"/>
                <w:lang w:eastAsia="lt-LT"/>
              </w:rPr>
              <w:t>Pasiūlymo kaina (Eur su PVM)</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431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7230"/>
        <w:gridCol w:w="7087"/>
      </w:tblGrid>
      <w:tr w:rsidR="00BB4DE6" w:rsidRPr="004C4851" w:rsidTr="00865AED">
        <w:trPr>
          <w:trHeight w:val="345"/>
        </w:trPr>
        <w:tc>
          <w:tcPr>
            <w:tcW w:w="7230"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rsidR="00BB4DE6" w:rsidRPr="004C4851" w:rsidRDefault="00BB4DE6" w:rsidP="00F2307C">
            <w:pPr>
              <w:ind w:firstLine="0"/>
              <w:jc w:val="center"/>
              <w:rPr>
                <w:b/>
                <w:color w:val="000000"/>
                <w:szCs w:val="24"/>
                <w:lang w:eastAsia="lt-LT"/>
              </w:rPr>
            </w:pPr>
            <w:r>
              <w:rPr>
                <w:b/>
                <w:bCs/>
                <w:color w:val="000000"/>
                <w:szCs w:val="24"/>
                <w:lang w:eastAsia="lt-LT"/>
              </w:rPr>
              <w:t>Prekių</w:t>
            </w:r>
            <w:r w:rsidRPr="004C4851">
              <w:rPr>
                <w:b/>
                <w:bCs/>
                <w:color w:val="000000"/>
                <w:szCs w:val="24"/>
                <w:lang w:eastAsia="lt-LT"/>
              </w:rPr>
              <w:t xml:space="preserve"> techninės specifikacijos reikalavimai</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4DE6" w:rsidRPr="004C4851" w:rsidRDefault="00BB4DE6" w:rsidP="00F2307C">
            <w:pPr>
              <w:ind w:firstLine="0"/>
              <w:jc w:val="center"/>
              <w:rPr>
                <w:b/>
                <w:color w:val="000000"/>
                <w:szCs w:val="24"/>
                <w:lang w:eastAsia="lt-LT"/>
              </w:rPr>
            </w:pPr>
            <w:r w:rsidRPr="004C4851">
              <w:rPr>
                <w:b/>
                <w:color w:val="000000"/>
                <w:szCs w:val="24"/>
                <w:lang w:eastAsia="lt-LT"/>
              </w:rPr>
              <w:t>Tiekėjas siūlo</w:t>
            </w:r>
          </w:p>
          <w:p w:rsidR="00BB4DE6" w:rsidRPr="00111DB2" w:rsidRDefault="00BB4DE6" w:rsidP="00F2307C">
            <w:pPr>
              <w:ind w:firstLine="0"/>
              <w:jc w:val="center"/>
              <w:rPr>
                <w:i/>
                <w:color w:val="000000"/>
                <w:sz w:val="20"/>
                <w:lang w:eastAsia="lt-LT"/>
              </w:rPr>
            </w:pPr>
            <w:r w:rsidRPr="00111DB2">
              <w:rPr>
                <w:i/>
                <w:color w:val="000000"/>
                <w:sz w:val="20"/>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BB4DE6" w:rsidRPr="004C4851" w:rsidTr="00865AED">
        <w:trPr>
          <w:trHeight w:val="167"/>
        </w:trPr>
        <w:tc>
          <w:tcPr>
            <w:tcW w:w="7230" w:type="dxa"/>
            <w:shd w:val="clear" w:color="auto" w:fill="FFFFFF"/>
            <w:tcMar>
              <w:top w:w="0" w:type="dxa"/>
              <w:left w:w="98" w:type="dxa"/>
              <w:bottom w:w="0" w:type="dxa"/>
              <w:right w:w="108" w:type="dxa"/>
            </w:tcMar>
            <w:vAlign w:val="center"/>
          </w:tcPr>
          <w:p w:rsidR="00BB4DE6" w:rsidRPr="004C4851" w:rsidRDefault="000E662F" w:rsidP="002B1550">
            <w:pPr>
              <w:ind w:firstLine="0"/>
              <w:rPr>
                <w:b/>
                <w:bCs/>
                <w:color w:val="000000"/>
                <w:szCs w:val="24"/>
                <w:lang w:eastAsia="lt-LT"/>
              </w:rPr>
            </w:pPr>
            <w:r>
              <w:rPr>
                <w:b/>
                <w:color w:val="000000"/>
                <w:szCs w:val="24"/>
              </w:rPr>
              <w:t xml:space="preserve">1. </w:t>
            </w:r>
            <w:r w:rsidR="00AA783C" w:rsidRPr="00AA783C">
              <w:rPr>
                <w:b/>
                <w:color w:val="000000"/>
                <w:szCs w:val="24"/>
              </w:rPr>
              <w:t>Nepertraukiamo maitinimo šaltinis (UPS)</w:t>
            </w:r>
          </w:p>
        </w:tc>
        <w:tc>
          <w:tcPr>
            <w:tcW w:w="7087" w:type="dxa"/>
            <w:shd w:val="clear" w:color="auto" w:fill="FFFFFF"/>
          </w:tcPr>
          <w:p w:rsidR="00BB4DE6" w:rsidRPr="00C26C75" w:rsidRDefault="008441AB" w:rsidP="00F2307C">
            <w:pPr>
              <w:ind w:firstLine="0"/>
              <w:rPr>
                <w:color w:val="000000"/>
                <w:szCs w:val="24"/>
                <w:lang w:eastAsia="lt-LT"/>
              </w:rPr>
            </w:pPr>
            <w:r w:rsidRPr="00C26C75">
              <w:rPr>
                <w:i/>
                <w:color w:val="000000"/>
                <w:szCs w:val="24"/>
                <w:lang w:eastAsia="lt-LT"/>
              </w:rPr>
              <w:t>Gamintojas, modelis.</w:t>
            </w:r>
          </w:p>
        </w:tc>
      </w:tr>
      <w:tr w:rsidR="00D94AAA" w:rsidRPr="004C4851" w:rsidTr="00865AED">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AA783C" w:rsidRPr="00111DB2" w:rsidRDefault="00AA783C" w:rsidP="00AA783C">
            <w:pPr>
              <w:pStyle w:val="ListParagraph"/>
              <w:numPr>
                <w:ilvl w:val="0"/>
                <w:numId w:val="17"/>
              </w:numPr>
              <w:rPr>
                <w:color w:val="000000" w:themeColor="text1"/>
                <w:sz w:val="22"/>
                <w:szCs w:val="22"/>
                <w:lang w:eastAsia="lt-LT"/>
              </w:rPr>
            </w:pPr>
            <w:r w:rsidRPr="00111DB2">
              <w:rPr>
                <w:color w:val="000000" w:themeColor="text1"/>
                <w:sz w:val="22"/>
                <w:szCs w:val="22"/>
                <w:lang w:eastAsia="lt-LT"/>
              </w:rPr>
              <w:t>Bendrieji reikalavimai:</w:t>
            </w:r>
          </w:p>
          <w:p w:rsidR="00AA783C" w:rsidRPr="00111DB2" w:rsidRDefault="00AA783C" w:rsidP="00AA783C">
            <w:pPr>
              <w:pStyle w:val="ListParagraph"/>
              <w:numPr>
                <w:ilvl w:val="1"/>
                <w:numId w:val="17"/>
              </w:numPr>
              <w:rPr>
                <w:color w:val="000000" w:themeColor="text1"/>
                <w:sz w:val="22"/>
                <w:szCs w:val="22"/>
                <w:lang w:eastAsia="lt-LT"/>
              </w:rPr>
            </w:pPr>
            <w:r w:rsidRPr="00111DB2">
              <w:rPr>
                <w:color w:val="000000" w:themeColor="text1"/>
                <w:sz w:val="22"/>
                <w:szCs w:val="22"/>
                <w:lang w:eastAsia="lt-LT"/>
              </w:rPr>
              <w:t xml:space="preserve">pateikiama techninė įranga privalo būti nauja (negali būti atnaujinta, restauruota (angl. </w:t>
            </w:r>
            <w:proofErr w:type="spellStart"/>
            <w:r w:rsidRPr="00111DB2">
              <w:rPr>
                <w:color w:val="000000" w:themeColor="text1"/>
                <w:sz w:val="22"/>
                <w:szCs w:val="22"/>
                <w:lang w:eastAsia="lt-LT"/>
              </w:rPr>
              <w:t>refurbished</w:t>
            </w:r>
            <w:proofErr w:type="spellEnd"/>
            <w:r w:rsidRPr="00111DB2">
              <w:rPr>
                <w:color w:val="000000" w:themeColor="text1"/>
                <w:sz w:val="22"/>
                <w:szCs w:val="22"/>
                <w:lang w:eastAsia="lt-LT"/>
              </w:rPr>
              <w:t>), nenaudota, pateikta nepažeistoje gamyklinėje pakuotėje.</w:t>
            </w:r>
          </w:p>
          <w:p w:rsidR="00AA783C" w:rsidRPr="00111DB2" w:rsidRDefault="00AA783C" w:rsidP="00AA783C">
            <w:pPr>
              <w:pStyle w:val="ListParagraph"/>
              <w:numPr>
                <w:ilvl w:val="1"/>
                <w:numId w:val="17"/>
              </w:numPr>
              <w:rPr>
                <w:color w:val="000000" w:themeColor="text1"/>
                <w:sz w:val="22"/>
                <w:szCs w:val="22"/>
                <w:lang w:eastAsia="lt-LT"/>
              </w:rPr>
            </w:pPr>
            <w:r w:rsidRPr="00111DB2">
              <w:rPr>
                <w:color w:val="000000" w:themeColor="text1"/>
                <w:sz w:val="22"/>
                <w:szCs w:val="22"/>
                <w:lang w:eastAsia="lt-LT"/>
              </w:rPr>
              <w:t xml:space="preserve"> tiekėjas turi užtikrinti, kad gamintojas nėra paskelbęs žinios apie siūlomos įrangos gamybos arba tobulinimo nutraukimą (pvz., angl. </w:t>
            </w:r>
            <w:proofErr w:type="spellStart"/>
            <w:r w:rsidRPr="00111DB2">
              <w:rPr>
                <w:color w:val="000000" w:themeColor="text1"/>
                <w:sz w:val="22"/>
                <w:szCs w:val="22"/>
                <w:lang w:eastAsia="lt-LT"/>
              </w:rPr>
              <w:t>end</w:t>
            </w:r>
            <w:proofErr w:type="spellEnd"/>
            <w:r w:rsidRPr="00111DB2">
              <w:rPr>
                <w:color w:val="000000" w:themeColor="text1"/>
                <w:sz w:val="22"/>
                <w:szCs w:val="22"/>
                <w:lang w:eastAsia="lt-LT"/>
              </w:rPr>
              <w:t xml:space="preserve"> </w:t>
            </w:r>
            <w:proofErr w:type="spellStart"/>
            <w:r w:rsidRPr="00111DB2">
              <w:rPr>
                <w:color w:val="000000" w:themeColor="text1"/>
                <w:sz w:val="22"/>
                <w:szCs w:val="22"/>
                <w:lang w:eastAsia="lt-LT"/>
              </w:rPr>
              <w:t>of</w:t>
            </w:r>
            <w:proofErr w:type="spellEnd"/>
            <w:r w:rsidRPr="00111DB2">
              <w:rPr>
                <w:color w:val="000000" w:themeColor="text1"/>
                <w:sz w:val="22"/>
                <w:szCs w:val="22"/>
                <w:lang w:eastAsia="lt-LT"/>
              </w:rPr>
              <w:t xml:space="preserve"> </w:t>
            </w:r>
            <w:proofErr w:type="spellStart"/>
            <w:r w:rsidRPr="00111DB2">
              <w:rPr>
                <w:color w:val="000000" w:themeColor="text1"/>
                <w:sz w:val="22"/>
                <w:szCs w:val="22"/>
                <w:lang w:eastAsia="lt-LT"/>
              </w:rPr>
              <w:t>life</w:t>
            </w:r>
            <w:proofErr w:type="spellEnd"/>
            <w:r w:rsidRPr="00111DB2">
              <w:rPr>
                <w:color w:val="000000" w:themeColor="text1"/>
                <w:sz w:val="22"/>
                <w:szCs w:val="22"/>
                <w:lang w:eastAsia="lt-LT"/>
              </w:rPr>
              <w:t xml:space="preserve"> </w:t>
            </w:r>
            <w:proofErr w:type="spellStart"/>
            <w:r w:rsidRPr="00111DB2">
              <w:rPr>
                <w:color w:val="000000" w:themeColor="text1"/>
                <w:sz w:val="22"/>
                <w:szCs w:val="22"/>
                <w:lang w:eastAsia="lt-LT"/>
              </w:rPr>
              <w:t>time</w:t>
            </w:r>
            <w:proofErr w:type="spellEnd"/>
            <w:r w:rsidRPr="00111DB2">
              <w:rPr>
                <w:color w:val="000000" w:themeColor="text1"/>
                <w:sz w:val="22"/>
                <w:szCs w:val="22"/>
                <w:lang w:eastAsia="lt-LT"/>
              </w:rPr>
              <w:t xml:space="preserve"> ar </w:t>
            </w:r>
            <w:proofErr w:type="spellStart"/>
            <w:r w:rsidRPr="00111DB2">
              <w:rPr>
                <w:color w:val="000000" w:themeColor="text1"/>
                <w:sz w:val="22"/>
                <w:szCs w:val="22"/>
                <w:lang w:eastAsia="lt-LT"/>
              </w:rPr>
              <w:t>Discontinued</w:t>
            </w:r>
            <w:proofErr w:type="spellEnd"/>
            <w:r w:rsidRPr="00111DB2">
              <w:rPr>
                <w:color w:val="000000" w:themeColor="text1"/>
                <w:sz w:val="22"/>
                <w:szCs w:val="22"/>
                <w:lang w:eastAsia="lt-LT"/>
              </w:rPr>
              <w:t xml:space="preserve">).  </w:t>
            </w:r>
          </w:p>
          <w:p w:rsidR="00AA783C" w:rsidRPr="00111DB2" w:rsidRDefault="00AA783C" w:rsidP="00AA783C">
            <w:pPr>
              <w:pStyle w:val="ListParagraph"/>
              <w:numPr>
                <w:ilvl w:val="1"/>
                <w:numId w:val="17"/>
              </w:numPr>
              <w:rPr>
                <w:color w:val="000000" w:themeColor="text1"/>
                <w:sz w:val="22"/>
                <w:szCs w:val="22"/>
                <w:lang w:eastAsia="lt-LT"/>
              </w:rPr>
            </w:pPr>
            <w:r w:rsidRPr="00111DB2">
              <w:rPr>
                <w:color w:val="000000" w:themeColor="text1"/>
                <w:sz w:val="22"/>
                <w:szCs w:val="22"/>
                <w:lang w:eastAsia="lt-LT"/>
              </w:rPr>
              <w:t xml:space="preserve"> garantinio remonto trukmė – ne ilgiau kaip 30 kalendorinių dienų. Jei sugedusios įrangos per šį laikotarpį pataisyti neįmanoma, ji pakeičiama ekvivalentiška nauja ne ilgiau kaip 30 kalendorinių dienų.</w:t>
            </w:r>
          </w:p>
          <w:p w:rsidR="00AA783C" w:rsidRPr="00111DB2" w:rsidRDefault="00AA783C" w:rsidP="00AA783C">
            <w:pPr>
              <w:pStyle w:val="ListParagraph"/>
              <w:numPr>
                <w:ilvl w:val="1"/>
                <w:numId w:val="17"/>
              </w:numPr>
              <w:rPr>
                <w:color w:val="000000" w:themeColor="text1"/>
                <w:sz w:val="22"/>
                <w:szCs w:val="22"/>
                <w:lang w:eastAsia="lt-LT"/>
              </w:rPr>
            </w:pPr>
            <w:r w:rsidRPr="00111DB2">
              <w:rPr>
                <w:color w:val="000000" w:themeColor="text1"/>
                <w:sz w:val="22"/>
                <w:szCs w:val="22"/>
                <w:lang w:eastAsia="lt-LT"/>
              </w:rPr>
              <w:t xml:space="preserve"> garantija: įrangai taikoma ne mažiau kaip 2 metų garantija.</w:t>
            </w:r>
          </w:p>
          <w:p w:rsidR="00955E88" w:rsidRPr="00111DB2" w:rsidRDefault="00AA783C" w:rsidP="00AA783C">
            <w:pPr>
              <w:pStyle w:val="ListParagraph"/>
              <w:numPr>
                <w:ilvl w:val="1"/>
                <w:numId w:val="17"/>
              </w:numPr>
              <w:rPr>
                <w:rFonts w:eastAsiaTheme="minorHAnsi"/>
                <w:sz w:val="22"/>
                <w:szCs w:val="22"/>
              </w:rPr>
            </w:pPr>
            <w:r w:rsidRPr="00111DB2">
              <w:rPr>
                <w:color w:val="000000" w:themeColor="text1"/>
                <w:sz w:val="22"/>
                <w:szCs w:val="22"/>
                <w:lang w:eastAsia="lt-LT"/>
              </w:rPr>
              <w:t xml:space="preserve"> į pasiūlymą turi būti įtrauktos pristatymo išlaidos.</w:t>
            </w:r>
          </w:p>
          <w:p w:rsidR="00111DB2" w:rsidRPr="00111DB2" w:rsidRDefault="00111DB2" w:rsidP="00111DB2">
            <w:pPr>
              <w:pStyle w:val="ListParagraph"/>
              <w:numPr>
                <w:ilvl w:val="0"/>
                <w:numId w:val="17"/>
              </w:numPr>
              <w:rPr>
                <w:rFonts w:eastAsiaTheme="minorHAnsi"/>
                <w:sz w:val="22"/>
                <w:szCs w:val="22"/>
              </w:rPr>
            </w:pPr>
            <w:proofErr w:type="spellStart"/>
            <w:r w:rsidRPr="00111DB2">
              <w:rPr>
                <w:rFonts w:eastAsiaTheme="minorHAnsi"/>
                <w:sz w:val="22"/>
                <w:szCs w:val="22"/>
              </w:rPr>
              <w:t>Topologija</w:t>
            </w:r>
            <w:proofErr w:type="spellEnd"/>
            <w:r w:rsidRPr="00111DB2">
              <w:rPr>
                <w:rFonts w:eastAsiaTheme="minorHAnsi"/>
                <w:sz w:val="22"/>
                <w:szCs w:val="22"/>
              </w:rPr>
              <w:t>: „Line-</w:t>
            </w:r>
            <w:proofErr w:type="spellStart"/>
            <w:r w:rsidRPr="00111DB2">
              <w:rPr>
                <w:rFonts w:eastAsiaTheme="minorHAnsi"/>
                <w:sz w:val="22"/>
                <w:szCs w:val="22"/>
              </w:rPr>
              <w:t>Interactive</w:t>
            </w:r>
            <w:proofErr w:type="spellEnd"/>
            <w:r w:rsidRPr="00111DB2">
              <w:rPr>
                <w:rFonts w:eastAsiaTheme="minorHAnsi"/>
                <w:sz w:val="22"/>
                <w:szCs w:val="22"/>
              </w:rPr>
              <w:t>“ arba lygiavertė</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Išvesties galia (VA): Ne žemiau nei 750VA</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Išvesties galia: Ne mažiau 500 W</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Išvesties jungtys: IEC 320 C13</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lastRenderedPageBreak/>
              <w:t>Įvesties jungtis: IEC 320 C14</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Signalų forma: Sinusas</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Įvesties eksploatacinė įtampa (min-</w:t>
            </w:r>
            <w:proofErr w:type="spellStart"/>
            <w:r w:rsidRPr="00111DB2">
              <w:rPr>
                <w:rFonts w:eastAsiaTheme="minorHAnsi"/>
                <w:sz w:val="22"/>
                <w:szCs w:val="22"/>
              </w:rPr>
              <w:t>max</w:t>
            </w:r>
            <w:proofErr w:type="spellEnd"/>
            <w:r w:rsidRPr="00111DB2">
              <w:rPr>
                <w:rFonts w:eastAsiaTheme="minorHAnsi"/>
                <w:sz w:val="22"/>
                <w:szCs w:val="22"/>
              </w:rPr>
              <w:t>): Ne mažiau nei 151 V- ne daugiau nei 302 V</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Įėjimo dažnis 50/60 Hz ± 3 H</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Išvesties darbinė įtampa (min-</w:t>
            </w:r>
            <w:proofErr w:type="spellStart"/>
            <w:r w:rsidRPr="00111DB2">
              <w:rPr>
                <w:rFonts w:eastAsiaTheme="minorHAnsi"/>
                <w:sz w:val="22"/>
                <w:szCs w:val="22"/>
              </w:rPr>
              <w:t>max</w:t>
            </w:r>
            <w:proofErr w:type="spellEnd"/>
            <w:r w:rsidRPr="00111DB2">
              <w:rPr>
                <w:rFonts w:eastAsiaTheme="minorHAnsi"/>
                <w:sz w:val="22"/>
                <w:szCs w:val="22"/>
              </w:rPr>
              <w:t>) 220 V- 240 V</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Automatinis įtampos reguliavimas (AVR), turi būti</w:t>
            </w:r>
          </w:p>
          <w:p w:rsidR="00111DB2" w:rsidRPr="00111DB2" w:rsidRDefault="00111DB2" w:rsidP="00111DB2">
            <w:pPr>
              <w:pStyle w:val="ListParagraph"/>
              <w:numPr>
                <w:ilvl w:val="0"/>
                <w:numId w:val="17"/>
              </w:numPr>
              <w:rPr>
                <w:rFonts w:eastAsiaTheme="minorHAnsi"/>
                <w:sz w:val="22"/>
                <w:szCs w:val="22"/>
              </w:rPr>
            </w:pPr>
            <w:proofErr w:type="spellStart"/>
            <w:r w:rsidRPr="00111DB2">
              <w:rPr>
                <w:rFonts w:eastAsiaTheme="minorHAnsi"/>
                <w:sz w:val="22"/>
                <w:szCs w:val="22"/>
              </w:rPr>
              <w:t>Viršįtampio</w:t>
            </w:r>
            <w:proofErr w:type="spellEnd"/>
            <w:r w:rsidRPr="00111DB2">
              <w:rPr>
                <w:rFonts w:eastAsiaTheme="minorHAnsi"/>
                <w:sz w:val="22"/>
                <w:szCs w:val="22"/>
              </w:rPr>
              <w:t xml:space="preserve"> energijos įvertinimas: Ne mažiau kaip 540 J </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Garsiniai perspėjimo signalai, turi būti</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Automatinis paleidimas iš naujo, turi būti</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Lizdų kiekis: Ne mažiau nei 6 AC išvesčių.</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USB prievadas,  turi būti</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Baterijos technologija: Rūgštinis akumuliatorius (VRLA)</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Baterijos įkrovimo laikas: Ne daugiau nei 3 val.</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Aušinimo paleidimas, turi būti</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Ekrano tipas: LCD arba lygiavertis</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LED indikatoriai,</w:t>
            </w:r>
            <w:r w:rsidRPr="00111DB2">
              <w:rPr>
                <w:sz w:val="22"/>
                <w:szCs w:val="22"/>
              </w:rPr>
              <w:t xml:space="preserve"> </w:t>
            </w:r>
            <w:r w:rsidRPr="00111DB2">
              <w:rPr>
                <w:rFonts w:eastAsiaTheme="minorHAnsi"/>
                <w:sz w:val="22"/>
                <w:szCs w:val="22"/>
              </w:rPr>
              <w:t>turi būti</w:t>
            </w:r>
          </w:p>
          <w:p w:rsidR="003537DD" w:rsidRPr="00111DB2" w:rsidRDefault="00111DB2" w:rsidP="000B15D9">
            <w:pPr>
              <w:pStyle w:val="ListParagraph"/>
              <w:numPr>
                <w:ilvl w:val="0"/>
                <w:numId w:val="17"/>
              </w:numPr>
              <w:rPr>
                <w:rFonts w:eastAsiaTheme="minorHAnsi"/>
              </w:rPr>
            </w:pPr>
            <w:r w:rsidRPr="00111DB2">
              <w:rPr>
                <w:rFonts w:eastAsiaTheme="minorHAnsi"/>
                <w:sz w:val="22"/>
                <w:szCs w:val="22"/>
              </w:rPr>
              <w:t xml:space="preserve">Sertifikavimas: </w:t>
            </w:r>
            <w:r w:rsidR="000B15D9" w:rsidRPr="000B15D9">
              <w:rPr>
                <w:rFonts w:eastAsiaTheme="minorHAnsi"/>
                <w:sz w:val="22"/>
                <w:szCs w:val="22"/>
              </w:rPr>
              <w:t>CE, EN/IEC 62040-1, EN/IEC 62040-2, VDE, REACH, PEP, EOLI</w:t>
            </w:r>
            <w:bookmarkStart w:id="0" w:name="_GoBack"/>
            <w:bookmarkEnd w:id="0"/>
          </w:p>
        </w:tc>
        <w:tc>
          <w:tcPr>
            <w:tcW w:w="7087" w:type="dxa"/>
            <w:shd w:val="clear" w:color="auto" w:fill="FFFFFF"/>
          </w:tcPr>
          <w:p w:rsidR="00D94AAA" w:rsidRPr="00C26C75" w:rsidRDefault="00D94AAA" w:rsidP="00D94AAA">
            <w:pPr>
              <w:ind w:firstLine="0"/>
              <w:rPr>
                <w:color w:val="000000"/>
                <w:szCs w:val="24"/>
                <w:lang w:eastAsia="lt-LT"/>
              </w:rPr>
            </w:pPr>
          </w:p>
        </w:tc>
      </w:tr>
    </w:tbl>
    <w:p w:rsidR="002315A6" w:rsidRDefault="002315A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AA783C" w:rsidRDefault="00AA783C" w:rsidP="008F3AC6">
      <w:pPr>
        <w:rPr>
          <w:rFonts w:eastAsia="Calibri"/>
          <w:szCs w:val="24"/>
        </w:rPr>
      </w:pPr>
    </w:p>
    <w:p w:rsidR="00AA783C" w:rsidRPr="00AA783C" w:rsidRDefault="00AA783C" w:rsidP="00AA783C">
      <w:pPr>
        <w:rPr>
          <w:rFonts w:eastAsia="Calibri"/>
          <w:szCs w:val="24"/>
        </w:rPr>
      </w:pPr>
      <w:r w:rsidRPr="00AA783C">
        <w:rPr>
          <w:rFonts w:eastAsia="Calibri"/>
          <w:szCs w:val="24"/>
        </w:rPr>
        <w:t>Pasi</w:t>
      </w:r>
      <w:r>
        <w:rPr>
          <w:rFonts w:eastAsia="Calibri"/>
          <w:szCs w:val="24"/>
        </w:rPr>
        <w:t>rašydamas šį pasiūlymą, tvirtin</w:t>
      </w:r>
      <w:r w:rsidRPr="00AA783C">
        <w:rPr>
          <w:rFonts w:eastAsia="Calibri"/>
          <w:szCs w:val="24"/>
        </w:rPr>
        <w:t>u, kad:</w:t>
      </w:r>
    </w:p>
    <w:p w:rsidR="00AA783C" w:rsidRPr="00AA783C" w:rsidRDefault="00AA783C" w:rsidP="00AA783C">
      <w:pPr>
        <w:rPr>
          <w:rFonts w:eastAsia="Calibri"/>
          <w:szCs w:val="24"/>
        </w:rPr>
      </w:pPr>
      <w:r w:rsidRPr="00AA783C">
        <w:rPr>
          <w:rFonts w:eastAsia="Calibri"/>
          <w:szCs w:val="24"/>
        </w:rPr>
        <w:t>1)</w:t>
      </w:r>
      <w:r w:rsidRPr="00AA783C">
        <w:rPr>
          <w:rFonts w:eastAsia="Calibri"/>
          <w:szCs w:val="24"/>
        </w:rPr>
        <w:tab/>
        <w:t>sutinku su visomis pirkimo dokumentuose nustatytomis sąlygomis;</w:t>
      </w:r>
    </w:p>
    <w:p w:rsidR="00AA783C" w:rsidRPr="008F3AC6" w:rsidRDefault="00AA783C" w:rsidP="00AA783C">
      <w:pPr>
        <w:rPr>
          <w:rFonts w:eastAsia="Calibri"/>
          <w:szCs w:val="24"/>
        </w:rPr>
      </w:pPr>
      <w:r w:rsidRPr="00AA783C">
        <w:rPr>
          <w:rFonts w:eastAsia="Calibri"/>
          <w:szCs w:val="24"/>
        </w:rPr>
        <w:t>2)</w:t>
      </w:r>
      <w:r w:rsidRPr="00AA783C">
        <w:rPr>
          <w:rFonts w:eastAsia="Calibri"/>
          <w:szCs w:val="24"/>
        </w:rPr>
        <w:tab/>
        <w:t>pasiūlyme pateikti duomenys yra tikri.</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D94AAA">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0AC" w:rsidRDefault="004400AC">
      <w:r>
        <w:separator/>
      </w:r>
    </w:p>
  </w:endnote>
  <w:endnote w:type="continuationSeparator" w:id="0">
    <w:p w:rsidR="004400AC" w:rsidRDefault="0044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0AC" w:rsidRDefault="004400AC">
      <w:r>
        <w:separator/>
      </w:r>
    </w:p>
  </w:footnote>
  <w:footnote w:type="continuationSeparator" w:id="0">
    <w:p w:rsidR="004400AC" w:rsidRDefault="0044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5D9">
      <w:rPr>
        <w:rStyle w:val="PageNumber"/>
      </w:rPr>
      <w:t>5</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4915F8"/>
    <w:multiLevelType w:val="multilevel"/>
    <w:tmpl w:val="1C10E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14D43"/>
    <w:multiLevelType w:val="multilevel"/>
    <w:tmpl w:val="2ACC604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2"/>
  </w:num>
  <w:num w:numId="3">
    <w:abstractNumId w:val="16"/>
  </w:num>
  <w:num w:numId="4">
    <w:abstractNumId w:val="12"/>
  </w:num>
  <w:num w:numId="5">
    <w:abstractNumId w:val="11"/>
  </w:num>
  <w:num w:numId="6">
    <w:abstractNumId w:val="14"/>
  </w:num>
  <w:num w:numId="7">
    <w:abstractNumId w:val="5"/>
  </w:num>
  <w:num w:numId="8">
    <w:abstractNumId w:val="0"/>
  </w:num>
  <w:num w:numId="9">
    <w:abstractNumId w:val="4"/>
  </w:num>
  <w:num w:numId="10">
    <w:abstractNumId w:val="9"/>
  </w:num>
  <w:num w:numId="11">
    <w:abstractNumId w:val="3"/>
  </w:num>
  <w:num w:numId="12">
    <w:abstractNumId w:val="6"/>
  </w:num>
  <w:num w:numId="13">
    <w:abstractNumId w:val="10"/>
  </w:num>
  <w:num w:numId="14">
    <w:abstractNumId w:val="15"/>
  </w:num>
  <w:num w:numId="15">
    <w:abstractNumId w:val="8"/>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106F"/>
    <w:rsid w:val="00016A6C"/>
    <w:rsid w:val="000203A2"/>
    <w:rsid w:val="00020A16"/>
    <w:rsid w:val="00047BA0"/>
    <w:rsid w:val="000528DF"/>
    <w:rsid w:val="00053EE3"/>
    <w:rsid w:val="00067977"/>
    <w:rsid w:val="0007033E"/>
    <w:rsid w:val="000715C1"/>
    <w:rsid w:val="00074902"/>
    <w:rsid w:val="0007498B"/>
    <w:rsid w:val="000762F1"/>
    <w:rsid w:val="00080A7B"/>
    <w:rsid w:val="000822F1"/>
    <w:rsid w:val="00092EFF"/>
    <w:rsid w:val="0009518A"/>
    <w:rsid w:val="000A58AE"/>
    <w:rsid w:val="000A5F6A"/>
    <w:rsid w:val="000B15D9"/>
    <w:rsid w:val="000B1B20"/>
    <w:rsid w:val="000B776D"/>
    <w:rsid w:val="000C2588"/>
    <w:rsid w:val="000E14C9"/>
    <w:rsid w:val="000E2B61"/>
    <w:rsid w:val="000E662F"/>
    <w:rsid w:val="00111DB2"/>
    <w:rsid w:val="00112439"/>
    <w:rsid w:val="0011268C"/>
    <w:rsid w:val="0011346A"/>
    <w:rsid w:val="00120487"/>
    <w:rsid w:val="00130B79"/>
    <w:rsid w:val="00140D7D"/>
    <w:rsid w:val="00142C1C"/>
    <w:rsid w:val="00142F6E"/>
    <w:rsid w:val="001529DE"/>
    <w:rsid w:val="00163EF3"/>
    <w:rsid w:val="0016650B"/>
    <w:rsid w:val="001668BF"/>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15A6"/>
    <w:rsid w:val="00232687"/>
    <w:rsid w:val="00232C95"/>
    <w:rsid w:val="002365FF"/>
    <w:rsid w:val="00237580"/>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537DD"/>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00AC"/>
    <w:rsid w:val="00444854"/>
    <w:rsid w:val="00450FBA"/>
    <w:rsid w:val="004520D6"/>
    <w:rsid w:val="00457651"/>
    <w:rsid w:val="00462968"/>
    <w:rsid w:val="00462B71"/>
    <w:rsid w:val="00463245"/>
    <w:rsid w:val="00473557"/>
    <w:rsid w:val="00477806"/>
    <w:rsid w:val="00477953"/>
    <w:rsid w:val="00480706"/>
    <w:rsid w:val="0048383E"/>
    <w:rsid w:val="00483B0E"/>
    <w:rsid w:val="004842A1"/>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2EA0"/>
    <w:rsid w:val="0072065E"/>
    <w:rsid w:val="00724CB9"/>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47857"/>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5E88"/>
    <w:rsid w:val="00956C02"/>
    <w:rsid w:val="0095765B"/>
    <w:rsid w:val="009602EC"/>
    <w:rsid w:val="00970289"/>
    <w:rsid w:val="00970DAE"/>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922"/>
    <w:rsid w:val="00A00A3B"/>
    <w:rsid w:val="00A031C9"/>
    <w:rsid w:val="00A03CED"/>
    <w:rsid w:val="00A07E6A"/>
    <w:rsid w:val="00A11481"/>
    <w:rsid w:val="00A14174"/>
    <w:rsid w:val="00A17BC6"/>
    <w:rsid w:val="00A22F5E"/>
    <w:rsid w:val="00A40749"/>
    <w:rsid w:val="00A430A0"/>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29ED"/>
    <w:rsid w:val="00AA3A0E"/>
    <w:rsid w:val="00AA783C"/>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8119A"/>
    <w:rsid w:val="00C87178"/>
    <w:rsid w:val="00C87CC3"/>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AAA"/>
    <w:rsid w:val="00D94F55"/>
    <w:rsid w:val="00D95006"/>
    <w:rsid w:val="00D968C3"/>
    <w:rsid w:val="00DB34EC"/>
    <w:rsid w:val="00DD2EFD"/>
    <w:rsid w:val="00E00BC3"/>
    <w:rsid w:val="00E0214E"/>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5AE8"/>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0E662F"/>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882E-374E-4149-A993-6CC3B87B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4867</Words>
  <Characters>2775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7627</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16</cp:revision>
  <cp:lastPrinted>2023-07-25T10:01:00Z</cp:lastPrinted>
  <dcterms:created xsi:type="dcterms:W3CDTF">2024-11-08T10:15:00Z</dcterms:created>
  <dcterms:modified xsi:type="dcterms:W3CDTF">2025-09-10T10:21:00Z</dcterms:modified>
</cp:coreProperties>
</file>