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AACB874" w14:textId="5AEC2945" w:rsidR="00A76BE9" w:rsidRDefault="00E73447" w:rsidP="00C43D47">
      <w:pPr>
        <w:pStyle w:val="Pagrindinistekstas"/>
        <w:ind w:firstLine="0"/>
        <w:jc w:val="center"/>
        <w:rPr>
          <w:rFonts w:ascii="Arial" w:hAnsi="Arial" w:cs="Arial"/>
          <w:b/>
          <w:sz w:val="22"/>
        </w:rPr>
      </w:pPr>
      <w:r w:rsidRPr="00E73447">
        <w:rPr>
          <w:rFonts w:ascii="Arial" w:hAnsi="Arial" w:cs="Arial"/>
          <w:b/>
          <w:sz w:val="22"/>
        </w:rPr>
        <w:t>VALSTYBINĖS REIKŠMĖS KRAŠTO KELIO NR. 144 JONAVA–KĖDAINIAI–ŠEDUVA RUOŽO NUO 17,565 IKI 23,070 KM KAPITALINIS REMONTAS</w:t>
      </w:r>
    </w:p>
    <w:p w14:paraId="63D5F964" w14:textId="77777777" w:rsidR="00E73447" w:rsidRDefault="00E73447" w:rsidP="00C43D47">
      <w:pPr>
        <w:pStyle w:val="Pagrindinistekstas"/>
        <w:ind w:firstLine="0"/>
        <w:jc w:val="center"/>
        <w:rPr>
          <w:rFonts w:ascii="Arial" w:hAnsi="Arial" w:cs="Arial"/>
          <w:b/>
          <w:sz w:val="22"/>
        </w:rPr>
      </w:pPr>
    </w:p>
    <w:p w14:paraId="64F80714" w14:textId="3D3BCF15"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9-09T00:00:00Z">
            <w:dateFormat w:val="yyyy-MM-dd"/>
            <w:lid w:val="lt-LT"/>
            <w:storeMappedDataAs w:val="dateTime"/>
            <w:calendar w:val="gregorian"/>
          </w:date>
        </w:sdtPr>
        <w:sdtContent>
          <w:r w:rsidR="00E73447">
            <w:rPr>
              <w:rFonts w:ascii="Arial" w:hAnsi="Arial" w:cs="Arial"/>
              <w:sz w:val="22"/>
              <w:szCs w:val="22"/>
            </w:rPr>
            <w:t>2025-09-09</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EE4133" w:rsidRDefault="005A64B2" w:rsidP="005A64B2">
            <w:pPr>
              <w:pStyle w:val="Antrat1"/>
              <w:tabs>
                <w:tab w:val="left" w:pos="426"/>
              </w:tabs>
              <w:ind w:firstLine="0"/>
              <w:rPr>
                <w:rFonts w:ascii="Arial" w:eastAsiaTheme="minorHAnsi" w:hAnsi="Arial" w:cs="Arial"/>
                <w:color w:val="000000" w:themeColor="text1"/>
                <w:sz w:val="22"/>
                <w:szCs w:val="22"/>
              </w:rPr>
            </w:pPr>
            <w:r w:rsidRPr="00EE4133">
              <w:rPr>
                <w:rFonts w:ascii="Arial" w:eastAsiaTheme="minorHAnsi" w:hAnsi="Arial" w:cs="Arial"/>
                <w:color w:val="000000" w:themeColor="text1"/>
                <w:sz w:val="22"/>
                <w:szCs w:val="22"/>
              </w:rPr>
              <w:t>Atliekamas žaliasis pirkimas.</w:t>
            </w:r>
          </w:p>
          <w:p w14:paraId="1CBB1406" w14:textId="0A0AAB71" w:rsidR="004B24B2" w:rsidRPr="00E55BB2" w:rsidRDefault="005A64B2" w:rsidP="005A64B2">
            <w:pPr>
              <w:pStyle w:val="Antrat1"/>
              <w:tabs>
                <w:tab w:val="left" w:pos="426"/>
              </w:tabs>
              <w:ind w:firstLine="0"/>
              <w:rPr>
                <w:rFonts w:eastAsiaTheme="minorHAnsi"/>
                <w:sz w:val="22"/>
                <w:szCs w:val="22"/>
                <w:highlight w:val="yellow"/>
              </w:rPr>
            </w:pPr>
            <w:r w:rsidRPr="00EE413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F20DA1">
              <w:rPr>
                <w:rFonts w:ascii="Arial" w:eastAsiaTheme="minorHAnsi" w:hAnsi="Arial" w:cs="Arial"/>
                <w:sz w:val="22"/>
                <w:szCs w:val="22"/>
              </w:rPr>
              <w:t>4.1. punkto ir 2 priedo 26.1. punkto reikalavimai (SPS 11 priedas) ir 26.2. punkto reikalavimai (Sutarties projektas 9</w:t>
            </w:r>
            <w:r w:rsidR="00115971" w:rsidRPr="00F20DA1">
              <w:rPr>
                <w:rFonts w:ascii="Arial" w:eastAsiaTheme="minorHAnsi" w:hAnsi="Arial" w:cs="Arial"/>
                <w:sz w:val="22"/>
                <w:szCs w:val="22"/>
              </w:rPr>
              <w:t>5</w:t>
            </w:r>
            <w:r w:rsidRPr="00F20DA1">
              <w:rPr>
                <w:rFonts w:ascii="Arial" w:eastAsiaTheme="minorHAnsi" w:hAnsi="Arial" w:cs="Arial"/>
                <w:sz w:val="22"/>
                <w:szCs w:val="22"/>
              </w:rPr>
              <w:t>.1</w:t>
            </w:r>
            <w:r w:rsidR="001F1F8A" w:rsidRPr="00F20DA1">
              <w:rPr>
                <w:rFonts w:ascii="Arial" w:eastAsiaTheme="minorHAnsi" w:hAnsi="Arial" w:cs="Arial"/>
                <w:sz w:val="22"/>
                <w:szCs w:val="22"/>
              </w:rPr>
              <w:t>4</w:t>
            </w:r>
            <w:r w:rsidRPr="00F20DA1">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6DA1FEC" w:rsidR="005B73EE" w:rsidRDefault="00E73447" w:rsidP="005B73EE">
            <w:pPr>
              <w:rPr>
                <w:rFonts w:ascii="Arial" w:hAnsi="Arial" w:cs="Arial"/>
                <w:iCs/>
                <w:color w:val="000000" w:themeColor="text1"/>
                <w:sz w:val="22"/>
                <w:szCs w:val="22"/>
              </w:rPr>
            </w:pPr>
            <w:r w:rsidRPr="00E73447">
              <w:rPr>
                <w:rFonts w:ascii="Arial" w:hAnsi="Arial" w:cs="Arial"/>
                <w:b/>
                <w:bCs/>
                <w:i/>
                <w:iCs/>
                <w:sz w:val="22"/>
              </w:rPr>
              <w:t>Valstybinės reikšmės krašto kelio Nr. 144 Jonava–Kėdainiai–Šeduva ruožo nuo 17,565 iki 23,070 km kapitalinis remontas</w:t>
            </w:r>
            <w:r>
              <w:rPr>
                <w:rFonts w:ascii="Arial" w:hAnsi="Arial" w:cs="Arial"/>
                <w:iCs/>
                <w:color w:val="000000" w:themeColor="text1"/>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543D5" w:rsidRDefault="004B24B2" w:rsidP="004B24B2">
            <w:pPr>
              <w:rPr>
                <w:rFonts w:ascii="Arial" w:eastAsiaTheme="minorHAnsi" w:hAnsi="Arial" w:cs="Arial"/>
                <w:bCs/>
                <w:color w:val="000000" w:themeColor="text1"/>
                <w:sz w:val="22"/>
                <w:szCs w:val="22"/>
              </w:rPr>
            </w:pPr>
          </w:p>
          <w:p w14:paraId="1D90EFEA" w14:textId="77777777" w:rsidR="0039436B" w:rsidRPr="004543D5" w:rsidRDefault="0039436B" w:rsidP="0039436B">
            <w:pPr>
              <w:rPr>
                <w:rFonts w:ascii="Arial" w:eastAsiaTheme="minorHAnsi" w:hAnsi="Arial" w:cs="Arial"/>
                <w:bCs/>
                <w:color w:val="000000" w:themeColor="text1"/>
                <w:sz w:val="22"/>
                <w:szCs w:val="22"/>
              </w:rPr>
            </w:pPr>
            <w:r w:rsidRPr="004543D5">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Default="0039436B" w:rsidP="0098559A">
            <w:pPr>
              <w:rPr>
                <w:rFonts w:ascii="Arial" w:eastAsiaTheme="minorHAnsi" w:hAnsi="Arial" w:cs="Arial"/>
                <w:bCs/>
                <w:sz w:val="22"/>
                <w:szCs w:val="22"/>
              </w:rPr>
            </w:pPr>
            <w:r w:rsidRPr="004543D5">
              <w:rPr>
                <w:rFonts w:ascii="Arial" w:eastAsiaTheme="minorHAnsi" w:hAnsi="Arial" w:cs="Arial"/>
                <w:bCs/>
                <w:sz w:val="22"/>
                <w:szCs w:val="22"/>
              </w:rPr>
              <w:t>Pirkimo objekto neskaidymo į dalis argumentai:</w:t>
            </w:r>
          </w:p>
          <w:p w14:paraId="431460E4" w14:textId="77777777" w:rsidR="00870CA0" w:rsidRPr="00870CA0" w:rsidRDefault="00870CA0" w:rsidP="00870CA0">
            <w:pPr>
              <w:rPr>
                <w:rFonts w:ascii="Arial" w:eastAsiaTheme="minorHAnsi" w:hAnsi="Arial" w:cs="Arial"/>
                <w:bCs/>
                <w:sz w:val="22"/>
                <w:szCs w:val="22"/>
              </w:rPr>
            </w:pPr>
            <w:r w:rsidRPr="00870CA0">
              <w:rPr>
                <w:rFonts w:ascii="Arial" w:eastAsiaTheme="minorHAnsi" w:hAnsi="Arial" w:cs="Arial"/>
                <w:bCs/>
                <w:sz w:val="22"/>
                <w:szCs w:val="22"/>
              </w:rPr>
              <w:t xml:space="preserve">Pirkimo objektas nėra skaidomas į atskiras dalis dėl to, kad vientisą kelio ruožą suskaidžius į dalis, perkamų darbų atlikimą technologiškai būtų sudėtinga įgyvendinti. Perkami rangos darbai pagal parengtą vieną statinio kapitalinio remonto techninė darbo projektą. Objekto dalių (susisiekimo komunikacijos, melioracijos statinių pertvarkymas) įgyvendinimas yra tarpusavyje glaudžiai susijęs. Padalinus objektą į dalis, vienoje statybvietėje dirbtų keletas rangovų, ir tai ribotų jų galimybes bei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 </w:t>
            </w:r>
          </w:p>
          <w:p w14:paraId="7FD5EEDB" w14:textId="77777777" w:rsidR="00870CA0" w:rsidRPr="00870CA0" w:rsidRDefault="00870CA0" w:rsidP="00870CA0">
            <w:pPr>
              <w:rPr>
                <w:rFonts w:ascii="Arial" w:eastAsiaTheme="minorHAnsi" w:hAnsi="Arial" w:cs="Arial"/>
                <w:bCs/>
                <w:sz w:val="22"/>
                <w:szCs w:val="22"/>
              </w:rPr>
            </w:pPr>
          </w:p>
          <w:p w14:paraId="5FACBC79" w14:textId="4D393434" w:rsidR="006F614C" w:rsidRPr="006F614C" w:rsidRDefault="00870CA0" w:rsidP="00870CA0">
            <w:pPr>
              <w:rPr>
                <w:rFonts w:ascii="Arial" w:eastAsiaTheme="minorHAnsi" w:hAnsi="Arial" w:cs="Arial"/>
                <w:bCs/>
                <w:sz w:val="22"/>
                <w:szCs w:val="22"/>
              </w:rPr>
            </w:pPr>
            <w:r w:rsidRPr="00870CA0">
              <w:rPr>
                <w:rFonts w:ascii="Arial" w:eastAsiaTheme="minorHAnsi" w:hAnsi="Arial" w:cs="Arial"/>
                <w:bCs/>
                <w:sz w:val="22"/>
                <w:szCs w:val="22"/>
              </w:rPr>
              <w:t>Neskaidant rangos darbų atlikimo, vienas konkurso laimėtojas galės lygiagrečiai atlikti statybos darbus vienoje kelio atkarpoje: ruoštis statybos darbams, t. y. planuoti reikalingą techniką bei įrangą, įrengti medžiagų sandėliavimo vietą ir joje jas sandėliuoti, racionaliai dalinti darbus etapais, palaipsniui rengiant sluoksnius ir planuojant su tuo susijusius eismo ribojimus.</w:t>
            </w:r>
          </w:p>
          <w:p w14:paraId="003915C9" w14:textId="77777777" w:rsidR="00257078" w:rsidRPr="004543D5" w:rsidRDefault="00257078" w:rsidP="0098559A">
            <w:pPr>
              <w:rPr>
                <w:rFonts w:ascii="Arial" w:eastAsiaTheme="minorHAnsi" w:hAnsi="Arial" w:cs="Arial"/>
                <w:bCs/>
                <w:sz w:val="22"/>
                <w:szCs w:val="22"/>
              </w:rPr>
            </w:pPr>
          </w:p>
          <w:p w14:paraId="14AF67CD" w14:textId="77777777" w:rsidR="00330A3C" w:rsidRDefault="00330A3C" w:rsidP="00330A3C">
            <w:pPr>
              <w:pStyle w:val="Sraopastraipa"/>
            </w:pPr>
          </w:p>
          <w:p w14:paraId="2BF43279" w14:textId="078E55B3" w:rsidR="004B24B2" w:rsidRPr="004543D5" w:rsidRDefault="004B24B2" w:rsidP="00330A3C">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3F65A20"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94360F">
                  <w:rPr>
                    <w:rFonts w:ascii="Arial" w:hAnsi="Arial" w:cs="Arial"/>
                    <w:sz w:val="22"/>
                    <w:szCs w:val="22"/>
                  </w:rPr>
                  <w:t xml:space="preserve">aplinkos apsaugos vadybos sistemos standartai </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w:t>
            </w:r>
            <w:r w:rsidRPr="000F0A98">
              <w:rPr>
                <w:rStyle w:val="Grietas"/>
                <w:rFonts w:ascii="Arial" w:hAnsi="Arial" w:cs="Arial"/>
                <w:sz w:val="22"/>
                <w:szCs w:val="22"/>
              </w:rPr>
              <w:lastRenderedPageBreak/>
              <w:t>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E3E181F" w14:textId="77777777" w:rsidR="00553E3A" w:rsidRPr="00553E3A" w:rsidRDefault="00164A81" w:rsidP="00DF53A4">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00FC1FCE" w:rsidRPr="00553E3A">
              <w:rPr>
                <w:rFonts w:ascii="Arial" w:hAnsi="Arial" w:cs="Arial"/>
                <w:b/>
                <w:bCs/>
                <w:sz w:val="22"/>
                <w:szCs w:val="22"/>
              </w:rPr>
              <w:t>SPS priede Nr.</w:t>
            </w:r>
            <w:r w:rsidRPr="00553E3A">
              <w:rPr>
                <w:rFonts w:ascii="Arial" w:hAnsi="Arial" w:cs="Arial"/>
                <w:b/>
                <w:bCs/>
                <w:sz w:val="22"/>
                <w:szCs w:val="22"/>
              </w:rPr>
              <w:t xml:space="preserve"> </w:t>
            </w:r>
            <w:r w:rsidR="00553E3A" w:rsidRPr="00553E3A">
              <w:rPr>
                <w:rFonts w:ascii="Arial" w:hAnsi="Arial" w:cs="Arial"/>
                <w:b/>
                <w:bCs/>
                <w:sz w:val="22"/>
                <w:szCs w:val="22"/>
              </w:rPr>
              <w:t>9</w:t>
            </w:r>
            <w:r w:rsidRPr="00553E3A">
              <w:rPr>
                <w:rFonts w:ascii="Arial" w:hAnsi="Arial" w:cs="Arial"/>
                <w:b/>
                <w:bCs/>
                <w:sz w:val="22"/>
                <w:szCs w:val="22"/>
              </w:rPr>
              <w:t xml:space="preserve">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34EC037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riedas Nr.</w:t>
            </w:r>
            <w:r w:rsidR="00630F4A">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w:t>
            </w:r>
            <w:r w:rsidRPr="002A1112">
              <w:rPr>
                <w:rFonts w:ascii="Arial" w:hAnsi="Arial" w:cs="Arial"/>
                <w:sz w:val="22"/>
                <w:szCs w:val="22"/>
              </w:rPr>
              <w:lastRenderedPageBreak/>
              <w:t xml:space="preserve">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3F2EF8E9"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26AFD7D5"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w:t>
            </w:r>
            <w:r w:rsidRPr="00AD5C02">
              <w:rPr>
                <w:rFonts w:ascii="Arial" w:hAnsi="Arial" w:cs="Arial"/>
                <w:sz w:val="22"/>
                <w:szCs w:val="22"/>
              </w:rPr>
              <w:lastRenderedPageBreak/>
              <w:t xml:space="preserve">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81860" w:rsidRPr="00181860">
              <w:rPr>
                <w:rFonts w:ascii="Arial" w:hAnsi="Arial" w:cs="Arial"/>
                <w:sz w:val="22"/>
                <w:szCs w:val="22"/>
              </w:rPr>
              <w:t>11</w:t>
            </w:r>
            <w:r w:rsidRPr="00181860">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181860">
              <w:rPr>
                <w:rFonts w:ascii="Arial" w:hAnsi="Arial" w:cs="Arial"/>
                <w:b/>
                <w:bCs/>
                <w:sz w:val="22"/>
                <w:szCs w:val="22"/>
              </w:rPr>
              <w:t xml:space="preserve"> ir santrauka</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603463"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lastRenderedPageBreak/>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lastRenderedPageBreak/>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w:t>
            </w:r>
            <w:r w:rsidRPr="00DA7C27">
              <w:rPr>
                <w:rFonts w:ascii="Arial" w:hAnsi="Arial" w:cs="Arial"/>
                <w:bCs/>
                <w:sz w:val="22"/>
                <w:szCs w:val="22"/>
              </w:rPr>
              <w:lastRenderedPageBreak/>
              <w:t>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Laikoma, kad tiekėjas nuteistas už aukščiau </w:t>
            </w:r>
            <w:r w:rsidRPr="00BE72E2">
              <w:rPr>
                <w:rFonts w:ascii="Arial" w:hAnsi="Arial" w:cs="Arial"/>
                <w:bCs/>
                <w:sz w:val="22"/>
                <w:szCs w:val="22"/>
              </w:rPr>
              <w:lastRenderedPageBreak/>
              <w:t>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BE72E2">
              <w:rPr>
                <w:rFonts w:ascii="Arial" w:hAnsi="Arial" w:cs="Arial"/>
                <w:bCs/>
                <w:sz w:val="22"/>
                <w:szCs w:val="22"/>
              </w:rPr>
              <w:lastRenderedPageBreak/>
              <w:t>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w:t>
            </w:r>
            <w:r w:rsidRPr="00297C80">
              <w:rPr>
                <w:rFonts w:ascii="Arial" w:hAnsi="Arial" w:cs="Arial"/>
                <w:bCs/>
                <w:sz w:val="22"/>
                <w:szCs w:val="22"/>
              </w:rPr>
              <w:lastRenderedPageBreak/>
              <w:t xml:space="preserve">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lastRenderedPageBreak/>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E72E2">
              <w:rPr>
                <w:rFonts w:ascii="Arial" w:hAnsi="Arial" w:cs="Arial"/>
                <w:sz w:val="22"/>
                <w:szCs w:val="22"/>
              </w:rPr>
              <w:lastRenderedPageBreak/>
              <w:t>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w:t>
            </w:r>
            <w:r w:rsidRPr="00BE72E2">
              <w:rPr>
                <w:rFonts w:ascii="Arial" w:hAnsi="Arial" w:cs="Arial"/>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lastRenderedPageBreak/>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w:t>
      </w:r>
      <w:r w:rsidRPr="00DB7D83">
        <w:rPr>
          <w:rFonts w:ascii="Arial" w:hAnsi="Arial" w:cs="Arial"/>
          <w:sz w:val="22"/>
          <w:szCs w:val="22"/>
        </w:rPr>
        <w:lastRenderedPageBreak/>
        <w:t>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lastRenderedPageBreak/>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3BA6563A"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 xml:space="preserve">4 </w:t>
      </w:r>
      <w:proofErr w:type="spellStart"/>
      <w:r w:rsidRPr="00593F84">
        <w:rPr>
          <w:rFonts w:ascii="Arial" w:hAnsi="Arial" w:cs="Arial"/>
          <w:b/>
          <w:i/>
          <w:iCs/>
          <w:sz w:val="22"/>
          <w:szCs w:val="22"/>
        </w:rPr>
        <w:t>priedas_Techninė</w:t>
      </w:r>
      <w:proofErr w:type="spellEnd"/>
      <w:r w:rsidRPr="00593F84">
        <w:rPr>
          <w:rFonts w:ascii="Arial" w:hAnsi="Arial" w:cs="Arial"/>
          <w:b/>
          <w:i/>
          <w:iCs/>
          <w:sz w:val="22"/>
          <w:szCs w:val="22"/>
        </w:rPr>
        <w:t xml:space="preserve"> dokumentacija_</w:t>
      </w:r>
      <w:r w:rsidR="00452806">
        <w:rPr>
          <w:rFonts w:ascii="Arial" w:hAnsi="Arial" w:cs="Arial"/>
          <w:b/>
          <w:i/>
          <w:iCs/>
          <w:sz w:val="22"/>
          <w:szCs w:val="22"/>
        </w:rPr>
        <w:t>144</w:t>
      </w:r>
      <w:r w:rsidR="00F757D4">
        <w:rPr>
          <w:rFonts w:ascii="Arial" w:hAnsi="Arial" w:cs="Arial"/>
          <w:b/>
          <w:i/>
          <w:iCs/>
          <w:sz w:val="22"/>
          <w:szCs w:val="22"/>
        </w:rPr>
        <w:t xml:space="preserve"> kelias</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9EED1A1"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49ECE2C2" w14:textId="77777777" w:rsidR="005E690F" w:rsidRPr="005E690F" w:rsidRDefault="005E690F" w:rsidP="002C7562">
      <w:pPr>
        <w:pStyle w:val="Pagrindinistekstas"/>
        <w:rPr>
          <w:rFonts w:ascii="Arial" w:hAnsi="Arial" w:cs="Arial"/>
          <w:sz w:val="22"/>
          <w:szCs w:val="22"/>
        </w:rPr>
      </w:pPr>
    </w:p>
    <w:p w14:paraId="1FC3FB14"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Perkančioji organizacija pažymi, kad atsižvelgiant į aukščiau minėta, vykdant  Pirkimo darbus būtina vadovautis nuo 2025 m. birželio 2 d. galiojančių normatyvinių dokumentų ĮT ASFALTAS 25 nuostatomis. Prašome atsižvelgti į šį paaiškinimą teikiant pasiūlymus.</w:t>
      </w:r>
    </w:p>
    <w:p w14:paraId="3C83F67F" w14:textId="77777777" w:rsidR="005E690F" w:rsidRPr="005E690F" w:rsidRDefault="005E690F" w:rsidP="002C7562">
      <w:pPr>
        <w:pStyle w:val="Pagrindinistekstas"/>
        <w:rPr>
          <w:rFonts w:ascii="Arial" w:hAnsi="Arial" w:cs="Arial"/>
          <w:sz w:val="22"/>
          <w:szCs w:val="22"/>
        </w:rPr>
      </w:pPr>
    </w:p>
    <w:p w14:paraId="2D9443E0" w14:textId="77777777" w:rsidR="005E690F" w:rsidRPr="005E690F" w:rsidRDefault="005E690F" w:rsidP="002C7562">
      <w:pPr>
        <w:pStyle w:val="Pagrindinistekstas"/>
        <w:rPr>
          <w:rFonts w:ascii="Arial" w:hAnsi="Arial" w:cs="Arial"/>
          <w:sz w:val="22"/>
          <w:szCs w:val="22"/>
        </w:rPr>
      </w:pPr>
      <w:r w:rsidRPr="005E690F">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p w14:paraId="2B8018AF" w14:textId="77777777" w:rsidR="00F16744" w:rsidRPr="00D9683D" w:rsidRDefault="00F16744" w:rsidP="002C7562">
      <w:pPr>
        <w:pStyle w:val="Pagrindinistekstas"/>
        <w:ind w:firstLine="0"/>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D4C9" w14:textId="77777777" w:rsidR="00E757DC" w:rsidRDefault="00E757DC" w:rsidP="0075209B">
      <w:r>
        <w:separator/>
      </w:r>
    </w:p>
  </w:endnote>
  <w:endnote w:type="continuationSeparator" w:id="0">
    <w:p w14:paraId="768CFE75" w14:textId="77777777" w:rsidR="00E757DC" w:rsidRDefault="00E757D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46EF" w14:textId="77777777" w:rsidR="00E757DC" w:rsidRDefault="00E757DC" w:rsidP="0075209B">
      <w:r>
        <w:separator/>
      </w:r>
    </w:p>
  </w:footnote>
  <w:footnote w:type="continuationSeparator" w:id="0">
    <w:p w14:paraId="428BD1C5" w14:textId="77777777" w:rsidR="00E757DC" w:rsidRDefault="00E757D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464" w:hanging="540"/>
      </w:pPr>
      <w:rPr>
        <w:rFonts w:hint="default"/>
      </w:rPr>
    </w:lvl>
    <w:lvl w:ilvl="1">
      <w:start w:val="1"/>
      <w:numFmt w:val="decimal"/>
      <w:lvlText w:val="%1.%2."/>
      <w:lvlJc w:val="left"/>
      <w:pPr>
        <w:ind w:left="1019"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129" w:hanging="10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3239" w:hanging="1440"/>
      </w:pPr>
      <w:rPr>
        <w:rFonts w:hint="default"/>
      </w:rPr>
    </w:lvl>
    <w:lvl w:ilvl="6">
      <w:start w:val="1"/>
      <w:numFmt w:val="decimal"/>
      <w:lvlText w:val="%1.%2.%3.%4.%5.%6.%7."/>
      <w:lvlJc w:val="left"/>
      <w:pPr>
        <w:ind w:left="3614" w:hanging="1440"/>
      </w:pPr>
      <w:rPr>
        <w:rFonts w:hint="default"/>
      </w:rPr>
    </w:lvl>
    <w:lvl w:ilvl="7">
      <w:start w:val="1"/>
      <w:numFmt w:val="decimal"/>
      <w:lvlText w:val="%1.%2.%3.%4.%5.%6.%7.%8."/>
      <w:lvlJc w:val="left"/>
      <w:pPr>
        <w:ind w:left="4349" w:hanging="1800"/>
      </w:pPr>
      <w:rPr>
        <w:rFonts w:hint="default"/>
      </w:rPr>
    </w:lvl>
    <w:lvl w:ilvl="8">
      <w:start w:val="1"/>
      <w:numFmt w:val="decimal"/>
      <w:lvlText w:val="%1.%2.%3.%4.%5.%6.%7.%8.%9."/>
      <w:lvlJc w:val="left"/>
      <w:pPr>
        <w:ind w:left="472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8622579"/>
    <w:multiLevelType w:val="multilevel"/>
    <w:tmpl w:val="938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9"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7"/>
  </w:num>
  <w:num w:numId="8" w16cid:durableId="634990135">
    <w:abstractNumId w:val="28"/>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9"/>
  </w:num>
  <w:num w:numId="27" w16cid:durableId="98263197">
    <w:abstractNumId w:val="21"/>
  </w:num>
  <w:num w:numId="28" w16cid:durableId="591427287">
    <w:abstractNumId w:val="4"/>
  </w:num>
  <w:num w:numId="29" w16cid:durableId="1182890182">
    <w:abstractNumId w:val="24"/>
  </w:num>
  <w:num w:numId="30" w16cid:durableId="195004624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6749B"/>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77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0EE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1605"/>
    <w:rsid w:val="0011262B"/>
    <w:rsid w:val="00113438"/>
    <w:rsid w:val="00113C96"/>
    <w:rsid w:val="00113FC1"/>
    <w:rsid w:val="0011470A"/>
    <w:rsid w:val="00114829"/>
    <w:rsid w:val="00115732"/>
    <w:rsid w:val="00115971"/>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60"/>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1F8A"/>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078"/>
    <w:rsid w:val="0026208E"/>
    <w:rsid w:val="002620E7"/>
    <w:rsid w:val="002621B9"/>
    <w:rsid w:val="00265508"/>
    <w:rsid w:val="00265D35"/>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90A"/>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562"/>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0A3C"/>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1A1"/>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67E"/>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806"/>
    <w:rsid w:val="00452B63"/>
    <w:rsid w:val="004531BF"/>
    <w:rsid w:val="004543D5"/>
    <w:rsid w:val="00455483"/>
    <w:rsid w:val="00456F99"/>
    <w:rsid w:val="00457D1B"/>
    <w:rsid w:val="00460F1E"/>
    <w:rsid w:val="004621A8"/>
    <w:rsid w:val="0046427C"/>
    <w:rsid w:val="0046438F"/>
    <w:rsid w:val="00464901"/>
    <w:rsid w:val="0046490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3D3"/>
    <w:rsid w:val="004D3E50"/>
    <w:rsid w:val="004D49BE"/>
    <w:rsid w:val="004D55DB"/>
    <w:rsid w:val="004D62E6"/>
    <w:rsid w:val="004D633A"/>
    <w:rsid w:val="004D64C3"/>
    <w:rsid w:val="004D6A25"/>
    <w:rsid w:val="004D76D0"/>
    <w:rsid w:val="004E0416"/>
    <w:rsid w:val="004E0479"/>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2B6"/>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16DE"/>
    <w:rsid w:val="005C252E"/>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366"/>
    <w:rsid w:val="005D613E"/>
    <w:rsid w:val="005D758B"/>
    <w:rsid w:val="005D7669"/>
    <w:rsid w:val="005D78B7"/>
    <w:rsid w:val="005E0019"/>
    <w:rsid w:val="005E1F43"/>
    <w:rsid w:val="005E34F8"/>
    <w:rsid w:val="005E47DA"/>
    <w:rsid w:val="005E50C2"/>
    <w:rsid w:val="005E683B"/>
    <w:rsid w:val="005E690F"/>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3463"/>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263"/>
    <w:rsid w:val="00620308"/>
    <w:rsid w:val="00620416"/>
    <w:rsid w:val="006204DF"/>
    <w:rsid w:val="00620D5E"/>
    <w:rsid w:val="0062127A"/>
    <w:rsid w:val="00622DBD"/>
    <w:rsid w:val="00623159"/>
    <w:rsid w:val="0062359F"/>
    <w:rsid w:val="0062489D"/>
    <w:rsid w:val="006267A9"/>
    <w:rsid w:val="006267AA"/>
    <w:rsid w:val="00627616"/>
    <w:rsid w:val="00627A8A"/>
    <w:rsid w:val="006303B4"/>
    <w:rsid w:val="00630980"/>
    <w:rsid w:val="006309E7"/>
    <w:rsid w:val="00630F4A"/>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1E0"/>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E5C"/>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14C"/>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6EC5"/>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B74"/>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0CA0"/>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375"/>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6F25"/>
    <w:rsid w:val="0093756B"/>
    <w:rsid w:val="009400E5"/>
    <w:rsid w:val="00941134"/>
    <w:rsid w:val="009413DB"/>
    <w:rsid w:val="009425E2"/>
    <w:rsid w:val="0094360F"/>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9BA"/>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255"/>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6BE9"/>
    <w:rsid w:val="00A77060"/>
    <w:rsid w:val="00A77C07"/>
    <w:rsid w:val="00A80133"/>
    <w:rsid w:val="00A80587"/>
    <w:rsid w:val="00A808BF"/>
    <w:rsid w:val="00A833B9"/>
    <w:rsid w:val="00A83F31"/>
    <w:rsid w:val="00A85310"/>
    <w:rsid w:val="00A85C07"/>
    <w:rsid w:val="00A86A5C"/>
    <w:rsid w:val="00A87E5B"/>
    <w:rsid w:val="00A9097B"/>
    <w:rsid w:val="00A90C16"/>
    <w:rsid w:val="00A91C81"/>
    <w:rsid w:val="00A91DB4"/>
    <w:rsid w:val="00A937AF"/>
    <w:rsid w:val="00A93D0E"/>
    <w:rsid w:val="00A93DA1"/>
    <w:rsid w:val="00A945C9"/>
    <w:rsid w:val="00A94867"/>
    <w:rsid w:val="00A94A0F"/>
    <w:rsid w:val="00A94DCE"/>
    <w:rsid w:val="00A95085"/>
    <w:rsid w:val="00A953DE"/>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81"/>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4B"/>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74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7A1"/>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6D4"/>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447"/>
    <w:rsid w:val="00E741AE"/>
    <w:rsid w:val="00E74C7C"/>
    <w:rsid w:val="00E74E52"/>
    <w:rsid w:val="00E757DC"/>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133"/>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0DA1"/>
    <w:rsid w:val="00F20DF0"/>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757D4"/>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749B"/>
    <w:rsid w:val="000727E0"/>
    <w:rsid w:val="00094A90"/>
    <w:rsid w:val="00095508"/>
    <w:rsid w:val="000C3617"/>
    <w:rsid w:val="000C3C84"/>
    <w:rsid w:val="000D1219"/>
    <w:rsid w:val="000D4FF2"/>
    <w:rsid w:val="000D64C7"/>
    <w:rsid w:val="000E36EA"/>
    <w:rsid w:val="000F0EE8"/>
    <w:rsid w:val="001173AE"/>
    <w:rsid w:val="00121114"/>
    <w:rsid w:val="00127A49"/>
    <w:rsid w:val="00142FA0"/>
    <w:rsid w:val="0015196E"/>
    <w:rsid w:val="001631B1"/>
    <w:rsid w:val="001643DE"/>
    <w:rsid w:val="001A233C"/>
    <w:rsid w:val="001A28B0"/>
    <w:rsid w:val="001A6E0F"/>
    <w:rsid w:val="001D2C7D"/>
    <w:rsid w:val="001F0DFD"/>
    <w:rsid w:val="002247A6"/>
    <w:rsid w:val="00244C4B"/>
    <w:rsid w:val="00244CE3"/>
    <w:rsid w:val="002620E7"/>
    <w:rsid w:val="0028079E"/>
    <w:rsid w:val="00283C8C"/>
    <w:rsid w:val="002B0F7C"/>
    <w:rsid w:val="002B4AD4"/>
    <w:rsid w:val="002C5127"/>
    <w:rsid w:val="002C7C3E"/>
    <w:rsid w:val="002E02F8"/>
    <w:rsid w:val="00304F3B"/>
    <w:rsid w:val="00310C0B"/>
    <w:rsid w:val="003248DC"/>
    <w:rsid w:val="00330F98"/>
    <w:rsid w:val="00340203"/>
    <w:rsid w:val="00345D42"/>
    <w:rsid w:val="003544F6"/>
    <w:rsid w:val="00366897"/>
    <w:rsid w:val="00376E1D"/>
    <w:rsid w:val="00380F3F"/>
    <w:rsid w:val="00391B17"/>
    <w:rsid w:val="003B2BBC"/>
    <w:rsid w:val="003C4942"/>
    <w:rsid w:val="003D6212"/>
    <w:rsid w:val="003E524A"/>
    <w:rsid w:val="003F175D"/>
    <w:rsid w:val="00401C7D"/>
    <w:rsid w:val="004115D5"/>
    <w:rsid w:val="0042166F"/>
    <w:rsid w:val="0042525B"/>
    <w:rsid w:val="004510FC"/>
    <w:rsid w:val="00464904"/>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C252E"/>
    <w:rsid w:val="005D5845"/>
    <w:rsid w:val="005F464E"/>
    <w:rsid w:val="00601974"/>
    <w:rsid w:val="0061463B"/>
    <w:rsid w:val="0061695B"/>
    <w:rsid w:val="00620D5E"/>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36F25"/>
    <w:rsid w:val="00957883"/>
    <w:rsid w:val="00961945"/>
    <w:rsid w:val="009626F8"/>
    <w:rsid w:val="00976C29"/>
    <w:rsid w:val="00981636"/>
    <w:rsid w:val="009842F0"/>
    <w:rsid w:val="009C2610"/>
    <w:rsid w:val="009D09BA"/>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20</Pages>
  <Words>31455</Words>
  <Characters>17930</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81</cp:revision>
  <cp:lastPrinted>2019-05-27T13:27:00Z</cp:lastPrinted>
  <dcterms:created xsi:type="dcterms:W3CDTF">2025-03-04T05:34:00Z</dcterms:created>
  <dcterms:modified xsi:type="dcterms:W3CDTF">2025-09-11T08:36:00Z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