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FD2" w:rsidRPr="00C0093E" w:rsidRDefault="00EA59A3" w:rsidP="00EA59A3">
      <w:pPr>
        <w:spacing w:after="0" w:line="240" w:lineRule="auto"/>
        <w:contextualSpacing/>
        <w:jc w:val="center"/>
        <w:rPr>
          <w:b/>
          <w:sz w:val="21"/>
          <w:szCs w:val="21"/>
        </w:rPr>
      </w:pPr>
      <w:bookmarkStart w:id="0" w:name="_GoBack"/>
      <w:r w:rsidRPr="00C0093E">
        <w:rPr>
          <w:b/>
          <w:sz w:val="21"/>
          <w:szCs w:val="21"/>
        </w:rPr>
        <w:t>ATSAKYMAI Į TIEKĖJŲ KLAUSIMUS</w:t>
      </w:r>
    </w:p>
    <w:p w:rsidR="00EA59A3" w:rsidRPr="00C0093E" w:rsidRDefault="00EA59A3" w:rsidP="00EA59A3">
      <w:pPr>
        <w:spacing w:after="0" w:line="240" w:lineRule="auto"/>
        <w:contextualSpacing/>
        <w:jc w:val="center"/>
        <w:rPr>
          <w:b/>
          <w:sz w:val="21"/>
          <w:szCs w:val="21"/>
        </w:rPr>
      </w:pPr>
      <w:r w:rsidRPr="00C0093E">
        <w:rPr>
          <w:b/>
          <w:sz w:val="21"/>
          <w:szCs w:val="21"/>
        </w:rPr>
        <w:t>IR</w:t>
      </w:r>
    </w:p>
    <w:p w:rsidR="00EA59A3" w:rsidRPr="00C0093E" w:rsidRDefault="00EA59A3" w:rsidP="00EA59A3">
      <w:pPr>
        <w:spacing w:after="0" w:line="240" w:lineRule="auto"/>
        <w:contextualSpacing/>
        <w:jc w:val="center"/>
        <w:rPr>
          <w:b/>
          <w:sz w:val="21"/>
          <w:szCs w:val="21"/>
        </w:rPr>
      </w:pPr>
      <w:r w:rsidRPr="00C0093E">
        <w:rPr>
          <w:b/>
          <w:sz w:val="21"/>
          <w:szCs w:val="21"/>
        </w:rPr>
        <w:t>PIRKIMO SĄLYGŲ PATIKSLINIMAI</w:t>
      </w:r>
    </w:p>
    <w:p w:rsidR="000D6D17" w:rsidRPr="00C0093E" w:rsidRDefault="000D6D17" w:rsidP="00EA59A3">
      <w:pPr>
        <w:spacing w:after="0" w:line="240" w:lineRule="auto"/>
        <w:contextualSpacing/>
        <w:jc w:val="center"/>
        <w:rPr>
          <w:sz w:val="21"/>
          <w:szCs w:val="21"/>
        </w:rPr>
      </w:pPr>
      <w:r w:rsidRPr="00C0093E">
        <w:rPr>
          <w:sz w:val="21"/>
          <w:szCs w:val="21"/>
        </w:rPr>
        <w:t>2025-09-11</w:t>
      </w:r>
    </w:p>
    <w:p w:rsidR="00EA59A3" w:rsidRPr="00C0093E" w:rsidRDefault="00EA59A3" w:rsidP="00EA59A3">
      <w:pPr>
        <w:spacing w:after="0" w:line="240" w:lineRule="auto"/>
        <w:contextualSpacing/>
        <w:rPr>
          <w:sz w:val="21"/>
          <w:szCs w:val="21"/>
        </w:rPr>
      </w:pPr>
    </w:p>
    <w:tbl>
      <w:tblPr>
        <w:tblStyle w:val="TableGrid"/>
        <w:tblW w:w="13603" w:type="dxa"/>
        <w:tblLook w:val="04A0" w:firstRow="1" w:lastRow="0" w:firstColumn="1" w:lastColumn="0" w:noHBand="0" w:noVBand="1"/>
      </w:tblPr>
      <w:tblGrid>
        <w:gridCol w:w="846"/>
        <w:gridCol w:w="3969"/>
        <w:gridCol w:w="4394"/>
        <w:gridCol w:w="4394"/>
      </w:tblGrid>
      <w:tr w:rsidR="00EA59A3" w:rsidRPr="00C0093E" w:rsidTr="00963C10">
        <w:tc>
          <w:tcPr>
            <w:tcW w:w="846" w:type="dxa"/>
          </w:tcPr>
          <w:p w:rsidR="00EA59A3" w:rsidRPr="00C0093E" w:rsidRDefault="00EA59A3" w:rsidP="00EA59A3">
            <w:pPr>
              <w:contextualSpacing/>
              <w:jc w:val="center"/>
              <w:rPr>
                <w:b/>
                <w:sz w:val="21"/>
                <w:szCs w:val="21"/>
              </w:rPr>
            </w:pPr>
            <w:r w:rsidRPr="00C0093E">
              <w:rPr>
                <w:b/>
                <w:sz w:val="21"/>
                <w:szCs w:val="21"/>
              </w:rPr>
              <w:t xml:space="preserve">Eil. </w:t>
            </w:r>
            <w:r w:rsidR="00972CEA" w:rsidRPr="00C0093E">
              <w:rPr>
                <w:b/>
                <w:sz w:val="21"/>
                <w:szCs w:val="21"/>
              </w:rPr>
              <w:t>Nr.</w:t>
            </w:r>
          </w:p>
        </w:tc>
        <w:tc>
          <w:tcPr>
            <w:tcW w:w="3969" w:type="dxa"/>
          </w:tcPr>
          <w:p w:rsidR="00EA59A3" w:rsidRPr="00C0093E" w:rsidRDefault="00E97C46" w:rsidP="00EA59A3">
            <w:pPr>
              <w:contextualSpacing/>
              <w:jc w:val="center"/>
              <w:rPr>
                <w:b/>
                <w:sz w:val="21"/>
                <w:szCs w:val="21"/>
              </w:rPr>
            </w:pPr>
            <w:r w:rsidRPr="00C0093E">
              <w:rPr>
                <w:b/>
                <w:sz w:val="21"/>
                <w:szCs w:val="21"/>
              </w:rPr>
              <w:t>Techninė</w:t>
            </w:r>
            <w:r w:rsidR="00B8112E" w:rsidRPr="00C0093E">
              <w:rPr>
                <w:b/>
                <w:sz w:val="21"/>
                <w:szCs w:val="21"/>
              </w:rPr>
              <w:t>s specifikacijos nuostatos</w:t>
            </w:r>
          </w:p>
        </w:tc>
        <w:tc>
          <w:tcPr>
            <w:tcW w:w="4394" w:type="dxa"/>
          </w:tcPr>
          <w:p w:rsidR="00EA59A3" w:rsidRPr="00C0093E" w:rsidRDefault="00B8112E" w:rsidP="00EA59A3">
            <w:pPr>
              <w:contextualSpacing/>
              <w:jc w:val="center"/>
              <w:rPr>
                <w:b/>
                <w:sz w:val="21"/>
                <w:szCs w:val="21"/>
              </w:rPr>
            </w:pPr>
            <w:r w:rsidRPr="00C0093E">
              <w:rPr>
                <w:b/>
                <w:sz w:val="21"/>
                <w:szCs w:val="21"/>
              </w:rPr>
              <w:t>Tiekėjų k</w:t>
            </w:r>
            <w:r w:rsidR="00E97C46" w:rsidRPr="00C0093E">
              <w:rPr>
                <w:b/>
                <w:sz w:val="21"/>
                <w:szCs w:val="21"/>
              </w:rPr>
              <w:t>lausimas</w:t>
            </w:r>
          </w:p>
        </w:tc>
        <w:tc>
          <w:tcPr>
            <w:tcW w:w="4394" w:type="dxa"/>
          </w:tcPr>
          <w:p w:rsidR="00EA59A3" w:rsidRPr="00C0093E" w:rsidRDefault="00B8112E" w:rsidP="00EA59A3">
            <w:pPr>
              <w:contextualSpacing/>
              <w:jc w:val="center"/>
              <w:rPr>
                <w:b/>
                <w:sz w:val="21"/>
                <w:szCs w:val="21"/>
              </w:rPr>
            </w:pPr>
            <w:r w:rsidRPr="00C0093E">
              <w:rPr>
                <w:b/>
                <w:sz w:val="21"/>
                <w:szCs w:val="21"/>
              </w:rPr>
              <w:t>Perkančiosios organizacijos a</w:t>
            </w:r>
            <w:r w:rsidR="00E97C46" w:rsidRPr="00C0093E">
              <w:rPr>
                <w:b/>
                <w:sz w:val="21"/>
                <w:szCs w:val="21"/>
              </w:rPr>
              <w:t>tsakymas</w:t>
            </w:r>
          </w:p>
        </w:tc>
      </w:tr>
      <w:tr w:rsidR="00EA59A3" w:rsidRPr="00C0093E" w:rsidTr="00963C10">
        <w:tc>
          <w:tcPr>
            <w:tcW w:w="846" w:type="dxa"/>
          </w:tcPr>
          <w:p w:rsidR="00EA59A3" w:rsidRPr="00C0093E" w:rsidRDefault="00972CEA" w:rsidP="00972CEA">
            <w:pPr>
              <w:contextualSpacing/>
              <w:jc w:val="center"/>
              <w:rPr>
                <w:b/>
                <w:sz w:val="21"/>
                <w:szCs w:val="21"/>
              </w:rPr>
            </w:pPr>
            <w:r w:rsidRPr="00C0093E">
              <w:rPr>
                <w:b/>
                <w:sz w:val="21"/>
                <w:szCs w:val="21"/>
              </w:rPr>
              <w:t>1.</w:t>
            </w:r>
          </w:p>
        </w:tc>
        <w:tc>
          <w:tcPr>
            <w:tcW w:w="3969" w:type="dxa"/>
          </w:tcPr>
          <w:p w:rsidR="00EA59A3" w:rsidRPr="00C0093E" w:rsidRDefault="00E97C46" w:rsidP="00E97C46">
            <w:pPr>
              <w:contextualSpacing/>
              <w:jc w:val="both"/>
              <w:rPr>
                <w:sz w:val="21"/>
                <w:szCs w:val="21"/>
              </w:rPr>
            </w:pPr>
            <w:r w:rsidRPr="00C0093E">
              <w:rPr>
                <w:sz w:val="21"/>
                <w:szCs w:val="21"/>
              </w:rPr>
              <w:t>Prekių pristatymo terminas: 1 (vienas) mėnuo.</w:t>
            </w:r>
          </w:p>
        </w:tc>
        <w:tc>
          <w:tcPr>
            <w:tcW w:w="4394" w:type="dxa"/>
          </w:tcPr>
          <w:p w:rsidR="00EA59A3" w:rsidRPr="00C0093E" w:rsidRDefault="00E97C46" w:rsidP="00E97C46">
            <w:pPr>
              <w:contextualSpacing/>
              <w:jc w:val="both"/>
              <w:rPr>
                <w:sz w:val="21"/>
                <w:szCs w:val="21"/>
              </w:rPr>
            </w:pPr>
            <w:r w:rsidRPr="00C0093E">
              <w:rPr>
                <w:sz w:val="21"/>
                <w:szCs w:val="21"/>
              </w:rPr>
              <w:t>Prekių pristatymo terminą rekomenduojame numatyti 45 kalendorines dienas. Metų pabaigoje įrangos tiekimo terminai pailgėja ir 30 kalendorinių dienų terminas gali būti per trumpas.</w:t>
            </w:r>
          </w:p>
        </w:tc>
        <w:tc>
          <w:tcPr>
            <w:tcW w:w="4394" w:type="dxa"/>
          </w:tcPr>
          <w:p w:rsidR="00EA59A3" w:rsidRPr="00C0093E" w:rsidRDefault="00FF6418" w:rsidP="00FF6418">
            <w:pPr>
              <w:contextualSpacing/>
              <w:jc w:val="both"/>
              <w:rPr>
                <w:sz w:val="21"/>
                <w:szCs w:val="21"/>
              </w:rPr>
            </w:pPr>
            <w:r w:rsidRPr="00C0093E">
              <w:rPr>
                <w:sz w:val="21"/>
                <w:szCs w:val="21"/>
              </w:rPr>
              <w:t>Dėkojame už Jūsų pastabą. Informuojame, kad prekių pristatymo terminas lieka nepakitęs – 1 (vienas) mėnuo. Šis terminas nustatytas atsižvelgiant į perkančiosios organizacijos poreikius laike ir projektų įgyvendinimo grafikus. Visi tiekėjai turi galimybę planuoti tiekimo grandinę taip, kad prekes pristatytų per nustatytą terminą.</w:t>
            </w:r>
          </w:p>
        </w:tc>
      </w:tr>
      <w:tr w:rsidR="00EA59A3" w:rsidRPr="00C0093E" w:rsidTr="00963C10">
        <w:tc>
          <w:tcPr>
            <w:tcW w:w="846" w:type="dxa"/>
          </w:tcPr>
          <w:p w:rsidR="00EA59A3" w:rsidRPr="00C0093E" w:rsidRDefault="00972CEA" w:rsidP="00972CEA">
            <w:pPr>
              <w:contextualSpacing/>
              <w:jc w:val="center"/>
              <w:rPr>
                <w:b/>
                <w:sz w:val="21"/>
                <w:szCs w:val="21"/>
              </w:rPr>
            </w:pPr>
            <w:r w:rsidRPr="00C0093E">
              <w:rPr>
                <w:b/>
                <w:sz w:val="21"/>
                <w:szCs w:val="21"/>
              </w:rPr>
              <w:t>2.</w:t>
            </w:r>
          </w:p>
        </w:tc>
        <w:tc>
          <w:tcPr>
            <w:tcW w:w="3969" w:type="dxa"/>
          </w:tcPr>
          <w:p w:rsidR="00EA59A3" w:rsidRPr="00C0093E" w:rsidRDefault="00E97C46" w:rsidP="00E97C46">
            <w:pPr>
              <w:contextualSpacing/>
              <w:jc w:val="both"/>
              <w:rPr>
                <w:sz w:val="21"/>
                <w:szCs w:val="21"/>
              </w:rPr>
            </w:pPr>
            <w:r w:rsidRPr="00C0093E">
              <w:rPr>
                <w:sz w:val="21"/>
                <w:szCs w:val="21"/>
              </w:rPr>
              <w:t xml:space="preserve">2.1.5. Standusis diskas: turi būti Ne mažiau kaip 14 (keturiolika) vienetų (duomenų saugojimui) keičiamų neišjungus (angl. </w:t>
            </w:r>
            <w:proofErr w:type="spellStart"/>
            <w:r w:rsidRPr="00C0093E">
              <w:rPr>
                <w:sz w:val="21"/>
                <w:szCs w:val="21"/>
              </w:rPr>
              <w:t>Hotplug</w:t>
            </w:r>
            <w:proofErr w:type="spellEnd"/>
            <w:r w:rsidRPr="00C0093E">
              <w:rPr>
                <w:sz w:val="21"/>
                <w:szCs w:val="21"/>
              </w:rPr>
              <w:t xml:space="preserve">), kiekvienas ne mažesnės kaip 7.68 TB talpos SSD (angl. </w:t>
            </w:r>
            <w:proofErr w:type="spellStart"/>
            <w:r w:rsidRPr="00C0093E">
              <w:rPr>
                <w:sz w:val="21"/>
                <w:szCs w:val="21"/>
              </w:rPr>
              <w:t>Solid</w:t>
            </w:r>
            <w:proofErr w:type="spellEnd"/>
            <w:r w:rsidRPr="00C0093E">
              <w:rPr>
                <w:sz w:val="21"/>
                <w:szCs w:val="21"/>
              </w:rPr>
              <w:t xml:space="preserve"> </w:t>
            </w:r>
            <w:proofErr w:type="spellStart"/>
            <w:r w:rsidRPr="00C0093E">
              <w:rPr>
                <w:sz w:val="21"/>
                <w:szCs w:val="21"/>
              </w:rPr>
              <w:t>State</w:t>
            </w:r>
            <w:proofErr w:type="spellEnd"/>
            <w:r w:rsidRPr="00C0093E">
              <w:rPr>
                <w:sz w:val="21"/>
                <w:szCs w:val="21"/>
              </w:rPr>
              <w:t xml:space="preserve"> </w:t>
            </w:r>
            <w:proofErr w:type="spellStart"/>
            <w:r w:rsidRPr="00C0093E">
              <w:rPr>
                <w:sz w:val="21"/>
                <w:szCs w:val="21"/>
              </w:rPr>
              <w:t>Drive</w:t>
            </w:r>
            <w:proofErr w:type="spellEnd"/>
            <w:r w:rsidRPr="00C0093E">
              <w:rPr>
                <w:sz w:val="21"/>
                <w:szCs w:val="21"/>
              </w:rPr>
              <w:t xml:space="preserve">), </w:t>
            </w:r>
            <w:proofErr w:type="spellStart"/>
            <w:r w:rsidRPr="00C0093E">
              <w:rPr>
                <w:sz w:val="21"/>
                <w:szCs w:val="21"/>
              </w:rPr>
              <w:t>NVMe</w:t>
            </w:r>
            <w:proofErr w:type="spellEnd"/>
            <w:r w:rsidRPr="00C0093E">
              <w:rPr>
                <w:sz w:val="21"/>
                <w:szCs w:val="21"/>
              </w:rPr>
              <w:t xml:space="preserve"> Gen4 arba geresni.&lt;...&gt;</w:t>
            </w:r>
          </w:p>
        </w:tc>
        <w:tc>
          <w:tcPr>
            <w:tcW w:w="4394" w:type="dxa"/>
          </w:tcPr>
          <w:p w:rsidR="00EA59A3" w:rsidRPr="00C0093E" w:rsidRDefault="00E97C46" w:rsidP="00E97C46">
            <w:pPr>
              <w:contextualSpacing/>
              <w:jc w:val="both"/>
              <w:rPr>
                <w:sz w:val="21"/>
                <w:szCs w:val="21"/>
              </w:rPr>
            </w:pPr>
            <w:r w:rsidRPr="00C0093E">
              <w:rPr>
                <w:sz w:val="21"/>
                <w:szCs w:val="21"/>
              </w:rPr>
              <w:t xml:space="preserve">Prašome pakeisti šį reikalavimą arba papildyti: "turi būti Ne mažiau kaip 14 (keturiolika) vienetų (duomenų saugojimui) keičiamų neišjungus (angl. </w:t>
            </w:r>
            <w:proofErr w:type="spellStart"/>
            <w:r w:rsidRPr="00C0093E">
              <w:rPr>
                <w:sz w:val="21"/>
                <w:szCs w:val="21"/>
              </w:rPr>
              <w:t>Hotplug</w:t>
            </w:r>
            <w:proofErr w:type="spellEnd"/>
            <w:r w:rsidRPr="00C0093E">
              <w:rPr>
                <w:sz w:val="21"/>
                <w:szCs w:val="21"/>
              </w:rPr>
              <w:t xml:space="preserve">), kiekvienas ne mažesnės kaip 7.68 TB talpos SSD (angl. </w:t>
            </w:r>
            <w:proofErr w:type="spellStart"/>
            <w:r w:rsidRPr="00C0093E">
              <w:rPr>
                <w:sz w:val="21"/>
                <w:szCs w:val="21"/>
              </w:rPr>
              <w:t>Solid</w:t>
            </w:r>
            <w:proofErr w:type="spellEnd"/>
            <w:r w:rsidRPr="00C0093E">
              <w:rPr>
                <w:sz w:val="21"/>
                <w:szCs w:val="21"/>
              </w:rPr>
              <w:t xml:space="preserve"> </w:t>
            </w:r>
            <w:proofErr w:type="spellStart"/>
            <w:r w:rsidRPr="00C0093E">
              <w:rPr>
                <w:sz w:val="21"/>
                <w:szCs w:val="21"/>
              </w:rPr>
              <w:t>State</w:t>
            </w:r>
            <w:proofErr w:type="spellEnd"/>
            <w:r w:rsidRPr="00C0093E">
              <w:rPr>
                <w:sz w:val="21"/>
                <w:szCs w:val="21"/>
              </w:rPr>
              <w:t xml:space="preserve"> </w:t>
            </w:r>
            <w:proofErr w:type="spellStart"/>
            <w:r w:rsidRPr="00C0093E">
              <w:rPr>
                <w:sz w:val="21"/>
                <w:szCs w:val="21"/>
              </w:rPr>
              <w:t>Drive</w:t>
            </w:r>
            <w:proofErr w:type="spellEnd"/>
            <w:r w:rsidRPr="00C0093E">
              <w:rPr>
                <w:sz w:val="21"/>
                <w:szCs w:val="21"/>
              </w:rPr>
              <w:t xml:space="preserve">) arba Ne mažiau kaip 7 (septyni) vienetų (duomenų saugojimui) keičiamų neišjungus (angl. </w:t>
            </w:r>
            <w:proofErr w:type="spellStart"/>
            <w:r w:rsidRPr="00C0093E">
              <w:rPr>
                <w:sz w:val="21"/>
                <w:szCs w:val="21"/>
              </w:rPr>
              <w:t>Hotplug</w:t>
            </w:r>
            <w:proofErr w:type="spellEnd"/>
            <w:r w:rsidRPr="00C0093E">
              <w:rPr>
                <w:sz w:val="21"/>
                <w:szCs w:val="21"/>
              </w:rPr>
              <w:t xml:space="preserve">), kiekvienas ne mažesnės kaip 15.36 TB talpos SSD (angl. </w:t>
            </w:r>
            <w:proofErr w:type="spellStart"/>
            <w:r w:rsidRPr="00C0093E">
              <w:rPr>
                <w:sz w:val="21"/>
                <w:szCs w:val="21"/>
              </w:rPr>
              <w:t>Solid</w:t>
            </w:r>
            <w:proofErr w:type="spellEnd"/>
            <w:r w:rsidRPr="00C0093E">
              <w:rPr>
                <w:sz w:val="21"/>
                <w:szCs w:val="21"/>
              </w:rPr>
              <w:t xml:space="preserve"> </w:t>
            </w:r>
            <w:proofErr w:type="spellStart"/>
            <w:r w:rsidRPr="00C0093E">
              <w:rPr>
                <w:sz w:val="21"/>
                <w:szCs w:val="21"/>
              </w:rPr>
              <w:t>State</w:t>
            </w:r>
            <w:proofErr w:type="spellEnd"/>
            <w:r w:rsidRPr="00C0093E">
              <w:rPr>
                <w:sz w:val="21"/>
                <w:szCs w:val="21"/>
              </w:rPr>
              <w:t xml:space="preserve"> </w:t>
            </w:r>
            <w:proofErr w:type="spellStart"/>
            <w:r w:rsidRPr="00C0093E">
              <w:rPr>
                <w:sz w:val="21"/>
                <w:szCs w:val="21"/>
              </w:rPr>
              <w:t>Drive</w:t>
            </w:r>
            <w:proofErr w:type="spellEnd"/>
            <w:r w:rsidRPr="00C0093E">
              <w:rPr>
                <w:sz w:val="21"/>
                <w:szCs w:val="21"/>
              </w:rPr>
              <w:t xml:space="preserve">, </w:t>
            </w:r>
            <w:proofErr w:type="spellStart"/>
            <w:r w:rsidRPr="00C0093E">
              <w:rPr>
                <w:sz w:val="21"/>
                <w:szCs w:val="21"/>
              </w:rPr>
              <w:t>NVMe</w:t>
            </w:r>
            <w:proofErr w:type="spellEnd"/>
            <w:r w:rsidRPr="00C0093E">
              <w:rPr>
                <w:sz w:val="21"/>
                <w:szCs w:val="21"/>
              </w:rPr>
              <w:t xml:space="preserve"> Gen5 arba geresni". Šis prašymas grindžiamas tuo, kad perkančioji organizacija siekia įsigyti naujesnės kartos tarnybinę stotį su EPYC Gen5 procesoriais. Daugumos gerai žinomų gamintojų tarnybinės stotys su Gen5 EPYC procesoriais turi tik </w:t>
            </w:r>
            <w:proofErr w:type="spellStart"/>
            <w:r w:rsidRPr="00C0093E">
              <w:rPr>
                <w:sz w:val="21"/>
                <w:szCs w:val="21"/>
              </w:rPr>
              <w:t>NVMe</w:t>
            </w:r>
            <w:proofErr w:type="spellEnd"/>
            <w:r w:rsidRPr="00C0093E">
              <w:rPr>
                <w:sz w:val="21"/>
                <w:szCs w:val="21"/>
              </w:rPr>
              <w:t xml:space="preserve"> Gen5 tipo diskus. Tik HPE gamintojo tarnybinės stotys turi Gen4 ir Gen5 diskus su naujos kartos EPYC Gen5 procesoriais. Gen5 </w:t>
            </w:r>
            <w:proofErr w:type="spellStart"/>
            <w:r w:rsidRPr="00C0093E">
              <w:rPr>
                <w:sz w:val="21"/>
                <w:szCs w:val="21"/>
              </w:rPr>
              <w:t>NVMe</w:t>
            </w:r>
            <w:proofErr w:type="spellEnd"/>
            <w:r w:rsidRPr="00C0093E">
              <w:rPr>
                <w:sz w:val="21"/>
                <w:szCs w:val="21"/>
              </w:rPr>
              <w:t xml:space="preserve"> diskai yra kur kas greitesni už Gen4 diskus, o kaina neženkliai didesnė.</w:t>
            </w:r>
          </w:p>
        </w:tc>
        <w:tc>
          <w:tcPr>
            <w:tcW w:w="4394" w:type="dxa"/>
          </w:tcPr>
          <w:p w:rsidR="00B8112E" w:rsidRPr="00C0093E" w:rsidRDefault="00B8112E" w:rsidP="00B8112E">
            <w:pPr>
              <w:contextualSpacing/>
              <w:jc w:val="both"/>
              <w:rPr>
                <w:sz w:val="21"/>
                <w:szCs w:val="21"/>
              </w:rPr>
            </w:pPr>
            <w:r w:rsidRPr="00C0093E">
              <w:rPr>
                <w:sz w:val="21"/>
                <w:szCs w:val="21"/>
              </w:rPr>
              <w:t>Dėkojame už Jūsų pastabą. Informuojame, kad reikalavimo keisti nėra poreikio. Techninėje specifikacijoje aiškiai nurodyta: „</w:t>
            </w:r>
            <w:proofErr w:type="spellStart"/>
            <w:r w:rsidRPr="00C0093E">
              <w:rPr>
                <w:sz w:val="21"/>
                <w:szCs w:val="21"/>
              </w:rPr>
              <w:t>NVMe</w:t>
            </w:r>
            <w:proofErr w:type="spellEnd"/>
            <w:r w:rsidRPr="00C0093E">
              <w:rPr>
                <w:sz w:val="21"/>
                <w:szCs w:val="21"/>
              </w:rPr>
              <w:t xml:space="preserve"> Gen4 arba geresni“. Tai reiškia, kad tiekėjai gali siūlyti tiek </w:t>
            </w:r>
            <w:proofErr w:type="spellStart"/>
            <w:r w:rsidRPr="00C0093E">
              <w:rPr>
                <w:sz w:val="21"/>
                <w:szCs w:val="21"/>
              </w:rPr>
              <w:t>NVMe</w:t>
            </w:r>
            <w:proofErr w:type="spellEnd"/>
            <w:r w:rsidRPr="00C0093E">
              <w:rPr>
                <w:sz w:val="21"/>
                <w:szCs w:val="21"/>
              </w:rPr>
              <w:t xml:space="preserve"> Gen4, tiek ir naujesnius </w:t>
            </w:r>
            <w:proofErr w:type="spellStart"/>
            <w:r w:rsidRPr="00C0093E">
              <w:rPr>
                <w:sz w:val="21"/>
                <w:szCs w:val="21"/>
              </w:rPr>
              <w:t>NVMe</w:t>
            </w:r>
            <w:proofErr w:type="spellEnd"/>
            <w:r w:rsidRPr="00C0093E">
              <w:rPr>
                <w:sz w:val="21"/>
                <w:szCs w:val="21"/>
              </w:rPr>
              <w:t xml:space="preserve"> Gen5 diskus, jei tik jie atitinka kitus keliamus parametrus.</w:t>
            </w:r>
          </w:p>
          <w:p w:rsidR="00B8112E" w:rsidRPr="00C0093E" w:rsidRDefault="00B8112E" w:rsidP="00B8112E">
            <w:pPr>
              <w:contextualSpacing/>
              <w:jc w:val="both"/>
              <w:rPr>
                <w:sz w:val="21"/>
                <w:szCs w:val="21"/>
              </w:rPr>
            </w:pPr>
            <w:r w:rsidRPr="00C0093E">
              <w:rPr>
                <w:sz w:val="21"/>
                <w:szCs w:val="21"/>
              </w:rPr>
              <w:t>Papildomai pažymime, kad reikalavimas dėl minimalaus disko kiekio (14 vnt. po ne mažiau kaip 7.68 TB) nustatytas siekiant užtikrinti tiek reikiamą bendrą talpą, tiek tinkamą disko kiekį našumo užtikrinimui (paralelinis I/O paskirstymas). Mažesnis diskų skaičius (pvz., 7 vnt. po 15.36 TB) nors ir atitiktų talpos kriterijų, tačiau neatitiktų mūsų poreikių dėl našumo ir sistemos architektūros.</w:t>
            </w:r>
          </w:p>
          <w:p w:rsidR="00EA59A3" w:rsidRPr="00C0093E" w:rsidRDefault="00B8112E" w:rsidP="00B8112E">
            <w:pPr>
              <w:contextualSpacing/>
              <w:jc w:val="both"/>
              <w:rPr>
                <w:sz w:val="21"/>
                <w:szCs w:val="21"/>
              </w:rPr>
            </w:pPr>
            <w:r w:rsidRPr="00C0093E">
              <w:rPr>
                <w:sz w:val="21"/>
                <w:szCs w:val="21"/>
              </w:rPr>
              <w:t>Todėl reikalavimas nekeičiamas, tačiau jis jokiu būdu neriboja tiekėjų galimybės pasiūlyti naujesnės kartos (Gen5 ar geresnius) diskus.</w:t>
            </w:r>
          </w:p>
        </w:tc>
      </w:tr>
      <w:tr w:rsidR="00EA59A3" w:rsidRPr="00C0093E" w:rsidTr="00963C10">
        <w:tc>
          <w:tcPr>
            <w:tcW w:w="846" w:type="dxa"/>
          </w:tcPr>
          <w:p w:rsidR="00EA59A3" w:rsidRPr="00C0093E" w:rsidRDefault="00972CEA" w:rsidP="00972CEA">
            <w:pPr>
              <w:contextualSpacing/>
              <w:jc w:val="center"/>
              <w:rPr>
                <w:b/>
                <w:sz w:val="21"/>
                <w:szCs w:val="21"/>
              </w:rPr>
            </w:pPr>
            <w:r w:rsidRPr="00C0093E">
              <w:rPr>
                <w:b/>
                <w:sz w:val="21"/>
                <w:szCs w:val="21"/>
              </w:rPr>
              <w:t>3.</w:t>
            </w:r>
          </w:p>
        </w:tc>
        <w:tc>
          <w:tcPr>
            <w:tcW w:w="3969" w:type="dxa"/>
          </w:tcPr>
          <w:p w:rsidR="00EA59A3" w:rsidRPr="00C0093E" w:rsidRDefault="00512C00" w:rsidP="00512C00">
            <w:pPr>
              <w:contextualSpacing/>
              <w:jc w:val="both"/>
              <w:rPr>
                <w:sz w:val="21"/>
                <w:szCs w:val="21"/>
              </w:rPr>
            </w:pPr>
            <w:r w:rsidRPr="00C0093E">
              <w:rPr>
                <w:sz w:val="21"/>
                <w:szCs w:val="21"/>
              </w:rPr>
              <w:t>2.1.5. Standusis diskas: &lt;...&gt; turi būti galimybė praplėsti tarnybinės stoties konfigūraciją iki ne mažiau 24 (dvidešimt keturių) diskų, pridedant papildomus vidinius komponentus, tokius kaip diskų lentynėlės ar diskų valdikliai;</w:t>
            </w:r>
          </w:p>
        </w:tc>
        <w:tc>
          <w:tcPr>
            <w:tcW w:w="4394" w:type="dxa"/>
          </w:tcPr>
          <w:p w:rsidR="00EA59A3" w:rsidRPr="00C0093E" w:rsidRDefault="00512C00" w:rsidP="00512C00">
            <w:pPr>
              <w:contextualSpacing/>
              <w:jc w:val="both"/>
              <w:rPr>
                <w:sz w:val="21"/>
                <w:szCs w:val="21"/>
              </w:rPr>
            </w:pPr>
            <w:r w:rsidRPr="00C0093E">
              <w:rPr>
                <w:sz w:val="21"/>
                <w:szCs w:val="21"/>
              </w:rPr>
              <w:t xml:space="preserve">Prašome panaikinti šį reikalavimą, nes tik HPE gamintojo serveriai leidžia daryti </w:t>
            </w:r>
            <w:proofErr w:type="spellStart"/>
            <w:r w:rsidRPr="00C0093E">
              <w:rPr>
                <w:sz w:val="21"/>
                <w:szCs w:val="21"/>
              </w:rPr>
              <w:t>upgrade</w:t>
            </w:r>
            <w:proofErr w:type="spellEnd"/>
            <w:r w:rsidRPr="00C0093E">
              <w:rPr>
                <w:sz w:val="21"/>
                <w:szCs w:val="21"/>
              </w:rPr>
              <w:t xml:space="preserve"> </w:t>
            </w:r>
            <w:proofErr w:type="spellStart"/>
            <w:r w:rsidRPr="00C0093E">
              <w:rPr>
                <w:sz w:val="21"/>
                <w:szCs w:val="21"/>
              </w:rPr>
              <w:t>backplane</w:t>
            </w:r>
            <w:proofErr w:type="spellEnd"/>
            <w:r w:rsidRPr="00C0093E">
              <w:rPr>
                <w:sz w:val="21"/>
                <w:szCs w:val="21"/>
              </w:rPr>
              <w:t xml:space="preserve"> ir RAID valdikliui po jo įsigijimo. Gerai žinomų gamintojų tarnybinės stotys komplektuojamos su 8 arba 16 diskų </w:t>
            </w:r>
            <w:proofErr w:type="spellStart"/>
            <w:r w:rsidRPr="00C0093E">
              <w:rPr>
                <w:sz w:val="21"/>
                <w:szCs w:val="21"/>
              </w:rPr>
              <w:t>backplane</w:t>
            </w:r>
            <w:proofErr w:type="spellEnd"/>
            <w:r w:rsidRPr="00C0093E">
              <w:rPr>
                <w:sz w:val="21"/>
                <w:szCs w:val="21"/>
              </w:rPr>
              <w:t>. Šis reikalavimas riboja konkurenciją.</w:t>
            </w:r>
          </w:p>
        </w:tc>
        <w:tc>
          <w:tcPr>
            <w:tcW w:w="4394" w:type="dxa"/>
          </w:tcPr>
          <w:p w:rsidR="00B8112E" w:rsidRPr="00C0093E" w:rsidRDefault="00B8112E" w:rsidP="00B8112E">
            <w:pPr>
              <w:contextualSpacing/>
              <w:jc w:val="both"/>
              <w:rPr>
                <w:sz w:val="21"/>
                <w:szCs w:val="21"/>
              </w:rPr>
            </w:pPr>
            <w:r w:rsidRPr="00C0093E">
              <w:rPr>
                <w:sz w:val="21"/>
                <w:szCs w:val="21"/>
              </w:rPr>
              <w:t>Jūsų pastabą įvertinome, tačiau reikalavimo panaikinti negalime.</w:t>
            </w:r>
          </w:p>
          <w:p w:rsidR="00B8112E" w:rsidRPr="00C0093E" w:rsidRDefault="00B8112E" w:rsidP="00B8112E">
            <w:pPr>
              <w:contextualSpacing/>
              <w:jc w:val="both"/>
              <w:rPr>
                <w:sz w:val="21"/>
                <w:szCs w:val="21"/>
              </w:rPr>
            </w:pPr>
            <w:r w:rsidRPr="00C0093E">
              <w:rPr>
                <w:sz w:val="21"/>
                <w:szCs w:val="21"/>
              </w:rPr>
              <w:t>Reikalavimas dėl galimybės praplėsti tarnybinės stoties konfigūraciją iki ne mažiau kaip 24 diskų nėra susietas su konkrečiu gamintoju, todėl nekvalifikuoja kaip konkurencijos ribojimas.</w:t>
            </w:r>
          </w:p>
          <w:p w:rsidR="00B8112E" w:rsidRPr="00C0093E" w:rsidRDefault="00B8112E" w:rsidP="00B8112E">
            <w:pPr>
              <w:contextualSpacing/>
              <w:jc w:val="both"/>
              <w:rPr>
                <w:sz w:val="21"/>
                <w:szCs w:val="21"/>
              </w:rPr>
            </w:pPr>
            <w:r w:rsidRPr="00C0093E">
              <w:rPr>
                <w:sz w:val="21"/>
                <w:szCs w:val="21"/>
              </w:rPr>
              <w:lastRenderedPageBreak/>
              <w:t>Šis reikalavimas grindžiamas institucijos poreikiu turėti pakankamą duomenų saugyklos talpą bei užtikrinti galimybę plėsti sistemą ateityje, nedidinant eksploatacinių kaštų ir nekeičiat visos tarnybinės stoties.</w:t>
            </w:r>
          </w:p>
          <w:p w:rsidR="00EA59A3" w:rsidRPr="00C0093E" w:rsidRDefault="00B8112E" w:rsidP="00B8112E">
            <w:pPr>
              <w:contextualSpacing/>
              <w:jc w:val="both"/>
              <w:rPr>
                <w:sz w:val="21"/>
                <w:szCs w:val="21"/>
              </w:rPr>
            </w:pPr>
            <w:r w:rsidRPr="00C0093E">
              <w:rPr>
                <w:sz w:val="21"/>
                <w:szCs w:val="21"/>
              </w:rPr>
              <w:t xml:space="preserve">Kiekvienas gamintojas turi teisę pasiūlyti savo techninius sprendimus (pvz., skirtingas diskų lentynėles, </w:t>
            </w:r>
            <w:proofErr w:type="spellStart"/>
            <w:r w:rsidRPr="00C0093E">
              <w:rPr>
                <w:sz w:val="21"/>
                <w:szCs w:val="21"/>
              </w:rPr>
              <w:t>backplane</w:t>
            </w:r>
            <w:proofErr w:type="spellEnd"/>
            <w:r w:rsidRPr="00C0093E">
              <w:rPr>
                <w:sz w:val="21"/>
                <w:szCs w:val="21"/>
              </w:rPr>
              <w:t xml:space="preserve"> konfigūracijas ar RAID valdiklius), kurie užtikrina atitiktį minimaliam reikalavimui. Todėl šis reikalavimas neeliminuoja kitų gamintojų galimybės dalyvauti konkurse.</w:t>
            </w:r>
          </w:p>
        </w:tc>
      </w:tr>
      <w:tr w:rsidR="00190873" w:rsidRPr="00C0093E" w:rsidTr="00963C10">
        <w:tc>
          <w:tcPr>
            <w:tcW w:w="846" w:type="dxa"/>
          </w:tcPr>
          <w:p w:rsidR="00190873" w:rsidRPr="00C0093E" w:rsidRDefault="00190873" w:rsidP="00190873">
            <w:pPr>
              <w:contextualSpacing/>
              <w:jc w:val="center"/>
              <w:rPr>
                <w:b/>
                <w:sz w:val="21"/>
                <w:szCs w:val="21"/>
              </w:rPr>
            </w:pPr>
            <w:r w:rsidRPr="00C0093E">
              <w:rPr>
                <w:b/>
                <w:sz w:val="21"/>
                <w:szCs w:val="21"/>
              </w:rPr>
              <w:lastRenderedPageBreak/>
              <w:t>4.</w:t>
            </w:r>
          </w:p>
        </w:tc>
        <w:tc>
          <w:tcPr>
            <w:tcW w:w="3969" w:type="dxa"/>
          </w:tcPr>
          <w:p w:rsidR="00190873" w:rsidRPr="00C0093E" w:rsidRDefault="00190873" w:rsidP="00190873">
            <w:pPr>
              <w:contextualSpacing/>
              <w:jc w:val="both"/>
              <w:rPr>
                <w:sz w:val="21"/>
                <w:szCs w:val="21"/>
              </w:rPr>
            </w:pPr>
            <w:r w:rsidRPr="00C0093E">
              <w:rPr>
                <w:sz w:val="21"/>
                <w:szCs w:val="21"/>
              </w:rPr>
              <w:t xml:space="preserve">2.1.6. Duomenų diskų RAID valdiklis: aparatinis diskų kontroleris, ne prastesnis nei </w:t>
            </w:r>
            <w:proofErr w:type="spellStart"/>
            <w:r w:rsidRPr="00C0093E">
              <w:rPr>
                <w:sz w:val="21"/>
                <w:szCs w:val="21"/>
              </w:rPr>
              <w:t>NVMe</w:t>
            </w:r>
            <w:proofErr w:type="spellEnd"/>
            <w:r w:rsidRPr="00C0093E">
              <w:rPr>
                <w:sz w:val="21"/>
                <w:szCs w:val="21"/>
              </w:rPr>
              <w:t xml:space="preserve">, palaikantis ne mažiau16 </w:t>
            </w:r>
            <w:proofErr w:type="spellStart"/>
            <w:r w:rsidRPr="00C0093E">
              <w:rPr>
                <w:sz w:val="21"/>
                <w:szCs w:val="21"/>
              </w:rPr>
              <w:t>PCIe</w:t>
            </w:r>
            <w:proofErr w:type="spellEnd"/>
            <w:r w:rsidRPr="00C0093E">
              <w:rPr>
                <w:sz w:val="21"/>
                <w:szCs w:val="21"/>
              </w:rPr>
              <w:t xml:space="preserve"> kelius („</w:t>
            </w:r>
            <w:proofErr w:type="spellStart"/>
            <w:r w:rsidRPr="00C0093E">
              <w:rPr>
                <w:sz w:val="21"/>
                <w:szCs w:val="21"/>
              </w:rPr>
              <w:t>PCIe</w:t>
            </w:r>
            <w:proofErr w:type="spellEnd"/>
            <w:r w:rsidRPr="00C0093E">
              <w:rPr>
                <w:sz w:val="21"/>
                <w:szCs w:val="21"/>
              </w:rPr>
              <w:t xml:space="preserve"> </w:t>
            </w:r>
            <w:proofErr w:type="spellStart"/>
            <w:r w:rsidRPr="00C0093E">
              <w:rPr>
                <w:sz w:val="21"/>
                <w:szCs w:val="21"/>
              </w:rPr>
              <w:t>lanes</w:t>
            </w:r>
            <w:proofErr w:type="spellEnd"/>
            <w:r w:rsidRPr="00C0093E">
              <w:rPr>
                <w:sz w:val="21"/>
                <w:szCs w:val="21"/>
              </w:rPr>
              <w:t>“) diskų pajungimui; &lt;...&gt;</w:t>
            </w:r>
          </w:p>
        </w:tc>
        <w:tc>
          <w:tcPr>
            <w:tcW w:w="4394" w:type="dxa"/>
          </w:tcPr>
          <w:p w:rsidR="00190873" w:rsidRPr="00C0093E" w:rsidRDefault="00190873" w:rsidP="00190873">
            <w:pPr>
              <w:contextualSpacing/>
              <w:jc w:val="both"/>
              <w:rPr>
                <w:sz w:val="21"/>
                <w:szCs w:val="21"/>
              </w:rPr>
            </w:pPr>
            <w:r w:rsidRPr="00C0093E">
              <w:rPr>
                <w:sz w:val="21"/>
                <w:szCs w:val="21"/>
              </w:rPr>
              <w:t xml:space="preserve">kadangi visi įsigyjami 14 vnt. ar 7 vnt.  </w:t>
            </w:r>
            <w:proofErr w:type="spellStart"/>
            <w:r w:rsidRPr="00C0093E">
              <w:rPr>
                <w:sz w:val="21"/>
                <w:szCs w:val="21"/>
              </w:rPr>
              <w:t>NVMe</w:t>
            </w:r>
            <w:proofErr w:type="spellEnd"/>
            <w:r w:rsidRPr="00C0093E">
              <w:rPr>
                <w:sz w:val="21"/>
                <w:szCs w:val="21"/>
              </w:rPr>
              <w:t xml:space="preserve"> diskai bus jungiami prie RAID kontrolerio, tai RAID kontroleris bus lėčiausia visos diskinės I/O sistemos dalis. Esami reikalavimai RAID valdikliui leidžia siūlyti RAID valdiklius, kurie yra labai lėti ir negali išnaudoti </w:t>
            </w:r>
            <w:proofErr w:type="spellStart"/>
            <w:r w:rsidRPr="00C0093E">
              <w:rPr>
                <w:sz w:val="21"/>
                <w:szCs w:val="21"/>
              </w:rPr>
              <w:t>NVMe</w:t>
            </w:r>
            <w:proofErr w:type="spellEnd"/>
            <w:r w:rsidRPr="00C0093E">
              <w:rPr>
                <w:sz w:val="21"/>
                <w:szCs w:val="21"/>
              </w:rPr>
              <w:t xml:space="preserve"> diskų teikiamos greitaveikos. Kad tiekėjai pateiktų naujausius ir greičiausius RAID valdiklius, kurie išnaudotų maksimaliai tarnybinėje stotyje įdiegtų </w:t>
            </w:r>
            <w:proofErr w:type="spellStart"/>
            <w:r w:rsidRPr="00C0093E">
              <w:rPr>
                <w:sz w:val="21"/>
                <w:szCs w:val="21"/>
              </w:rPr>
              <w:t>NVMe</w:t>
            </w:r>
            <w:proofErr w:type="spellEnd"/>
            <w:r w:rsidRPr="00C0093E">
              <w:rPr>
                <w:sz w:val="21"/>
                <w:szCs w:val="21"/>
              </w:rPr>
              <w:t xml:space="preserve"> diskų kiekį ir greitaveiką, rekomenduojame pridėti papildomą reikalavimą į: "RAID valdiklis turi palaikyti 8 GT/s (</w:t>
            </w:r>
            <w:proofErr w:type="spellStart"/>
            <w:r w:rsidRPr="00C0093E">
              <w:rPr>
                <w:sz w:val="21"/>
                <w:szCs w:val="21"/>
              </w:rPr>
              <w:t>Gen</w:t>
            </w:r>
            <w:proofErr w:type="spellEnd"/>
            <w:r w:rsidRPr="00C0093E">
              <w:rPr>
                <w:sz w:val="21"/>
                <w:szCs w:val="21"/>
              </w:rPr>
              <w:t xml:space="preserve"> 3), 16 GT/s (</w:t>
            </w:r>
            <w:proofErr w:type="spellStart"/>
            <w:r w:rsidRPr="00C0093E">
              <w:rPr>
                <w:sz w:val="21"/>
                <w:szCs w:val="21"/>
              </w:rPr>
              <w:t>Gen</w:t>
            </w:r>
            <w:proofErr w:type="spellEnd"/>
            <w:r w:rsidRPr="00C0093E">
              <w:rPr>
                <w:sz w:val="21"/>
                <w:szCs w:val="21"/>
              </w:rPr>
              <w:t xml:space="preserve"> 4), SAS 22,5Gbps". Kaip pvz. HPE MR416i-p RAID valdiklis palaiko tik 240k IOPS RAID 5 </w:t>
            </w:r>
            <w:proofErr w:type="spellStart"/>
            <w:r w:rsidRPr="00C0093E">
              <w:rPr>
                <w:sz w:val="21"/>
                <w:szCs w:val="21"/>
              </w:rPr>
              <w:t>Write</w:t>
            </w:r>
            <w:proofErr w:type="spellEnd"/>
            <w:r w:rsidRPr="00C0093E">
              <w:rPr>
                <w:sz w:val="21"/>
                <w:szCs w:val="21"/>
              </w:rPr>
              <w:t xml:space="preserve"> IOPS, tačiau naujesnis SR932i palaiko 840K IOPS RAID 5 </w:t>
            </w:r>
            <w:proofErr w:type="spellStart"/>
            <w:r w:rsidRPr="00C0093E">
              <w:rPr>
                <w:sz w:val="21"/>
                <w:szCs w:val="21"/>
              </w:rPr>
              <w:t>Write</w:t>
            </w:r>
            <w:proofErr w:type="spellEnd"/>
            <w:r w:rsidRPr="00C0093E">
              <w:rPr>
                <w:sz w:val="21"/>
                <w:szCs w:val="21"/>
              </w:rPr>
              <w:t xml:space="preserve">, </w:t>
            </w:r>
            <w:proofErr w:type="spellStart"/>
            <w:r w:rsidRPr="00C0093E">
              <w:rPr>
                <w:sz w:val="21"/>
                <w:szCs w:val="21"/>
              </w:rPr>
              <w:t>t.y</w:t>
            </w:r>
            <w:proofErr w:type="spellEnd"/>
            <w:r w:rsidRPr="00C0093E">
              <w:rPr>
                <w:sz w:val="21"/>
                <w:szCs w:val="21"/>
              </w:rPr>
              <w:t xml:space="preserve">. daugiau kaip 3 kartus greitesnis. Tuo tarpu net vienas </w:t>
            </w:r>
            <w:proofErr w:type="spellStart"/>
            <w:r w:rsidRPr="00C0093E">
              <w:rPr>
                <w:sz w:val="21"/>
                <w:szCs w:val="21"/>
              </w:rPr>
              <w:t>NVMe</w:t>
            </w:r>
            <w:proofErr w:type="spellEnd"/>
            <w:r w:rsidRPr="00C0093E">
              <w:rPr>
                <w:sz w:val="21"/>
                <w:szCs w:val="21"/>
              </w:rPr>
              <w:t xml:space="preserve"> diskas pasiekia didesnę greitaveiką nei RAID valdiklis sugeba.</w:t>
            </w:r>
          </w:p>
        </w:tc>
        <w:tc>
          <w:tcPr>
            <w:tcW w:w="4394" w:type="dxa"/>
          </w:tcPr>
          <w:p w:rsidR="00190873" w:rsidRPr="00C0093E" w:rsidRDefault="00B30EAD" w:rsidP="00190873">
            <w:pPr>
              <w:contextualSpacing/>
              <w:jc w:val="both"/>
              <w:rPr>
                <w:sz w:val="21"/>
                <w:szCs w:val="21"/>
              </w:rPr>
            </w:pPr>
            <w:r w:rsidRPr="00C0093E">
              <w:rPr>
                <w:sz w:val="21"/>
                <w:szCs w:val="21"/>
              </w:rPr>
              <w:t>Kompiuterinių sistemų inžinierių ir administratorių siūlymu, šio papunkčio nuostata nebus keičiama ar tikslinama, nes ji suformuota pagal poreikius.</w:t>
            </w:r>
          </w:p>
        </w:tc>
      </w:tr>
    </w:tbl>
    <w:p w:rsidR="00EA59A3" w:rsidRPr="00C0093E" w:rsidRDefault="00EA59A3" w:rsidP="00EA59A3">
      <w:pPr>
        <w:spacing w:after="0" w:line="240" w:lineRule="auto"/>
        <w:contextualSpacing/>
        <w:rPr>
          <w:sz w:val="21"/>
          <w:szCs w:val="21"/>
        </w:rPr>
      </w:pPr>
    </w:p>
    <w:p w:rsidR="007431AD" w:rsidRPr="00C0093E" w:rsidRDefault="007431AD" w:rsidP="00EA59A3">
      <w:pPr>
        <w:spacing w:after="0" w:line="240" w:lineRule="auto"/>
        <w:contextualSpacing/>
        <w:rPr>
          <w:sz w:val="21"/>
          <w:szCs w:val="21"/>
        </w:rPr>
      </w:pPr>
    </w:p>
    <w:tbl>
      <w:tblPr>
        <w:tblStyle w:val="TableGrid"/>
        <w:tblW w:w="13603" w:type="dxa"/>
        <w:tblLook w:val="04A0" w:firstRow="1" w:lastRow="0" w:firstColumn="1" w:lastColumn="0" w:noHBand="0" w:noVBand="1"/>
      </w:tblPr>
      <w:tblGrid>
        <w:gridCol w:w="13603"/>
      </w:tblGrid>
      <w:tr w:rsidR="007431AD" w:rsidRPr="00C0093E" w:rsidTr="00AE51E1">
        <w:trPr>
          <w:trHeight w:val="50"/>
        </w:trPr>
        <w:tc>
          <w:tcPr>
            <w:tcW w:w="13603" w:type="dxa"/>
          </w:tcPr>
          <w:p w:rsidR="007431AD" w:rsidRPr="00C0093E" w:rsidRDefault="007431AD" w:rsidP="00AE51E1">
            <w:pPr>
              <w:contextualSpacing/>
              <w:jc w:val="center"/>
              <w:rPr>
                <w:b/>
                <w:sz w:val="21"/>
                <w:szCs w:val="21"/>
              </w:rPr>
            </w:pPr>
            <w:r w:rsidRPr="00C0093E">
              <w:rPr>
                <w:b/>
                <w:sz w:val="21"/>
                <w:szCs w:val="21"/>
              </w:rPr>
              <w:t>Sutarties specialiosios dalies nuostatos</w:t>
            </w:r>
          </w:p>
        </w:tc>
      </w:tr>
      <w:tr w:rsidR="007431AD" w:rsidRPr="00C0093E" w:rsidTr="00AE51E1">
        <w:tc>
          <w:tcPr>
            <w:tcW w:w="13603" w:type="dxa"/>
          </w:tcPr>
          <w:p w:rsidR="007431AD" w:rsidRPr="00C0093E" w:rsidRDefault="007431AD" w:rsidP="00AE51E1">
            <w:pPr>
              <w:contextualSpacing/>
              <w:jc w:val="both"/>
              <w:rPr>
                <w:b/>
                <w:sz w:val="21"/>
                <w:szCs w:val="21"/>
              </w:rPr>
            </w:pPr>
            <w:r w:rsidRPr="00C0093E">
              <w:rPr>
                <w:b/>
                <w:sz w:val="21"/>
                <w:szCs w:val="21"/>
              </w:rPr>
              <w:t>6.2. Garantinė priežiūra</w:t>
            </w:r>
          </w:p>
          <w:p w:rsidR="007431AD" w:rsidRPr="00C0093E" w:rsidRDefault="007431AD" w:rsidP="00AE51E1">
            <w:pPr>
              <w:contextualSpacing/>
              <w:jc w:val="both"/>
              <w:rPr>
                <w:sz w:val="21"/>
                <w:szCs w:val="21"/>
              </w:rPr>
            </w:pPr>
            <w:r w:rsidRPr="00C0093E">
              <w:rPr>
                <w:b/>
                <w:sz w:val="21"/>
                <w:szCs w:val="21"/>
              </w:rPr>
              <w:t>(patikslinta)</w:t>
            </w:r>
            <w:r w:rsidRPr="00C0093E">
              <w:rPr>
                <w:sz w:val="21"/>
                <w:szCs w:val="21"/>
              </w:rPr>
              <w:t xml:space="preserve"> Garantinio termino laikotarpiu nustačius Prekių trūkumų, Tiekėjas turi ne vėliau kaip per 30 (trisdešimt) dienų nuo rašytinės pretenzijos gavimo dienos pašalinti Prekių trūkumus. </w:t>
            </w:r>
          </w:p>
          <w:p w:rsidR="007431AD" w:rsidRPr="00C0093E" w:rsidRDefault="007431AD" w:rsidP="00AE51E1">
            <w:pPr>
              <w:contextualSpacing/>
              <w:jc w:val="both"/>
              <w:rPr>
                <w:sz w:val="21"/>
                <w:szCs w:val="21"/>
              </w:rPr>
            </w:pPr>
            <w:r w:rsidRPr="00C0093E">
              <w:rPr>
                <w:sz w:val="21"/>
                <w:szCs w:val="21"/>
              </w:rPr>
              <w:t>Prekės (dalių / priedų) ir jos įrangos garantinis remontas turi būti atliekamas tik Prekių gamintojo sertifikuotuose techninės priežiūros centruose.</w:t>
            </w:r>
          </w:p>
          <w:p w:rsidR="007431AD" w:rsidRPr="00C0093E" w:rsidRDefault="007431AD" w:rsidP="00AE51E1">
            <w:pPr>
              <w:contextualSpacing/>
              <w:jc w:val="both"/>
              <w:rPr>
                <w:sz w:val="21"/>
                <w:szCs w:val="21"/>
              </w:rPr>
            </w:pPr>
            <w:r w:rsidRPr="00C0093E">
              <w:rPr>
                <w:sz w:val="21"/>
                <w:szCs w:val="21"/>
              </w:rPr>
              <w:t>(atsiakyta) Prekių įrangos tiekėjas (jei jis nėra gamintojas) turi būti įgaliotas gamintojo dėl priežiūros arba sudaręs susitarimą su tokią teisę turinčiais subjektais. Garantiniu laikotarpiu Tiekėjas privalo atlikti garantinį aptarnavimą savo lėšomis, įskaitant transportavimo išlaidas.</w:t>
            </w:r>
          </w:p>
          <w:p w:rsidR="007431AD" w:rsidRPr="00C0093E" w:rsidRDefault="007431AD" w:rsidP="00AE51E1">
            <w:pPr>
              <w:contextualSpacing/>
              <w:jc w:val="both"/>
              <w:rPr>
                <w:sz w:val="21"/>
                <w:szCs w:val="21"/>
              </w:rPr>
            </w:pPr>
          </w:p>
          <w:p w:rsidR="007431AD" w:rsidRPr="00C0093E" w:rsidRDefault="007431AD" w:rsidP="00AE51E1">
            <w:pPr>
              <w:contextualSpacing/>
              <w:jc w:val="both"/>
              <w:rPr>
                <w:b/>
                <w:sz w:val="21"/>
                <w:szCs w:val="21"/>
              </w:rPr>
            </w:pPr>
            <w:r w:rsidRPr="00C0093E">
              <w:rPr>
                <w:b/>
                <w:sz w:val="21"/>
                <w:szCs w:val="21"/>
              </w:rPr>
              <w:lastRenderedPageBreak/>
              <w:t>9. Šalių atsakomybė</w:t>
            </w:r>
          </w:p>
          <w:p w:rsidR="007431AD" w:rsidRPr="00C0093E" w:rsidRDefault="007431AD" w:rsidP="00AE51E1">
            <w:pPr>
              <w:contextualSpacing/>
              <w:jc w:val="both"/>
              <w:rPr>
                <w:b/>
                <w:sz w:val="21"/>
                <w:szCs w:val="21"/>
              </w:rPr>
            </w:pPr>
            <w:r w:rsidRPr="00C0093E">
              <w:rPr>
                <w:b/>
                <w:sz w:val="21"/>
                <w:szCs w:val="21"/>
              </w:rPr>
              <w:t>Netesybose padidinta:</w:t>
            </w:r>
          </w:p>
          <w:p w:rsidR="007431AD" w:rsidRPr="00C0093E" w:rsidRDefault="007431AD" w:rsidP="00AE51E1">
            <w:pPr>
              <w:contextualSpacing/>
              <w:jc w:val="both"/>
              <w:rPr>
                <w:sz w:val="21"/>
                <w:szCs w:val="21"/>
              </w:rPr>
            </w:pPr>
            <w:r w:rsidRPr="00C0093E">
              <w:rPr>
                <w:sz w:val="21"/>
                <w:szCs w:val="21"/>
              </w:rPr>
              <w:t>- delspinigių dydžiai nuo 0,02 % iki 0,05 %;</w:t>
            </w:r>
          </w:p>
          <w:p w:rsidR="007431AD" w:rsidRPr="00C0093E" w:rsidRDefault="007431AD" w:rsidP="00AE51E1">
            <w:pPr>
              <w:contextualSpacing/>
              <w:jc w:val="both"/>
              <w:rPr>
                <w:sz w:val="21"/>
                <w:szCs w:val="21"/>
              </w:rPr>
            </w:pPr>
            <w:r w:rsidRPr="00C0093E">
              <w:rPr>
                <w:sz w:val="21"/>
                <w:szCs w:val="21"/>
              </w:rPr>
              <w:t>- baudų procentai nuo 1 % iki 10 %.</w:t>
            </w:r>
          </w:p>
          <w:p w:rsidR="007431AD" w:rsidRPr="00C0093E" w:rsidRDefault="007431AD" w:rsidP="00AE51E1">
            <w:pPr>
              <w:contextualSpacing/>
              <w:jc w:val="both"/>
              <w:rPr>
                <w:b/>
                <w:sz w:val="21"/>
                <w:szCs w:val="21"/>
              </w:rPr>
            </w:pPr>
            <w:r w:rsidRPr="00C0093E">
              <w:rPr>
                <w:b/>
                <w:sz w:val="21"/>
                <w:szCs w:val="21"/>
              </w:rPr>
              <w:t>9.11.</w:t>
            </w:r>
          </w:p>
          <w:p w:rsidR="007431AD" w:rsidRPr="00C0093E" w:rsidRDefault="007431AD" w:rsidP="00AE51E1">
            <w:pPr>
              <w:contextualSpacing/>
              <w:jc w:val="both"/>
              <w:rPr>
                <w:sz w:val="21"/>
                <w:szCs w:val="21"/>
              </w:rPr>
            </w:pPr>
            <w:r w:rsidRPr="00C0093E">
              <w:rPr>
                <w:b/>
                <w:sz w:val="21"/>
                <w:szCs w:val="21"/>
              </w:rPr>
              <w:t>(nauja kibernetinės saugos nuostata)</w:t>
            </w:r>
            <w:r w:rsidRPr="00C0093E">
              <w:rPr>
                <w:sz w:val="21"/>
                <w:szCs w:val="21"/>
              </w:rPr>
              <w:t xml:space="preserve"> Tiekėjas turi laikytis konkrečių Ypatingos svarbos informacinės infrastruktūros (toliau – YSII) ar Krašto apsaugos sistemos (toliau – KAS) ryšių ir informacinės sistemos, kuri skirta valstybės saugumo ir gynybos tikslams (toliau – KAS RIS), saugos dokumentų ir (ar) vadovautis teisės aktais, reglamentuojančiais YSII ar KAS RIS kibernetinį saugumą, incidentų valdymo reikalavimus (ypač reagavimo į incidentus, sutrikimų ir gedimų ištaisymo reikalavimus).</w:t>
            </w:r>
          </w:p>
          <w:p w:rsidR="007431AD" w:rsidRPr="00C0093E" w:rsidRDefault="007431AD" w:rsidP="00AE51E1">
            <w:pPr>
              <w:contextualSpacing/>
              <w:jc w:val="both"/>
              <w:rPr>
                <w:sz w:val="21"/>
                <w:szCs w:val="21"/>
              </w:rPr>
            </w:pPr>
            <w:r w:rsidRPr="00C0093E">
              <w:rPr>
                <w:sz w:val="21"/>
                <w:szCs w:val="21"/>
              </w:rPr>
              <w:t>Tiekėjas įsipareigoja pranešti Pirkėjui apie visus didelius ir (ar) kitus incidentus, susijusius su Pirkėjo ir informacinėmis sistemomis, kai tik Tiekėjas sužino apie incidentą, ir pateikti Pirkėjui atstovui kibernetinio incidento tyrimo ataskaitą.</w:t>
            </w:r>
          </w:p>
          <w:p w:rsidR="007431AD" w:rsidRPr="00C0093E" w:rsidRDefault="007431AD" w:rsidP="00AE51E1">
            <w:pPr>
              <w:contextualSpacing/>
              <w:jc w:val="both"/>
              <w:rPr>
                <w:sz w:val="21"/>
                <w:szCs w:val="21"/>
              </w:rPr>
            </w:pPr>
            <w:r w:rsidRPr="00C0093E">
              <w:rPr>
                <w:sz w:val="21"/>
                <w:szCs w:val="21"/>
              </w:rPr>
              <w:t>Pirkėjas arba jos įgalioti paslaugų teikėjai turi teisę atlikti tiekėjo atitikties kibernetinio saugumo reikalavimams auditą (įskaitant neplaninį), o Tiekėjas įsipareigoja sudaryti sąlygas tokiam auditui atlikti sutarties vykdymo laikotarpiu ar įvykus dideliam incidentui.</w:t>
            </w:r>
          </w:p>
          <w:p w:rsidR="007431AD" w:rsidRPr="00C0093E" w:rsidRDefault="007431AD" w:rsidP="00AE51E1">
            <w:pPr>
              <w:contextualSpacing/>
              <w:jc w:val="both"/>
              <w:rPr>
                <w:sz w:val="21"/>
                <w:szCs w:val="21"/>
              </w:rPr>
            </w:pPr>
          </w:p>
          <w:p w:rsidR="007431AD" w:rsidRPr="00C0093E" w:rsidRDefault="007431AD" w:rsidP="00AE51E1">
            <w:pPr>
              <w:contextualSpacing/>
              <w:jc w:val="both"/>
              <w:rPr>
                <w:b/>
                <w:sz w:val="21"/>
                <w:szCs w:val="21"/>
              </w:rPr>
            </w:pPr>
            <w:r w:rsidRPr="00C0093E">
              <w:rPr>
                <w:b/>
                <w:sz w:val="21"/>
                <w:szCs w:val="21"/>
              </w:rPr>
              <w:t>10. Esminės sutarties sąlygos</w:t>
            </w:r>
          </w:p>
          <w:p w:rsidR="007431AD" w:rsidRPr="00C0093E" w:rsidRDefault="007431AD" w:rsidP="00AE51E1">
            <w:pPr>
              <w:contextualSpacing/>
              <w:jc w:val="both"/>
              <w:rPr>
                <w:sz w:val="21"/>
                <w:szCs w:val="21"/>
              </w:rPr>
            </w:pPr>
            <w:r w:rsidRPr="00C0093E">
              <w:rPr>
                <w:b/>
                <w:sz w:val="21"/>
                <w:szCs w:val="21"/>
              </w:rPr>
              <w:t>(patikslinta)</w:t>
            </w:r>
            <w:r w:rsidRPr="00C0093E">
              <w:rPr>
                <w:sz w:val="21"/>
                <w:szCs w:val="21"/>
              </w:rPr>
              <w:t xml:space="preserve"> </w:t>
            </w:r>
            <w:r w:rsidRPr="00C0093E">
              <w:rPr>
                <w:b/>
                <w:sz w:val="21"/>
                <w:szCs w:val="21"/>
              </w:rPr>
              <w:t xml:space="preserve">10.1.1. </w:t>
            </w:r>
            <w:r w:rsidRPr="00C0093E">
              <w:rPr>
                <w:sz w:val="21"/>
                <w:szCs w:val="21"/>
              </w:rPr>
              <w:t>Specialiųjų sąlygų 4.1 punkte nustatytas terminas.</w:t>
            </w:r>
          </w:p>
          <w:p w:rsidR="007431AD" w:rsidRPr="00C0093E" w:rsidRDefault="007431AD" w:rsidP="00AE51E1">
            <w:pPr>
              <w:contextualSpacing/>
              <w:jc w:val="both"/>
              <w:rPr>
                <w:sz w:val="21"/>
                <w:szCs w:val="21"/>
              </w:rPr>
            </w:pPr>
            <w:r w:rsidRPr="00C0093E">
              <w:rPr>
                <w:sz w:val="21"/>
                <w:szCs w:val="21"/>
              </w:rPr>
              <w:t>(papildyta nauja nuostata) 10.1.2. aplinkybių, atitinkančių bent vieną iš VPĮ 45 straipsnio 2</w:t>
            </w:r>
            <w:r w:rsidRPr="00C0093E">
              <w:rPr>
                <w:sz w:val="21"/>
                <w:szCs w:val="21"/>
                <w:vertAlign w:val="superscript"/>
              </w:rPr>
              <w:t>1</w:t>
            </w:r>
            <w:r w:rsidRPr="00C0093E">
              <w:rPr>
                <w:sz w:val="21"/>
                <w:szCs w:val="21"/>
              </w:rPr>
              <w:t xml:space="preserve"> dalyje išvardintų sąlygų nebuvimas.</w:t>
            </w:r>
          </w:p>
          <w:p w:rsidR="007431AD" w:rsidRPr="00C0093E" w:rsidRDefault="007431AD" w:rsidP="00AE51E1">
            <w:pPr>
              <w:contextualSpacing/>
              <w:jc w:val="both"/>
              <w:rPr>
                <w:sz w:val="21"/>
                <w:szCs w:val="21"/>
              </w:rPr>
            </w:pPr>
            <w:r w:rsidRPr="00C0093E">
              <w:rPr>
                <w:b/>
                <w:sz w:val="21"/>
                <w:szCs w:val="21"/>
              </w:rPr>
              <w:t xml:space="preserve">10.2. </w:t>
            </w:r>
            <w:r w:rsidRPr="00C0093E">
              <w:rPr>
                <w:sz w:val="21"/>
                <w:szCs w:val="21"/>
              </w:rPr>
              <w:t>Dideli arba nuolatiniai esminės Sutarties sąlygos vykdymo trūkumai (papildyta naujomis nuostatomis)</w:t>
            </w:r>
          </w:p>
          <w:p w:rsidR="007431AD" w:rsidRPr="00C0093E" w:rsidRDefault="007431AD" w:rsidP="00AE51E1">
            <w:pPr>
              <w:contextualSpacing/>
              <w:jc w:val="both"/>
              <w:rPr>
                <w:sz w:val="21"/>
                <w:szCs w:val="21"/>
              </w:rPr>
            </w:pPr>
            <w:r w:rsidRPr="00C0093E">
              <w:rPr>
                <w:b/>
                <w:sz w:val="21"/>
                <w:szCs w:val="21"/>
              </w:rPr>
              <w:t>10.2.2.</w:t>
            </w:r>
            <w:r w:rsidRPr="00C0093E">
              <w:rPr>
                <w:sz w:val="21"/>
                <w:szCs w:val="21"/>
              </w:rPr>
              <w:t xml:space="preserve"> Paaiškėja, kad yra aplinkybė, atitinkanti bent vieną iš VPĮ 45 straipsnio 2</w:t>
            </w:r>
            <w:r w:rsidRPr="00C0093E">
              <w:rPr>
                <w:sz w:val="21"/>
                <w:szCs w:val="21"/>
                <w:vertAlign w:val="superscript"/>
              </w:rPr>
              <w:t>1</w:t>
            </w:r>
            <w:r w:rsidRPr="00C0093E">
              <w:rPr>
                <w:sz w:val="21"/>
                <w:szCs w:val="21"/>
              </w:rPr>
              <w:t xml:space="preserve"> dalyje išvardintų sąlygų.</w:t>
            </w:r>
          </w:p>
          <w:p w:rsidR="007431AD" w:rsidRPr="00C0093E" w:rsidRDefault="007431AD" w:rsidP="00AE51E1">
            <w:pPr>
              <w:contextualSpacing/>
              <w:jc w:val="both"/>
              <w:rPr>
                <w:sz w:val="21"/>
                <w:szCs w:val="21"/>
              </w:rPr>
            </w:pPr>
            <w:r w:rsidRPr="00C0093E">
              <w:rPr>
                <w:b/>
                <w:sz w:val="21"/>
                <w:szCs w:val="21"/>
              </w:rPr>
              <w:t>10.2.3.</w:t>
            </w:r>
            <w:r w:rsidRPr="00C0093E">
              <w:rPr>
                <w:sz w:val="21"/>
                <w:szCs w:val="21"/>
              </w:rPr>
              <w:t xml:space="preserve"> Tiekėjas per 10 (dešimt) darbo dienų nuo prašymo gavimo dienos iš Pirkėjo nepateikia prašomų dokumentų nurodytus VPĮ 51 straipsnio 12 dalyje, kad nėra sąlygų, numatytų VPĮ 45 straipsnio 2</w:t>
            </w:r>
            <w:r w:rsidRPr="00C0093E">
              <w:rPr>
                <w:sz w:val="21"/>
                <w:szCs w:val="21"/>
                <w:vertAlign w:val="superscript"/>
              </w:rPr>
              <w:t>1</w:t>
            </w:r>
            <w:r w:rsidRPr="00C0093E">
              <w:rPr>
                <w:sz w:val="21"/>
                <w:szCs w:val="21"/>
              </w:rPr>
              <w:t xml:space="preserve"> dalyje.</w:t>
            </w:r>
          </w:p>
          <w:p w:rsidR="007431AD" w:rsidRPr="00C0093E" w:rsidRDefault="007431AD" w:rsidP="00AE51E1">
            <w:pPr>
              <w:contextualSpacing/>
              <w:jc w:val="both"/>
              <w:rPr>
                <w:sz w:val="21"/>
                <w:szCs w:val="21"/>
              </w:rPr>
            </w:pPr>
          </w:p>
          <w:p w:rsidR="007431AD" w:rsidRPr="00C0093E" w:rsidRDefault="007431AD" w:rsidP="00AE51E1">
            <w:pPr>
              <w:contextualSpacing/>
              <w:jc w:val="both"/>
              <w:rPr>
                <w:sz w:val="21"/>
                <w:szCs w:val="21"/>
              </w:rPr>
            </w:pPr>
            <w:r w:rsidRPr="00C0093E">
              <w:rPr>
                <w:b/>
                <w:sz w:val="21"/>
                <w:szCs w:val="21"/>
              </w:rPr>
              <w:t>11.1.</w:t>
            </w:r>
            <w:r w:rsidRPr="00C0093E">
              <w:rPr>
                <w:sz w:val="21"/>
                <w:szCs w:val="21"/>
              </w:rPr>
              <w:t xml:space="preserve"> Pačios sutarties terminas sumažintas iš 36 mėnesių į 3 mėnesius, bet paliekant ne mažesnį kaip 36 mėnesių terminą garantiniams įsipareigojimams.</w:t>
            </w:r>
          </w:p>
          <w:p w:rsidR="007431AD" w:rsidRPr="00C0093E" w:rsidRDefault="007431AD" w:rsidP="00AE51E1">
            <w:pPr>
              <w:contextualSpacing/>
              <w:jc w:val="both"/>
              <w:rPr>
                <w:sz w:val="21"/>
                <w:szCs w:val="21"/>
              </w:rPr>
            </w:pPr>
            <w:r w:rsidRPr="00C0093E">
              <w:rPr>
                <w:sz w:val="21"/>
                <w:szCs w:val="21"/>
              </w:rPr>
              <w:t>Pasibaigus Sutarties terminui, lieka galioti Bendrųjų sąlygų 7 skyrius ir Specialiųjų sąlygų 6 skyriaus nuostatos garantinio laikotarpio metu.</w:t>
            </w:r>
          </w:p>
          <w:p w:rsidR="007431AD" w:rsidRPr="00C0093E" w:rsidRDefault="007431AD" w:rsidP="00AE51E1">
            <w:pPr>
              <w:contextualSpacing/>
              <w:jc w:val="both"/>
              <w:rPr>
                <w:sz w:val="21"/>
                <w:szCs w:val="21"/>
              </w:rPr>
            </w:pPr>
            <w:r w:rsidRPr="00C0093E">
              <w:rPr>
                <w:sz w:val="21"/>
                <w:szCs w:val="21"/>
              </w:rPr>
              <w:t xml:space="preserve">Prekių pristatymo terminas nekeistas </w:t>
            </w:r>
            <w:r w:rsidR="006D3D7F" w:rsidRPr="00C0093E">
              <w:rPr>
                <w:sz w:val="21"/>
                <w:szCs w:val="21"/>
              </w:rPr>
              <w:t>–</w:t>
            </w:r>
            <w:r w:rsidRPr="00C0093E">
              <w:rPr>
                <w:sz w:val="21"/>
                <w:szCs w:val="21"/>
              </w:rPr>
              <w:t xml:space="preserve"> 1 mėnuo (4.1).</w:t>
            </w:r>
          </w:p>
          <w:p w:rsidR="007431AD" w:rsidRPr="00C0093E" w:rsidRDefault="007431AD" w:rsidP="00AE51E1">
            <w:pPr>
              <w:contextualSpacing/>
              <w:jc w:val="both"/>
              <w:rPr>
                <w:sz w:val="21"/>
                <w:szCs w:val="21"/>
              </w:rPr>
            </w:pPr>
          </w:p>
          <w:p w:rsidR="007431AD" w:rsidRPr="00C0093E" w:rsidRDefault="007431AD" w:rsidP="00AE51E1">
            <w:pPr>
              <w:contextualSpacing/>
              <w:jc w:val="both"/>
              <w:rPr>
                <w:b/>
                <w:sz w:val="21"/>
                <w:szCs w:val="21"/>
              </w:rPr>
            </w:pPr>
            <w:r w:rsidRPr="00C0093E">
              <w:rPr>
                <w:b/>
                <w:sz w:val="21"/>
                <w:szCs w:val="21"/>
              </w:rPr>
              <w:t>12.1. Esminiai Sutarties pažeidimai</w:t>
            </w:r>
          </w:p>
          <w:p w:rsidR="007431AD" w:rsidRPr="00C0093E" w:rsidRDefault="007431AD" w:rsidP="00AE51E1">
            <w:pPr>
              <w:contextualSpacing/>
              <w:jc w:val="both"/>
              <w:rPr>
                <w:sz w:val="21"/>
                <w:szCs w:val="21"/>
              </w:rPr>
            </w:pPr>
            <w:r w:rsidRPr="00C0093E">
              <w:rPr>
                <w:b/>
                <w:sz w:val="21"/>
                <w:szCs w:val="21"/>
              </w:rPr>
              <w:t>12.2.6.</w:t>
            </w:r>
            <w:r w:rsidRPr="00C0093E">
              <w:rPr>
                <w:sz w:val="21"/>
                <w:szCs w:val="21"/>
              </w:rPr>
              <w:t xml:space="preserve"> pataisymas, kad Tiekėjas užtenka ne du kartus, o tik vieną kartą pažeisti esminę Sutarties sąlygą ir tai bus laikomas esminiu Sutarties pažeidimu.</w:t>
            </w:r>
          </w:p>
          <w:p w:rsidR="007431AD" w:rsidRPr="00C0093E" w:rsidRDefault="007431AD" w:rsidP="00AE51E1">
            <w:pPr>
              <w:contextualSpacing/>
              <w:jc w:val="both"/>
              <w:rPr>
                <w:sz w:val="21"/>
                <w:szCs w:val="21"/>
              </w:rPr>
            </w:pPr>
            <w:r w:rsidRPr="00C0093E">
              <w:rPr>
                <w:sz w:val="21"/>
                <w:szCs w:val="21"/>
              </w:rPr>
              <w:t>(nauja nuostata atsižvelgiant į ministerijos rekomendacijas) 12.2.12. Įsiteisėja teismo apkaltinamasis nuosprendis baudžiamojoje byloje Tiekėjui ir (arba) Tiekėjo vadovui,  ir (arba) Tiekėjo valdymo organų nariui, ir (arba) Tiekėjo darbuotojui, kuris Sutartyje nurodytas kaip atsakingas už Sutarties vykdymą, dėl VPĮ 46 straipsnio 1 dalyje nustatytų nusikalstamų veikų.</w:t>
            </w:r>
          </w:p>
        </w:tc>
      </w:tr>
    </w:tbl>
    <w:p w:rsidR="007431AD" w:rsidRPr="00C0093E" w:rsidRDefault="007431AD" w:rsidP="00EA59A3">
      <w:pPr>
        <w:spacing w:after="0" w:line="240" w:lineRule="auto"/>
        <w:contextualSpacing/>
        <w:rPr>
          <w:sz w:val="21"/>
          <w:szCs w:val="21"/>
        </w:rPr>
      </w:pPr>
    </w:p>
    <w:p w:rsidR="00EA59A3" w:rsidRPr="00C0093E" w:rsidRDefault="000D6D17" w:rsidP="000D6D17">
      <w:pPr>
        <w:spacing w:after="0" w:line="240" w:lineRule="auto"/>
        <w:contextualSpacing/>
        <w:jc w:val="center"/>
        <w:rPr>
          <w:sz w:val="21"/>
          <w:szCs w:val="21"/>
        </w:rPr>
      </w:pPr>
      <w:r w:rsidRPr="00C0093E">
        <w:rPr>
          <w:sz w:val="21"/>
          <w:szCs w:val="21"/>
        </w:rPr>
        <w:t>______________</w:t>
      </w:r>
      <w:r w:rsidR="00190873" w:rsidRPr="00C0093E">
        <w:rPr>
          <w:sz w:val="21"/>
          <w:szCs w:val="21"/>
        </w:rPr>
        <w:t>__</w:t>
      </w:r>
    </w:p>
    <w:bookmarkEnd w:id="0"/>
    <w:p w:rsidR="00EA59A3" w:rsidRPr="00C0093E" w:rsidRDefault="00EA59A3" w:rsidP="00EA59A3">
      <w:pPr>
        <w:spacing w:after="0" w:line="240" w:lineRule="auto"/>
        <w:contextualSpacing/>
        <w:rPr>
          <w:sz w:val="21"/>
          <w:szCs w:val="21"/>
        </w:rPr>
      </w:pPr>
    </w:p>
    <w:sectPr w:rsidR="00EA59A3" w:rsidRPr="00C0093E" w:rsidSect="00EA59A3">
      <w:pgSz w:w="15840" w:h="12240" w:orient="landscape"/>
      <w:pgMar w:top="1418"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9A3"/>
    <w:rsid w:val="000D6D17"/>
    <w:rsid w:val="00190873"/>
    <w:rsid w:val="00512C00"/>
    <w:rsid w:val="00535D45"/>
    <w:rsid w:val="006D3D7F"/>
    <w:rsid w:val="007431AD"/>
    <w:rsid w:val="00843EF1"/>
    <w:rsid w:val="00916FD2"/>
    <w:rsid w:val="00963C10"/>
    <w:rsid w:val="00972CEA"/>
    <w:rsid w:val="00B30EAD"/>
    <w:rsid w:val="00B8112E"/>
    <w:rsid w:val="00C0093E"/>
    <w:rsid w:val="00E97C46"/>
    <w:rsid w:val="00EA59A3"/>
    <w:rsid w:val="00FF6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C123D8-05FF-457D-9927-5685760B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5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53720-818D-4524-9B9E-915A8624D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5408</Words>
  <Characters>3083</Characters>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2025-09-11T05:15:00Z</dcterms:created>
  <dcterms:modified xsi:type="dcterms:W3CDTF">2025-09-11T09:54:00Z</dcterms:modified>
</cp:coreProperties>
</file>