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30B1" w14:textId="312C9F2B" w:rsidR="00BD3E03" w:rsidRDefault="00BD3E03" w:rsidP="00BD3E03">
      <w:pPr>
        <w:jc w:val="both"/>
      </w:pPr>
      <w:r>
        <w:t>Tiekėjams                                                                                                                           2025-0</w:t>
      </w:r>
      <w:r w:rsidR="000F0C5D">
        <w:t>9</w:t>
      </w:r>
      <w:r>
        <w:t>-</w:t>
      </w:r>
      <w:r w:rsidR="000F0C5D">
        <w:t>11</w:t>
      </w:r>
    </w:p>
    <w:p w14:paraId="6B96F15B" w14:textId="77777777" w:rsidR="00BD3E03" w:rsidRDefault="00BD3E03" w:rsidP="003716B4">
      <w:pPr>
        <w:ind w:firstLine="709"/>
        <w:jc w:val="both"/>
      </w:pPr>
    </w:p>
    <w:p w14:paraId="4B745F28" w14:textId="4A735A79" w:rsidR="00BD3E03" w:rsidRDefault="00BD3E03" w:rsidP="00BD3E03">
      <w:pPr>
        <w:jc w:val="both"/>
        <w:rPr>
          <w:b/>
          <w:color w:val="333333"/>
          <w:shd w:val="clear" w:color="auto" w:fill="FFFFFF"/>
        </w:rPr>
      </w:pPr>
      <w:r w:rsidRPr="00D90C1D">
        <w:rPr>
          <w:b/>
        </w:rPr>
        <w:t xml:space="preserve">DĖL </w:t>
      </w:r>
      <w:r w:rsidRPr="00D90C1D">
        <w:rPr>
          <w:b/>
          <w:color w:val="333333"/>
          <w:shd w:val="clear" w:color="auto" w:fill="FFFFFF"/>
        </w:rPr>
        <w:t>ATSAKYM</w:t>
      </w:r>
      <w:r>
        <w:rPr>
          <w:b/>
          <w:color w:val="333333"/>
          <w:shd w:val="clear" w:color="auto" w:fill="FFFFFF"/>
        </w:rPr>
        <w:t>Ų</w:t>
      </w:r>
      <w:r w:rsidRPr="00D90C1D">
        <w:rPr>
          <w:b/>
          <w:color w:val="333333"/>
          <w:shd w:val="clear" w:color="auto" w:fill="FFFFFF"/>
        </w:rPr>
        <w:t xml:space="preserve"> Į </w:t>
      </w:r>
      <w:r>
        <w:rPr>
          <w:b/>
          <w:color w:val="333333"/>
          <w:shd w:val="clear" w:color="auto" w:fill="FFFFFF"/>
        </w:rPr>
        <w:t xml:space="preserve">TIEKĖJŲ PATEIKTUS </w:t>
      </w:r>
      <w:r w:rsidRPr="00D90C1D">
        <w:rPr>
          <w:b/>
          <w:color w:val="333333"/>
          <w:shd w:val="clear" w:color="auto" w:fill="FFFFFF"/>
        </w:rPr>
        <w:t>KLAUSIM</w:t>
      </w:r>
      <w:r>
        <w:rPr>
          <w:b/>
          <w:color w:val="333333"/>
          <w:shd w:val="clear" w:color="auto" w:fill="FFFFFF"/>
        </w:rPr>
        <w:t>US</w:t>
      </w:r>
    </w:p>
    <w:p w14:paraId="507076C6" w14:textId="77777777" w:rsidR="00BD3E03" w:rsidRDefault="00BD3E03" w:rsidP="003716B4">
      <w:pPr>
        <w:ind w:firstLine="709"/>
        <w:jc w:val="both"/>
      </w:pPr>
    </w:p>
    <w:p w14:paraId="489D1B30" w14:textId="7DACDC93" w:rsidR="003716B4" w:rsidRDefault="00005F6F" w:rsidP="003716B4">
      <w:pPr>
        <w:ind w:firstLine="709"/>
        <w:jc w:val="both"/>
      </w:pPr>
      <w:r w:rsidRPr="00D90C1D">
        <w:t xml:space="preserve">Viešojo pirkimo komisija </w:t>
      </w:r>
      <w:r w:rsidR="003716B4" w:rsidRPr="00D90C1D">
        <w:t>teikia atsakym</w:t>
      </w:r>
      <w:r w:rsidR="00821E9E">
        <w:t>us</w:t>
      </w:r>
      <w:r w:rsidR="003716B4" w:rsidRPr="00D90C1D">
        <w:t xml:space="preserve"> į </w:t>
      </w:r>
      <w:r w:rsidR="00944895" w:rsidRPr="00D90C1D">
        <w:t>gaut</w:t>
      </w:r>
      <w:r w:rsidR="00821E9E">
        <w:t>us</w:t>
      </w:r>
      <w:r w:rsidR="00944895" w:rsidRPr="00D90C1D">
        <w:t xml:space="preserve"> </w:t>
      </w:r>
      <w:r w:rsidR="003716B4" w:rsidRPr="00D90C1D">
        <w:t>tiekėj</w:t>
      </w:r>
      <w:r w:rsidR="00821E9E">
        <w:t>ų</w:t>
      </w:r>
      <w:r w:rsidR="003716B4" w:rsidRPr="00D90C1D">
        <w:t xml:space="preserve"> klausim</w:t>
      </w:r>
      <w:r w:rsidR="00821E9E">
        <w:t>us</w:t>
      </w:r>
      <w:r w:rsidR="003716B4" w:rsidRPr="00D90C1D">
        <w:t>:</w:t>
      </w:r>
    </w:p>
    <w:p w14:paraId="21CD457B" w14:textId="77777777" w:rsidR="000F0C5D" w:rsidRPr="00D90C1D" w:rsidRDefault="000F0C5D" w:rsidP="003716B4">
      <w:pPr>
        <w:ind w:firstLine="709"/>
        <w:jc w:val="both"/>
      </w:pPr>
    </w:p>
    <w:tbl>
      <w:tblPr>
        <w:tblStyle w:val="Lentelstinklelis"/>
        <w:tblW w:w="0" w:type="auto"/>
        <w:tblLook w:val="04A0" w:firstRow="1" w:lastRow="0" w:firstColumn="1" w:lastColumn="0" w:noHBand="0" w:noVBand="1"/>
      </w:tblPr>
      <w:tblGrid>
        <w:gridCol w:w="704"/>
        <w:gridCol w:w="8924"/>
      </w:tblGrid>
      <w:tr w:rsidR="000F0C5D" w14:paraId="545E8BE6" w14:textId="77777777" w:rsidTr="00D4415A">
        <w:tc>
          <w:tcPr>
            <w:tcW w:w="704" w:type="dxa"/>
          </w:tcPr>
          <w:p w14:paraId="51C2EA3A" w14:textId="77777777" w:rsidR="000F0C5D" w:rsidRDefault="000F0C5D" w:rsidP="00D4415A">
            <w:pPr>
              <w:spacing w:line="276" w:lineRule="auto"/>
              <w:jc w:val="both"/>
            </w:pPr>
            <w:r>
              <w:t>Eil. Nr.</w:t>
            </w:r>
          </w:p>
        </w:tc>
        <w:tc>
          <w:tcPr>
            <w:tcW w:w="8924" w:type="dxa"/>
          </w:tcPr>
          <w:p w14:paraId="3DA0941A" w14:textId="77777777" w:rsidR="000F0C5D" w:rsidRDefault="000F0C5D" w:rsidP="00D4415A">
            <w:pPr>
              <w:spacing w:line="276" w:lineRule="auto"/>
              <w:jc w:val="center"/>
            </w:pPr>
            <w:r>
              <w:t>Klausimas / Atsakymas</w:t>
            </w:r>
          </w:p>
        </w:tc>
      </w:tr>
      <w:tr w:rsidR="000F0C5D" w14:paraId="6F09DB57" w14:textId="77777777" w:rsidTr="00D4415A">
        <w:tc>
          <w:tcPr>
            <w:tcW w:w="704" w:type="dxa"/>
            <w:vMerge w:val="restart"/>
          </w:tcPr>
          <w:p w14:paraId="4A29EA52" w14:textId="77777777" w:rsidR="000F0C5D" w:rsidRDefault="000F0C5D" w:rsidP="00D4415A">
            <w:pPr>
              <w:spacing w:line="276" w:lineRule="auto"/>
              <w:jc w:val="both"/>
            </w:pPr>
            <w:r>
              <w:t>1.</w:t>
            </w:r>
          </w:p>
        </w:tc>
        <w:tc>
          <w:tcPr>
            <w:tcW w:w="8924" w:type="dxa"/>
          </w:tcPr>
          <w:p w14:paraId="450F179E" w14:textId="77777777" w:rsidR="000F0C5D" w:rsidRDefault="000F0C5D" w:rsidP="00D4415A">
            <w:pPr>
              <w:jc w:val="both"/>
            </w:pPr>
            <w:r w:rsidRPr="001C1557">
              <w:t>Prašome patikslinti, ar Rangovas turi įsivertinti kertamų medžių atkuriamąją vertę? Jeigu taip, prašome nurodyti medžių atkuriamosios vertės sumą.</w:t>
            </w:r>
          </w:p>
        </w:tc>
      </w:tr>
      <w:tr w:rsidR="000F0C5D" w:rsidRPr="00034451" w14:paraId="5A4BFB55" w14:textId="77777777" w:rsidTr="00D4415A">
        <w:tc>
          <w:tcPr>
            <w:tcW w:w="704" w:type="dxa"/>
            <w:vMerge/>
          </w:tcPr>
          <w:p w14:paraId="68309BBA" w14:textId="77777777" w:rsidR="000F0C5D" w:rsidRDefault="000F0C5D" w:rsidP="00D4415A">
            <w:pPr>
              <w:spacing w:line="276" w:lineRule="auto"/>
              <w:jc w:val="both"/>
            </w:pPr>
          </w:p>
        </w:tc>
        <w:tc>
          <w:tcPr>
            <w:tcW w:w="8924" w:type="dxa"/>
          </w:tcPr>
          <w:p w14:paraId="2BD329FB" w14:textId="77777777" w:rsidR="000F0C5D" w:rsidRPr="000F0C5D" w:rsidRDefault="000F0C5D" w:rsidP="00D4415A">
            <w:pPr>
              <w:spacing w:line="276" w:lineRule="auto"/>
              <w:jc w:val="both"/>
              <w:rPr>
                <w:b/>
                <w:bCs/>
                <w:i/>
                <w:iCs/>
              </w:rPr>
            </w:pPr>
            <w:r w:rsidRPr="000F0C5D">
              <w:rPr>
                <w:b/>
                <w:bCs/>
                <w:i/>
                <w:iCs/>
              </w:rPr>
              <w:t>Įsivertinti nereikia.</w:t>
            </w:r>
          </w:p>
          <w:p w14:paraId="5EFE3BE0" w14:textId="77777777" w:rsidR="000F0C5D" w:rsidRPr="00034451" w:rsidRDefault="000F0C5D" w:rsidP="00D4415A">
            <w:pPr>
              <w:spacing w:line="276" w:lineRule="auto"/>
              <w:jc w:val="both"/>
              <w:rPr>
                <w:i/>
                <w:iCs/>
              </w:rPr>
            </w:pPr>
          </w:p>
        </w:tc>
      </w:tr>
      <w:tr w:rsidR="000F0C5D" w14:paraId="7D3AF04B" w14:textId="77777777" w:rsidTr="00D4415A">
        <w:tc>
          <w:tcPr>
            <w:tcW w:w="704" w:type="dxa"/>
            <w:vMerge w:val="restart"/>
          </w:tcPr>
          <w:p w14:paraId="2FF5C87E" w14:textId="77777777" w:rsidR="000F0C5D" w:rsidRDefault="000F0C5D" w:rsidP="00D4415A">
            <w:pPr>
              <w:spacing w:line="276" w:lineRule="auto"/>
              <w:jc w:val="both"/>
            </w:pPr>
            <w:r>
              <w:t>2.</w:t>
            </w:r>
          </w:p>
        </w:tc>
        <w:tc>
          <w:tcPr>
            <w:tcW w:w="8924" w:type="dxa"/>
          </w:tcPr>
          <w:p w14:paraId="031950BC" w14:textId="77777777" w:rsidR="000F0C5D" w:rsidRDefault="000F0C5D" w:rsidP="00D4415A">
            <w:pPr>
              <w:jc w:val="both"/>
            </w:pPr>
            <w:r w:rsidRPr="001C1557">
              <w:t>Projekto susisiekimo dalies žiniaraščio 4.12.5 pozicijoje nurodyta įrengti drenažinę membraną 150 m2. Prašome pateikti šios membranos technines specifikacijas.</w:t>
            </w:r>
          </w:p>
        </w:tc>
      </w:tr>
      <w:tr w:rsidR="000F0C5D" w:rsidRPr="001E3C08" w14:paraId="159F7065" w14:textId="77777777" w:rsidTr="00D4415A">
        <w:tc>
          <w:tcPr>
            <w:tcW w:w="704" w:type="dxa"/>
            <w:vMerge/>
          </w:tcPr>
          <w:p w14:paraId="59216FB3" w14:textId="77777777" w:rsidR="000F0C5D" w:rsidRDefault="000F0C5D" w:rsidP="00D4415A">
            <w:pPr>
              <w:spacing w:line="276" w:lineRule="auto"/>
              <w:jc w:val="both"/>
            </w:pPr>
          </w:p>
        </w:tc>
        <w:tc>
          <w:tcPr>
            <w:tcW w:w="8924" w:type="dxa"/>
          </w:tcPr>
          <w:p w14:paraId="72C6F992" w14:textId="77777777" w:rsidR="000F0C5D" w:rsidRPr="00670B1E" w:rsidRDefault="000F0C5D" w:rsidP="00D4415A">
            <w:pPr>
              <w:spacing w:after="160" w:line="259" w:lineRule="auto"/>
              <w:rPr>
                <w:b/>
                <w:bCs/>
                <w:i/>
                <w:iCs/>
              </w:rPr>
            </w:pPr>
            <w:r w:rsidRPr="00670B1E">
              <w:rPr>
                <w:b/>
                <w:bCs/>
                <w:i/>
                <w:iCs/>
              </w:rPr>
              <w:t>Drenažinė membrana turi atitikti šiuos reikalavimus:</w:t>
            </w:r>
          </w:p>
          <w:tbl>
            <w:tblPr>
              <w:tblW w:w="928" w:type="pct"/>
              <w:tblCellMar>
                <w:left w:w="0" w:type="dxa"/>
                <w:right w:w="0" w:type="dxa"/>
              </w:tblCellMar>
              <w:tblLook w:val="04A0" w:firstRow="1" w:lastRow="0" w:firstColumn="1" w:lastColumn="0" w:noHBand="0" w:noVBand="1"/>
            </w:tblPr>
            <w:tblGrid>
              <w:gridCol w:w="2428"/>
              <w:gridCol w:w="1245"/>
            </w:tblGrid>
            <w:tr w:rsidR="000F0C5D" w:rsidRPr="00670B1E" w14:paraId="42EB19A5" w14:textId="77777777" w:rsidTr="00D4415A">
              <w:trPr>
                <w:trHeight w:val="255"/>
                <w:tblHeader/>
              </w:trPr>
              <w:tc>
                <w:tcPr>
                  <w:tcW w:w="3499" w:type="pct"/>
                  <w:tcBorders>
                    <w:top w:val="single" w:sz="8" w:space="0" w:color="3B3838"/>
                    <w:left w:val="single" w:sz="8" w:space="0" w:color="3B3838"/>
                    <w:bottom w:val="single" w:sz="8" w:space="0" w:color="3B3838"/>
                    <w:right w:val="single" w:sz="8" w:space="0" w:color="3B3838"/>
                  </w:tcBorders>
                  <w:tcMar>
                    <w:top w:w="0" w:type="dxa"/>
                    <w:left w:w="57" w:type="dxa"/>
                    <w:bottom w:w="0" w:type="dxa"/>
                    <w:right w:w="57" w:type="dxa"/>
                  </w:tcMar>
                  <w:vAlign w:val="center"/>
                  <w:hideMark/>
                </w:tcPr>
                <w:p w14:paraId="5661442F" w14:textId="77777777" w:rsidR="000F0C5D" w:rsidRPr="00670B1E" w:rsidRDefault="000F0C5D" w:rsidP="00D4415A">
                  <w:pPr>
                    <w:spacing w:after="160" w:line="259" w:lineRule="auto"/>
                    <w:rPr>
                      <w:b/>
                      <w:bCs/>
                      <w:i/>
                      <w:iCs/>
                    </w:rPr>
                  </w:pPr>
                  <w:r w:rsidRPr="00670B1E">
                    <w:rPr>
                      <w:b/>
                      <w:bCs/>
                      <w:i/>
                      <w:iCs/>
                    </w:rPr>
                    <w:t>Parametrai</w:t>
                  </w:r>
                </w:p>
              </w:tc>
              <w:tc>
                <w:tcPr>
                  <w:tcW w:w="1501" w:type="pct"/>
                  <w:tcBorders>
                    <w:top w:val="single" w:sz="8" w:space="0" w:color="3B3838"/>
                    <w:left w:val="nil"/>
                    <w:bottom w:val="single" w:sz="8" w:space="0" w:color="3B3838"/>
                    <w:right w:val="single" w:sz="8" w:space="0" w:color="3B3838"/>
                  </w:tcBorders>
                  <w:tcMar>
                    <w:top w:w="0" w:type="dxa"/>
                    <w:left w:w="57" w:type="dxa"/>
                    <w:bottom w:w="0" w:type="dxa"/>
                    <w:right w:w="57" w:type="dxa"/>
                  </w:tcMar>
                  <w:vAlign w:val="center"/>
                  <w:hideMark/>
                </w:tcPr>
                <w:p w14:paraId="6C819983" w14:textId="77777777" w:rsidR="000F0C5D" w:rsidRPr="00670B1E" w:rsidRDefault="000F0C5D" w:rsidP="00D4415A">
                  <w:pPr>
                    <w:spacing w:after="160" w:line="259" w:lineRule="auto"/>
                    <w:rPr>
                      <w:b/>
                      <w:bCs/>
                      <w:i/>
                      <w:iCs/>
                    </w:rPr>
                  </w:pPr>
                  <w:r w:rsidRPr="00670B1E">
                    <w:rPr>
                      <w:b/>
                      <w:bCs/>
                      <w:i/>
                      <w:iCs/>
                    </w:rPr>
                    <w:t>Reikšmė</w:t>
                  </w:r>
                </w:p>
              </w:tc>
            </w:tr>
            <w:tr w:rsidR="000F0C5D" w:rsidRPr="00670B1E" w14:paraId="6E7BDA78" w14:textId="77777777" w:rsidTr="00D4415A">
              <w:trPr>
                <w:trHeight w:val="255"/>
              </w:trPr>
              <w:tc>
                <w:tcPr>
                  <w:tcW w:w="3499" w:type="pct"/>
                  <w:tcBorders>
                    <w:top w:val="nil"/>
                    <w:left w:val="single" w:sz="8" w:space="0" w:color="3B3838"/>
                    <w:bottom w:val="single" w:sz="8" w:space="0" w:color="3B3838"/>
                    <w:right w:val="single" w:sz="8" w:space="0" w:color="3B3838"/>
                  </w:tcBorders>
                  <w:tcMar>
                    <w:top w:w="0" w:type="dxa"/>
                    <w:left w:w="57" w:type="dxa"/>
                    <w:bottom w:w="0" w:type="dxa"/>
                    <w:right w:w="57" w:type="dxa"/>
                  </w:tcMar>
                  <w:vAlign w:val="center"/>
                  <w:hideMark/>
                </w:tcPr>
                <w:p w14:paraId="5043ADE0" w14:textId="77777777" w:rsidR="000F0C5D" w:rsidRPr="00670B1E" w:rsidRDefault="000F0C5D" w:rsidP="00D4415A">
                  <w:pPr>
                    <w:spacing w:after="160" w:line="259" w:lineRule="auto"/>
                    <w:rPr>
                      <w:i/>
                      <w:iCs/>
                    </w:rPr>
                  </w:pPr>
                  <w:r w:rsidRPr="00670B1E">
                    <w:rPr>
                      <w:i/>
                      <w:iCs/>
                    </w:rPr>
                    <w:t xml:space="preserve">Gaminio medžiaga </w:t>
                  </w:r>
                </w:p>
              </w:tc>
              <w:tc>
                <w:tcPr>
                  <w:tcW w:w="1501" w:type="pct"/>
                  <w:tcBorders>
                    <w:top w:val="nil"/>
                    <w:left w:val="nil"/>
                    <w:bottom w:val="single" w:sz="8" w:space="0" w:color="3B3838"/>
                    <w:right w:val="single" w:sz="8" w:space="0" w:color="3B3838"/>
                  </w:tcBorders>
                  <w:tcMar>
                    <w:top w:w="0" w:type="dxa"/>
                    <w:left w:w="57" w:type="dxa"/>
                    <w:bottom w:w="0" w:type="dxa"/>
                    <w:right w:w="57" w:type="dxa"/>
                  </w:tcMar>
                  <w:vAlign w:val="center"/>
                  <w:hideMark/>
                </w:tcPr>
                <w:p w14:paraId="4F724989" w14:textId="77777777" w:rsidR="000F0C5D" w:rsidRPr="00670B1E" w:rsidRDefault="000F0C5D" w:rsidP="00D4415A">
                  <w:pPr>
                    <w:spacing w:after="160" w:line="259" w:lineRule="auto"/>
                    <w:rPr>
                      <w:i/>
                      <w:iCs/>
                    </w:rPr>
                  </w:pPr>
                  <w:r w:rsidRPr="00670B1E">
                    <w:rPr>
                      <w:i/>
                      <w:iCs/>
                    </w:rPr>
                    <w:t>HDPE</w:t>
                  </w:r>
                </w:p>
              </w:tc>
            </w:tr>
            <w:tr w:rsidR="000F0C5D" w:rsidRPr="00670B1E" w14:paraId="170BDBCD" w14:textId="77777777" w:rsidTr="00D4415A">
              <w:trPr>
                <w:trHeight w:val="255"/>
              </w:trPr>
              <w:tc>
                <w:tcPr>
                  <w:tcW w:w="3499" w:type="pct"/>
                  <w:tcBorders>
                    <w:top w:val="nil"/>
                    <w:left w:val="single" w:sz="8" w:space="0" w:color="3B3838"/>
                    <w:bottom w:val="single" w:sz="8" w:space="0" w:color="3B3838"/>
                    <w:right w:val="single" w:sz="8" w:space="0" w:color="3B3838"/>
                  </w:tcBorders>
                  <w:tcMar>
                    <w:top w:w="0" w:type="dxa"/>
                    <w:left w:w="57" w:type="dxa"/>
                    <w:bottom w:w="0" w:type="dxa"/>
                    <w:right w:w="57" w:type="dxa"/>
                  </w:tcMar>
                  <w:vAlign w:val="center"/>
                  <w:hideMark/>
                </w:tcPr>
                <w:p w14:paraId="2079154C" w14:textId="77777777" w:rsidR="000F0C5D" w:rsidRPr="00670B1E" w:rsidRDefault="000F0C5D" w:rsidP="00D4415A">
                  <w:pPr>
                    <w:spacing w:after="160" w:line="259" w:lineRule="auto"/>
                    <w:rPr>
                      <w:i/>
                      <w:iCs/>
                    </w:rPr>
                  </w:pPr>
                  <w:r w:rsidRPr="00670B1E">
                    <w:rPr>
                      <w:i/>
                      <w:iCs/>
                    </w:rPr>
                    <w:t>Atsparumas gniuždymui</w:t>
                  </w:r>
                </w:p>
              </w:tc>
              <w:tc>
                <w:tcPr>
                  <w:tcW w:w="1501" w:type="pct"/>
                  <w:tcBorders>
                    <w:top w:val="nil"/>
                    <w:left w:val="nil"/>
                    <w:bottom w:val="single" w:sz="8" w:space="0" w:color="3B3838"/>
                    <w:right w:val="single" w:sz="8" w:space="0" w:color="3B3838"/>
                  </w:tcBorders>
                  <w:tcMar>
                    <w:top w:w="0" w:type="dxa"/>
                    <w:left w:w="57" w:type="dxa"/>
                    <w:bottom w:w="0" w:type="dxa"/>
                    <w:right w:w="57" w:type="dxa"/>
                  </w:tcMar>
                  <w:vAlign w:val="center"/>
                  <w:hideMark/>
                </w:tcPr>
                <w:p w14:paraId="6032C712" w14:textId="77777777" w:rsidR="000F0C5D" w:rsidRPr="00670B1E" w:rsidRDefault="000F0C5D" w:rsidP="00D4415A">
                  <w:pPr>
                    <w:spacing w:after="160" w:line="259" w:lineRule="auto"/>
                    <w:rPr>
                      <w:i/>
                      <w:iCs/>
                    </w:rPr>
                  </w:pPr>
                  <w:r w:rsidRPr="00670B1E">
                    <w:rPr>
                      <w:i/>
                      <w:iCs/>
                    </w:rPr>
                    <w:t>≥200 </w:t>
                  </w:r>
                  <w:proofErr w:type="spellStart"/>
                  <w:r w:rsidRPr="00670B1E">
                    <w:rPr>
                      <w:i/>
                      <w:iCs/>
                    </w:rPr>
                    <w:t>kN</w:t>
                  </w:r>
                  <w:proofErr w:type="spellEnd"/>
                  <w:r w:rsidRPr="00670B1E">
                    <w:rPr>
                      <w:i/>
                      <w:iCs/>
                    </w:rPr>
                    <w:t>/m²</w:t>
                  </w:r>
                </w:p>
              </w:tc>
            </w:tr>
            <w:tr w:rsidR="000F0C5D" w:rsidRPr="00670B1E" w14:paraId="5D35B475" w14:textId="77777777" w:rsidTr="00D4415A">
              <w:trPr>
                <w:trHeight w:val="255"/>
              </w:trPr>
              <w:tc>
                <w:tcPr>
                  <w:tcW w:w="3499" w:type="pct"/>
                  <w:tcBorders>
                    <w:top w:val="nil"/>
                    <w:left w:val="single" w:sz="8" w:space="0" w:color="3B3838"/>
                    <w:bottom w:val="single" w:sz="8" w:space="0" w:color="3B3838"/>
                    <w:right w:val="single" w:sz="8" w:space="0" w:color="3B3838"/>
                  </w:tcBorders>
                  <w:tcMar>
                    <w:top w:w="0" w:type="dxa"/>
                    <w:left w:w="57" w:type="dxa"/>
                    <w:bottom w:w="0" w:type="dxa"/>
                    <w:right w:w="57" w:type="dxa"/>
                  </w:tcMar>
                  <w:vAlign w:val="center"/>
                  <w:hideMark/>
                </w:tcPr>
                <w:p w14:paraId="3CFC0E48" w14:textId="77777777" w:rsidR="000F0C5D" w:rsidRPr="00670B1E" w:rsidRDefault="000F0C5D" w:rsidP="00D4415A">
                  <w:pPr>
                    <w:spacing w:after="160" w:line="259" w:lineRule="auto"/>
                    <w:rPr>
                      <w:i/>
                      <w:iCs/>
                    </w:rPr>
                  </w:pPr>
                  <w:r w:rsidRPr="00670B1E">
                    <w:rPr>
                      <w:i/>
                      <w:iCs/>
                    </w:rPr>
                    <w:t>Bangelės aukštis</w:t>
                  </w:r>
                </w:p>
              </w:tc>
              <w:tc>
                <w:tcPr>
                  <w:tcW w:w="1501" w:type="pct"/>
                  <w:tcBorders>
                    <w:top w:val="nil"/>
                    <w:left w:val="nil"/>
                    <w:bottom w:val="single" w:sz="8" w:space="0" w:color="3B3838"/>
                    <w:right w:val="single" w:sz="8" w:space="0" w:color="3B3838"/>
                  </w:tcBorders>
                  <w:tcMar>
                    <w:top w:w="0" w:type="dxa"/>
                    <w:left w:w="57" w:type="dxa"/>
                    <w:bottom w:w="0" w:type="dxa"/>
                    <w:right w:w="57" w:type="dxa"/>
                  </w:tcMar>
                  <w:vAlign w:val="center"/>
                  <w:hideMark/>
                </w:tcPr>
                <w:p w14:paraId="2CBCAC96" w14:textId="77777777" w:rsidR="000F0C5D" w:rsidRPr="00670B1E" w:rsidRDefault="000F0C5D" w:rsidP="00D4415A">
                  <w:pPr>
                    <w:spacing w:after="160" w:line="259" w:lineRule="auto"/>
                    <w:rPr>
                      <w:i/>
                      <w:iCs/>
                    </w:rPr>
                  </w:pPr>
                  <w:r w:rsidRPr="00670B1E">
                    <w:rPr>
                      <w:i/>
                      <w:iCs/>
                    </w:rPr>
                    <w:t>7-9 mm</w:t>
                  </w:r>
                </w:p>
              </w:tc>
            </w:tr>
            <w:tr w:rsidR="000F0C5D" w:rsidRPr="00670B1E" w14:paraId="1A2729E9" w14:textId="77777777" w:rsidTr="00D4415A">
              <w:trPr>
                <w:trHeight w:val="255"/>
              </w:trPr>
              <w:tc>
                <w:tcPr>
                  <w:tcW w:w="3499" w:type="pct"/>
                  <w:tcBorders>
                    <w:top w:val="nil"/>
                    <w:left w:val="single" w:sz="8" w:space="0" w:color="3B3838"/>
                    <w:bottom w:val="single" w:sz="8" w:space="0" w:color="3B3838"/>
                    <w:right w:val="single" w:sz="8" w:space="0" w:color="3B3838"/>
                  </w:tcBorders>
                  <w:tcMar>
                    <w:top w:w="0" w:type="dxa"/>
                    <w:left w:w="57" w:type="dxa"/>
                    <w:bottom w:w="0" w:type="dxa"/>
                    <w:right w:w="57" w:type="dxa"/>
                  </w:tcMar>
                  <w:vAlign w:val="center"/>
                  <w:hideMark/>
                </w:tcPr>
                <w:p w14:paraId="7058CEA8" w14:textId="77777777" w:rsidR="000F0C5D" w:rsidRPr="00670B1E" w:rsidRDefault="000F0C5D" w:rsidP="00D4415A">
                  <w:pPr>
                    <w:spacing w:after="160" w:line="259" w:lineRule="auto"/>
                    <w:rPr>
                      <w:i/>
                      <w:iCs/>
                    </w:rPr>
                  </w:pPr>
                  <w:r w:rsidRPr="00670B1E">
                    <w:rPr>
                      <w:i/>
                      <w:iCs/>
                    </w:rPr>
                    <w:t>Drenuojamas kiekis</w:t>
                  </w:r>
                </w:p>
              </w:tc>
              <w:tc>
                <w:tcPr>
                  <w:tcW w:w="1501" w:type="pct"/>
                  <w:tcBorders>
                    <w:top w:val="nil"/>
                    <w:left w:val="nil"/>
                    <w:bottom w:val="single" w:sz="8" w:space="0" w:color="3B3838"/>
                    <w:right w:val="single" w:sz="8" w:space="0" w:color="3B3838"/>
                  </w:tcBorders>
                  <w:tcMar>
                    <w:top w:w="0" w:type="dxa"/>
                    <w:left w:w="57" w:type="dxa"/>
                    <w:bottom w:w="0" w:type="dxa"/>
                    <w:right w:w="57" w:type="dxa"/>
                  </w:tcMar>
                  <w:vAlign w:val="center"/>
                  <w:hideMark/>
                </w:tcPr>
                <w:p w14:paraId="19FD014A" w14:textId="77777777" w:rsidR="000F0C5D" w:rsidRPr="00670B1E" w:rsidRDefault="000F0C5D" w:rsidP="00D4415A">
                  <w:pPr>
                    <w:spacing w:after="160" w:line="259" w:lineRule="auto"/>
                    <w:rPr>
                      <w:i/>
                      <w:iCs/>
                    </w:rPr>
                  </w:pPr>
                  <w:r w:rsidRPr="00670B1E">
                    <w:rPr>
                      <w:i/>
                      <w:iCs/>
                      <w:lang w:val="en-US"/>
                    </w:rPr>
                    <w:t xml:space="preserve">≥ </w:t>
                  </w:r>
                  <w:r w:rsidRPr="00670B1E">
                    <w:rPr>
                      <w:i/>
                      <w:iCs/>
                    </w:rPr>
                    <w:t>2,2 l/</w:t>
                  </w:r>
                  <w:proofErr w:type="spellStart"/>
                  <w:r w:rsidRPr="00670B1E">
                    <w:rPr>
                      <w:i/>
                      <w:iCs/>
                    </w:rPr>
                    <w:t>s∙m</w:t>
                  </w:r>
                  <w:proofErr w:type="spellEnd"/>
                </w:p>
              </w:tc>
            </w:tr>
          </w:tbl>
          <w:p w14:paraId="6B7F81B2" w14:textId="77777777" w:rsidR="000F0C5D" w:rsidRPr="001E3C08" w:rsidRDefault="000F0C5D" w:rsidP="00D4415A">
            <w:pPr>
              <w:spacing w:line="276" w:lineRule="auto"/>
              <w:jc w:val="both"/>
              <w:rPr>
                <w:i/>
                <w:iCs/>
              </w:rPr>
            </w:pPr>
          </w:p>
        </w:tc>
      </w:tr>
      <w:tr w:rsidR="000F0C5D" w:rsidRPr="001C1557" w14:paraId="7CE641E2" w14:textId="77777777" w:rsidTr="00D4415A">
        <w:tc>
          <w:tcPr>
            <w:tcW w:w="704" w:type="dxa"/>
            <w:vMerge w:val="restart"/>
          </w:tcPr>
          <w:p w14:paraId="20A7875E" w14:textId="77777777" w:rsidR="000F0C5D" w:rsidRDefault="000F0C5D" w:rsidP="00D4415A">
            <w:pPr>
              <w:spacing w:line="276" w:lineRule="auto"/>
              <w:jc w:val="both"/>
            </w:pPr>
            <w:r>
              <w:t>3.</w:t>
            </w:r>
          </w:p>
        </w:tc>
        <w:tc>
          <w:tcPr>
            <w:tcW w:w="8924" w:type="dxa"/>
          </w:tcPr>
          <w:p w14:paraId="5600EF39" w14:textId="77777777" w:rsidR="000F0C5D" w:rsidRPr="001C1557" w:rsidRDefault="000F0C5D" w:rsidP="00D4415A">
            <w:pPr>
              <w:spacing w:after="160"/>
            </w:pPr>
            <w:r w:rsidRPr="001C1557">
              <w:t>Projekto susisiekimo dalyje po dangomis numatyta įrengti apsauginį šalčiui atsparų sluoksnį ir žiniaraštyje pateikti kiekiai m3. Asfalto dangos plotas 1774 m2, 51 cm storio šalčiui atsparaus sluoksnio kiekis 905 m3. Šio šalčiui atsparaus sluoksnio kiekio pakaktų jeigu sluoksnis būtų rengiamas vienodu storiu per visą dangos plotą. Skersiniuose pjūviuose matome, kad sluoksnio storis kinta dėl skirtingų dangos ir dangų lovio nuolydžių 2 procentai ir 4 procentai, todėl šalčiui atsparaus sluoksnio kiekis bus didesnis negu nurodytas žiniaraštyje. Prašome patikslinti šalčiui atsparaus sluoksnio kiekius po visomis dangomis.</w:t>
            </w:r>
          </w:p>
        </w:tc>
      </w:tr>
      <w:tr w:rsidR="000F0C5D" w:rsidRPr="00034451" w14:paraId="22D51511" w14:textId="77777777" w:rsidTr="00D4415A">
        <w:tc>
          <w:tcPr>
            <w:tcW w:w="704" w:type="dxa"/>
            <w:vMerge/>
          </w:tcPr>
          <w:p w14:paraId="287A75B0" w14:textId="77777777" w:rsidR="000F0C5D" w:rsidRDefault="000F0C5D" w:rsidP="00D4415A">
            <w:pPr>
              <w:spacing w:line="276" w:lineRule="auto"/>
              <w:jc w:val="both"/>
            </w:pPr>
          </w:p>
        </w:tc>
        <w:tc>
          <w:tcPr>
            <w:tcW w:w="8924" w:type="dxa"/>
          </w:tcPr>
          <w:p w14:paraId="7D019AB4" w14:textId="77777777" w:rsidR="000F0C5D" w:rsidRPr="000F0C5D" w:rsidRDefault="000F0C5D" w:rsidP="00D4415A">
            <w:pPr>
              <w:jc w:val="both"/>
              <w:rPr>
                <w:b/>
                <w:bCs/>
                <w:i/>
                <w:iCs/>
              </w:rPr>
            </w:pPr>
            <w:r w:rsidRPr="000F0C5D">
              <w:rPr>
                <w:b/>
                <w:bCs/>
                <w:i/>
                <w:iCs/>
              </w:rPr>
              <w:t xml:space="preserve">Kadangi bus įkainių sutartis, t. y. </w:t>
            </w:r>
            <w:proofErr w:type="spellStart"/>
            <w:r w:rsidRPr="000F0C5D">
              <w:rPr>
                <w:b/>
                <w:bCs/>
                <w:i/>
                <w:iCs/>
              </w:rPr>
              <w:t>aktuojama</w:t>
            </w:r>
            <w:proofErr w:type="spellEnd"/>
            <w:r w:rsidRPr="000F0C5D">
              <w:rPr>
                <w:b/>
                <w:bCs/>
                <w:i/>
                <w:iCs/>
              </w:rPr>
              <w:t xml:space="preserve"> pagal faktinį atliktų darbų kiekį, tai skaičiuojant kainą, reikia įvertinti kiekius, kaip pateikta žiniaraščiuose.</w:t>
            </w:r>
          </w:p>
          <w:p w14:paraId="4198ED51" w14:textId="77777777" w:rsidR="000F0C5D" w:rsidRPr="00034451" w:rsidRDefault="000F0C5D" w:rsidP="00D4415A">
            <w:pPr>
              <w:jc w:val="both"/>
              <w:rPr>
                <w:i/>
                <w:iCs/>
              </w:rPr>
            </w:pPr>
          </w:p>
        </w:tc>
      </w:tr>
      <w:tr w:rsidR="000F0C5D" w:rsidRPr="00034451" w14:paraId="0AFA27D0" w14:textId="77777777" w:rsidTr="00D4415A">
        <w:tc>
          <w:tcPr>
            <w:tcW w:w="704" w:type="dxa"/>
            <w:vMerge w:val="restart"/>
          </w:tcPr>
          <w:p w14:paraId="29E0B806" w14:textId="14AFD297" w:rsidR="000F0C5D" w:rsidRDefault="000F0C5D" w:rsidP="00D4415A">
            <w:pPr>
              <w:spacing w:line="276" w:lineRule="auto"/>
              <w:jc w:val="both"/>
            </w:pPr>
            <w:r>
              <w:t>4.</w:t>
            </w:r>
          </w:p>
        </w:tc>
        <w:tc>
          <w:tcPr>
            <w:tcW w:w="8924" w:type="dxa"/>
          </w:tcPr>
          <w:p w14:paraId="412CF0D2" w14:textId="77777777" w:rsidR="000F0C5D" w:rsidRDefault="000F0C5D" w:rsidP="000F0C5D">
            <w:pPr>
              <w:spacing w:after="160" w:line="278" w:lineRule="auto"/>
            </w:pPr>
            <w:r>
              <w:t xml:space="preserve">Projekte pateiktas pėsčiųjų tvorelės aprašymas ir nuotrauka. </w:t>
            </w:r>
          </w:p>
          <w:p w14:paraId="18DA8D03" w14:textId="77777777" w:rsidR="000F0C5D" w:rsidRDefault="000F0C5D" w:rsidP="000F0C5D">
            <w:pPr>
              <w:spacing w:after="160" w:line="278" w:lineRule="auto"/>
            </w:pPr>
            <w:r>
              <w:rPr>
                <w:rFonts w:ascii="Verdana" w:hAnsi="Verdana"/>
                <w:noProof/>
                <w:sz w:val="20"/>
              </w:rPr>
              <w:drawing>
                <wp:inline distT="0" distB="0" distL="0" distR="0" wp14:anchorId="754242EF" wp14:editId="0A0EC5DC">
                  <wp:extent cx="4484370" cy="2150745"/>
                  <wp:effectExtent l="0" t="0" r="11430" b="1905"/>
                  <wp:docPr id="1658637840" name="Paveikslėlis 1" descr="Paveikslėlis, kuriame yra tekstas, ekrano kopija, lauko, žo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37840" name="Paveikslėlis 1" descr="Paveikslėlis, kuriame yra tekstas, ekrano kopija, lauko, žolė&#10;&#10;Dirbtinio intelekto sugeneruotas turinys gali būti neteisinga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84370" cy="2150745"/>
                          </a:xfrm>
                          <a:prstGeom prst="rect">
                            <a:avLst/>
                          </a:prstGeom>
                          <a:noFill/>
                          <a:ln>
                            <a:noFill/>
                          </a:ln>
                        </pic:spPr>
                      </pic:pic>
                    </a:graphicData>
                  </a:graphic>
                </wp:inline>
              </w:drawing>
            </w:r>
          </w:p>
          <w:p w14:paraId="13605920" w14:textId="77777777" w:rsidR="000F0C5D" w:rsidRPr="000F0C5D" w:rsidRDefault="000F0C5D" w:rsidP="000F0C5D">
            <w:pPr>
              <w:pStyle w:val="Sraopastraipa"/>
              <w:ind w:left="35"/>
              <w:rPr>
                <w:rFonts w:ascii="Times New Roman" w:hAnsi="Times New Roman" w:cs="Times New Roman"/>
                <w:sz w:val="24"/>
                <w:szCs w:val="24"/>
              </w:rPr>
            </w:pPr>
            <w:r w:rsidRPr="000F0C5D">
              <w:rPr>
                <w:rFonts w:ascii="Times New Roman" w:hAnsi="Times New Roman" w:cs="Times New Roman"/>
                <w:sz w:val="24"/>
                <w:szCs w:val="24"/>
              </w:rPr>
              <w:t>Nuotraukoje pavaizduota nestandartinė pėsčiųjų tvorelė. Prašome patikslinti, ar Rangovas gali įrengti neprastesnių parametrų standartinę pėsčiųjų tvorelę kaip pavaizduota pateiktoje schemoje?</w:t>
            </w:r>
          </w:p>
          <w:p w14:paraId="2D0098FF" w14:textId="6C379E2B" w:rsidR="000F0C5D" w:rsidRPr="000F0C5D" w:rsidRDefault="000F0C5D" w:rsidP="000F0C5D">
            <w:pPr>
              <w:spacing w:after="160" w:line="278" w:lineRule="auto"/>
            </w:pPr>
            <w:r w:rsidRPr="009F20F3">
              <w:rPr>
                <w:noProof/>
              </w:rPr>
              <w:drawing>
                <wp:inline distT="0" distB="0" distL="0" distR="0" wp14:anchorId="2CBBD32E" wp14:editId="3CA1536B">
                  <wp:extent cx="4532732" cy="1943271"/>
                  <wp:effectExtent l="0" t="0" r="1270" b="0"/>
                  <wp:docPr id="1993710116" name="Paveikslėlis 1" descr="Paveikslėlis, kuriame yra diagrama, eskizas, linija,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10116" name="Paveikslėlis 1" descr="Paveikslėlis, kuriame yra diagrama, eskizas, linija, Techninis brėžinys&#10;&#10;Dirbtinio intelekto sugeneruotas turinys gali būti neteisingas."/>
                          <pic:cNvPicPr/>
                        </pic:nvPicPr>
                        <pic:blipFill>
                          <a:blip r:embed="rId9"/>
                          <a:stretch>
                            <a:fillRect/>
                          </a:stretch>
                        </pic:blipFill>
                        <pic:spPr>
                          <a:xfrm>
                            <a:off x="0" y="0"/>
                            <a:ext cx="4554333" cy="1952532"/>
                          </a:xfrm>
                          <a:prstGeom prst="rect">
                            <a:avLst/>
                          </a:prstGeom>
                        </pic:spPr>
                      </pic:pic>
                    </a:graphicData>
                  </a:graphic>
                </wp:inline>
              </w:drawing>
            </w:r>
          </w:p>
        </w:tc>
      </w:tr>
      <w:tr w:rsidR="000F0C5D" w:rsidRPr="00034451" w14:paraId="6C455D93" w14:textId="77777777" w:rsidTr="00D4415A">
        <w:tc>
          <w:tcPr>
            <w:tcW w:w="704" w:type="dxa"/>
            <w:vMerge/>
          </w:tcPr>
          <w:p w14:paraId="39D5FA61" w14:textId="77777777" w:rsidR="000F0C5D" w:rsidRDefault="000F0C5D" w:rsidP="00D4415A">
            <w:pPr>
              <w:spacing w:line="276" w:lineRule="auto"/>
              <w:jc w:val="both"/>
            </w:pPr>
          </w:p>
        </w:tc>
        <w:tc>
          <w:tcPr>
            <w:tcW w:w="8924" w:type="dxa"/>
          </w:tcPr>
          <w:p w14:paraId="60F32E55" w14:textId="714F7E4B" w:rsidR="000F0C5D" w:rsidRPr="000F0C5D" w:rsidRDefault="000F0C5D" w:rsidP="00D4415A">
            <w:pPr>
              <w:jc w:val="both"/>
              <w:rPr>
                <w:b/>
                <w:bCs/>
                <w:i/>
                <w:iCs/>
              </w:rPr>
            </w:pPr>
            <w:r w:rsidRPr="00670B1E">
              <w:rPr>
                <w:b/>
                <w:bCs/>
                <w:i/>
                <w:iCs/>
              </w:rPr>
              <w:t>Rangovas</w:t>
            </w:r>
            <w:r w:rsidRPr="000F0C5D">
              <w:rPr>
                <w:b/>
                <w:bCs/>
                <w:i/>
                <w:iCs/>
              </w:rPr>
              <w:t>,</w:t>
            </w:r>
            <w:r w:rsidRPr="00670B1E">
              <w:rPr>
                <w:b/>
                <w:bCs/>
                <w:i/>
                <w:iCs/>
              </w:rPr>
              <w:t xml:space="preserve"> teikdamas pasiūlymą</w:t>
            </w:r>
            <w:r w:rsidRPr="000F0C5D">
              <w:rPr>
                <w:b/>
                <w:bCs/>
                <w:i/>
                <w:iCs/>
              </w:rPr>
              <w:t>,</w:t>
            </w:r>
            <w:r w:rsidRPr="00670B1E">
              <w:rPr>
                <w:b/>
                <w:bCs/>
                <w:i/>
                <w:iCs/>
              </w:rPr>
              <w:t xml:space="preserve"> turi įsivertinti projekte nurodytų parametrų pėsčiųjų tvorelę.</w:t>
            </w:r>
          </w:p>
        </w:tc>
      </w:tr>
    </w:tbl>
    <w:p w14:paraId="09C06467" w14:textId="59DD3464" w:rsidR="003716B4" w:rsidRDefault="003716B4" w:rsidP="003716B4"/>
    <w:p w14:paraId="5187AED5" w14:textId="77777777" w:rsidR="00821E9E" w:rsidRDefault="00821E9E" w:rsidP="003716B4"/>
    <w:p w14:paraId="64F0ECFC" w14:textId="783466C6" w:rsidR="003716B4" w:rsidRPr="00D90C1D" w:rsidRDefault="003716B4" w:rsidP="003716B4">
      <w:r w:rsidRPr="00D90C1D">
        <w:t>Viešojo pirkimo komisija</w:t>
      </w:r>
    </w:p>
    <w:sectPr w:rsidR="003716B4" w:rsidRPr="00D90C1D" w:rsidSect="00011FC8">
      <w:headerReference w:type="default" r:id="rId10"/>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0208"/>
    <w:multiLevelType w:val="hybridMultilevel"/>
    <w:tmpl w:val="27E60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1"/>
  </w:num>
  <w:num w:numId="2" w16cid:durableId="201360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11FC8"/>
    <w:rsid w:val="000256A4"/>
    <w:rsid w:val="00026E6B"/>
    <w:rsid w:val="00044844"/>
    <w:rsid w:val="00052818"/>
    <w:rsid w:val="00053C8C"/>
    <w:rsid w:val="000570A9"/>
    <w:rsid w:val="00060BAF"/>
    <w:rsid w:val="00071F2F"/>
    <w:rsid w:val="00080D94"/>
    <w:rsid w:val="00081491"/>
    <w:rsid w:val="000B51DD"/>
    <w:rsid w:val="000C5BDB"/>
    <w:rsid w:val="000F0C5D"/>
    <w:rsid w:val="001019B0"/>
    <w:rsid w:val="001070EF"/>
    <w:rsid w:val="00126893"/>
    <w:rsid w:val="0015018F"/>
    <w:rsid w:val="0017133B"/>
    <w:rsid w:val="00202900"/>
    <w:rsid w:val="002043AF"/>
    <w:rsid w:val="00204B2A"/>
    <w:rsid w:val="00253DDA"/>
    <w:rsid w:val="00291D4D"/>
    <w:rsid w:val="00294193"/>
    <w:rsid w:val="002A3DE3"/>
    <w:rsid w:val="002E20BD"/>
    <w:rsid w:val="002E73F9"/>
    <w:rsid w:val="002F16F3"/>
    <w:rsid w:val="00313465"/>
    <w:rsid w:val="00313A77"/>
    <w:rsid w:val="003173A8"/>
    <w:rsid w:val="00331196"/>
    <w:rsid w:val="003444B9"/>
    <w:rsid w:val="003716B4"/>
    <w:rsid w:val="00380553"/>
    <w:rsid w:val="00382263"/>
    <w:rsid w:val="00396583"/>
    <w:rsid w:val="00416024"/>
    <w:rsid w:val="00423329"/>
    <w:rsid w:val="0044718D"/>
    <w:rsid w:val="00494F3D"/>
    <w:rsid w:val="004D5498"/>
    <w:rsid w:val="00502C09"/>
    <w:rsid w:val="00515F52"/>
    <w:rsid w:val="005379AB"/>
    <w:rsid w:val="00556FF4"/>
    <w:rsid w:val="00593DE2"/>
    <w:rsid w:val="005D6DA7"/>
    <w:rsid w:val="006369F7"/>
    <w:rsid w:val="00664072"/>
    <w:rsid w:val="006863AC"/>
    <w:rsid w:val="00687623"/>
    <w:rsid w:val="006C06F4"/>
    <w:rsid w:val="00702FC2"/>
    <w:rsid w:val="00734643"/>
    <w:rsid w:val="00737D4E"/>
    <w:rsid w:val="00766852"/>
    <w:rsid w:val="007805F4"/>
    <w:rsid w:val="0078199D"/>
    <w:rsid w:val="007C01DE"/>
    <w:rsid w:val="007E2786"/>
    <w:rsid w:val="007E4D25"/>
    <w:rsid w:val="008076C0"/>
    <w:rsid w:val="00821E9E"/>
    <w:rsid w:val="00825B08"/>
    <w:rsid w:val="008709DC"/>
    <w:rsid w:val="00880C04"/>
    <w:rsid w:val="008C4ADF"/>
    <w:rsid w:val="008D228B"/>
    <w:rsid w:val="008E2A3F"/>
    <w:rsid w:val="00917513"/>
    <w:rsid w:val="00921D49"/>
    <w:rsid w:val="00923935"/>
    <w:rsid w:val="00942678"/>
    <w:rsid w:val="00944895"/>
    <w:rsid w:val="00962524"/>
    <w:rsid w:val="00993B81"/>
    <w:rsid w:val="009C1883"/>
    <w:rsid w:val="009D12E1"/>
    <w:rsid w:val="009F614A"/>
    <w:rsid w:val="00A008B0"/>
    <w:rsid w:val="00A00B61"/>
    <w:rsid w:val="00A31979"/>
    <w:rsid w:val="00A55A54"/>
    <w:rsid w:val="00A7570D"/>
    <w:rsid w:val="00A80537"/>
    <w:rsid w:val="00A86C0E"/>
    <w:rsid w:val="00AA25EF"/>
    <w:rsid w:val="00AC003E"/>
    <w:rsid w:val="00B03AF2"/>
    <w:rsid w:val="00B17547"/>
    <w:rsid w:val="00B2148F"/>
    <w:rsid w:val="00B56D27"/>
    <w:rsid w:val="00B7015F"/>
    <w:rsid w:val="00B83970"/>
    <w:rsid w:val="00B95A28"/>
    <w:rsid w:val="00B95FF8"/>
    <w:rsid w:val="00BA283A"/>
    <w:rsid w:val="00BD3E03"/>
    <w:rsid w:val="00BE1A17"/>
    <w:rsid w:val="00BE1DA6"/>
    <w:rsid w:val="00BE7D78"/>
    <w:rsid w:val="00BF2BF1"/>
    <w:rsid w:val="00C02076"/>
    <w:rsid w:val="00C27135"/>
    <w:rsid w:val="00C32344"/>
    <w:rsid w:val="00C35F79"/>
    <w:rsid w:val="00C5021A"/>
    <w:rsid w:val="00C6402A"/>
    <w:rsid w:val="00C763E9"/>
    <w:rsid w:val="00CC0DDC"/>
    <w:rsid w:val="00CD1C8E"/>
    <w:rsid w:val="00CD3753"/>
    <w:rsid w:val="00CD53B7"/>
    <w:rsid w:val="00CE2C35"/>
    <w:rsid w:val="00CE35DB"/>
    <w:rsid w:val="00D259CF"/>
    <w:rsid w:val="00D40690"/>
    <w:rsid w:val="00D55260"/>
    <w:rsid w:val="00D562CD"/>
    <w:rsid w:val="00D8151B"/>
    <w:rsid w:val="00D90C1D"/>
    <w:rsid w:val="00DA6A87"/>
    <w:rsid w:val="00DB18C9"/>
    <w:rsid w:val="00DE0164"/>
    <w:rsid w:val="00DE756B"/>
    <w:rsid w:val="00E26393"/>
    <w:rsid w:val="00E27ACC"/>
    <w:rsid w:val="00E53049"/>
    <w:rsid w:val="00EB1B20"/>
    <w:rsid w:val="00EE2AB4"/>
    <w:rsid w:val="00EF09FD"/>
    <w:rsid w:val="00EF175A"/>
    <w:rsid w:val="00EF53AF"/>
    <w:rsid w:val="00F44373"/>
    <w:rsid w:val="00F93ABA"/>
    <w:rsid w:val="00F971BB"/>
    <w:rsid w:val="00FA05F2"/>
    <w:rsid w:val="00FA3681"/>
    <w:rsid w:val="00FD6951"/>
    <w:rsid w:val="00FF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basedOn w:val="Numatytasispastraiposriftas"/>
    <w:rsid w:val="003716B4"/>
    <w:rPr>
      <w:color w:val="0066CC"/>
      <w:u w:val="single"/>
    </w:rPr>
  </w:style>
  <w:style w:type="character" w:customStyle="1" w:styleId="Bodytext2">
    <w:name w:val="Body text (2)_"/>
    <w:basedOn w:val="Numatytasispastraiposriftas"/>
    <w:link w:val="Bodytext20"/>
    <w:rsid w:val="003716B4"/>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Pagrindinistekstas1"/>
    <w:rsid w:val="003716B4"/>
    <w:rPr>
      <w:rFonts w:ascii="Times New Roman" w:eastAsia="Times New Roman" w:hAnsi="Times New Roman" w:cs="Times New Roman"/>
      <w:sz w:val="23"/>
      <w:szCs w:val="23"/>
      <w:shd w:val="clear" w:color="auto" w:fill="FFFFFF"/>
    </w:rPr>
  </w:style>
  <w:style w:type="character" w:customStyle="1" w:styleId="Bodytext11ptBoldNotItalic">
    <w:name w:val="Body text + 11 pt;Bold;Not Italic"/>
    <w:basedOn w:val="Bodytext"/>
    <w:rsid w:val="003716B4"/>
    <w:rPr>
      <w:rFonts w:ascii="Times New Roman" w:eastAsia="Times New Roman" w:hAnsi="Times New Roman" w:cs="Times New Roman"/>
      <w:b/>
      <w:bCs/>
      <w:i/>
      <w:iCs/>
      <w:sz w:val="22"/>
      <w:szCs w:val="22"/>
      <w:shd w:val="clear" w:color="auto" w:fill="FFFFFF"/>
    </w:rPr>
  </w:style>
  <w:style w:type="character" w:customStyle="1" w:styleId="BodytextNotItalic">
    <w:name w:val="Body text + Not Italic"/>
    <w:basedOn w:val="Bodytext"/>
    <w:rsid w:val="003716B4"/>
    <w:rPr>
      <w:rFonts w:ascii="Times New Roman" w:eastAsia="Times New Roman" w:hAnsi="Times New Roman" w:cs="Times New Roman"/>
      <w:i/>
      <w:iCs/>
      <w:sz w:val="23"/>
      <w:szCs w:val="23"/>
      <w:shd w:val="clear" w:color="auto" w:fill="FFFFFF"/>
    </w:rPr>
  </w:style>
  <w:style w:type="paragraph" w:customStyle="1" w:styleId="Bodytext20">
    <w:name w:val="Body text (2)"/>
    <w:basedOn w:val="prastasis"/>
    <w:link w:val="Bodytext2"/>
    <w:rsid w:val="003716B4"/>
    <w:pPr>
      <w:shd w:val="clear" w:color="auto" w:fill="FFFFFF"/>
      <w:spacing w:before="180" w:after="360" w:line="0" w:lineRule="atLeast"/>
    </w:pPr>
    <w:rPr>
      <w:sz w:val="23"/>
      <w:szCs w:val="23"/>
    </w:rPr>
  </w:style>
  <w:style w:type="paragraph" w:customStyle="1" w:styleId="Pagrindinistekstas1">
    <w:name w:val="Pagrindinis tekstas1"/>
    <w:basedOn w:val="prastasis"/>
    <w:link w:val="Bodytext"/>
    <w:rsid w:val="003716B4"/>
    <w:pPr>
      <w:shd w:val="clear" w:color="auto" w:fill="FFFFFF"/>
      <w:spacing w:before="180" w:after="180" w:line="298" w:lineRule="exact"/>
      <w:jc w:val="both"/>
    </w:pPr>
    <w:rPr>
      <w:sz w:val="23"/>
      <w:szCs w:val="23"/>
    </w:rPr>
  </w:style>
  <w:style w:type="paragraph" w:styleId="prastasiniatinklio">
    <w:name w:val="Normal (Web)"/>
    <w:basedOn w:val="prastasis"/>
    <w:uiPriority w:val="99"/>
    <w:unhideWhenUsed/>
    <w:rsid w:val="00821E9E"/>
    <w:pPr>
      <w:spacing w:before="100" w:beforeAutospacing="1" w:after="100" w:afterAutospacing="1"/>
    </w:pPr>
    <w:rPr>
      <w:rFonts w:ascii="Calibri" w:eastAsiaTheme="minorHAnsi" w:hAnsi="Calibri" w:cs="Calibri"/>
      <w:sz w:val="22"/>
      <w:szCs w:val="22"/>
      <w:lang w:eastAsia="lt-LT"/>
    </w:rPr>
  </w:style>
  <w:style w:type="paragraph" w:customStyle="1" w:styleId="v1v1msonormal">
    <w:name w:val="v1v1msonormal"/>
    <w:basedOn w:val="prastasis"/>
    <w:uiPriority w:val="99"/>
    <w:semiHidden/>
    <w:rsid w:val="00821E9E"/>
    <w:pPr>
      <w:spacing w:before="100" w:beforeAutospacing="1" w:after="100" w:afterAutospacing="1"/>
    </w:pPr>
    <w:rPr>
      <w:rFonts w:ascii="Calibri" w:eastAsiaTheme="minorHAnsi" w:hAnsi="Calibri" w:cs="Calibri"/>
      <w:sz w:val="22"/>
      <w:szCs w:val="22"/>
      <w:lang w:eastAsia="lt-LT"/>
    </w:rPr>
  </w:style>
  <w:style w:type="character" w:customStyle="1" w:styleId="fontstyle01">
    <w:name w:val="fontstyle01"/>
    <w:basedOn w:val="Numatytasispastraiposriftas"/>
    <w:rsid w:val="00821E9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5917">
      <w:bodyDiv w:val="1"/>
      <w:marLeft w:val="0"/>
      <w:marRight w:val="0"/>
      <w:marTop w:val="0"/>
      <w:marBottom w:val="0"/>
      <w:divBdr>
        <w:top w:val="none" w:sz="0" w:space="0" w:color="auto"/>
        <w:left w:val="none" w:sz="0" w:space="0" w:color="auto"/>
        <w:bottom w:val="none" w:sz="0" w:space="0" w:color="auto"/>
        <w:right w:val="none" w:sz="0" w:space="0" w:color="auto"/>
      </w:divBdr>
    </w:div>
    <w:div w:id="15585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2193.6E85E4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1273</Words>
  <Characters>726</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17</cp:revision>
  <cp:lastPrinted>2025-05-16T10:54:00Z</cp:lastPrinted>
  <dcterms:created xsi:type="dcterms:W3CDTF">2025-03-27T07:20:00Z</dcterms:created>
  <dcterms:modified xsi:type="dcterms:W3CDTF">2025-09-11T13:11:00Z</dcterms:modified>
</cp:coreProperties>
</file>