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6F73873" w:rsidR="00C111FA" w:rsidRPr="00EA54B2" w:rsidRDefault="00EA54B2" w:rsidP="00C43D47">
      <w:pPr>
        <w:pStyle w:val="Pagrindinistekstas"/>
        <w:ind w:firstLine="0"/>
        <w:jc w:val="center"/>
        <w:rPr>
          <w:rFonts w:ascii="Arial" w:hAnsi="Arial" w:cs="Arial"/>
          <w:b/>
          <w:bCs/>
          <w:sz w:val="22"/>
          <w:szCs w:val="22"/>
        </w:rPr>
      </w:pPr>
      <w:r w:rsidRPr="00EA54B2">
        <w:rPr>
          <w:rFonts w:ascii="Arial" w:hAnsi="Arial" w:cs="Arial"/>
          <w:b/>
          <w:bCs/>
          <w:sz w:val="22"/>
        </w:rPr>
        <w:t>VALSTYBINĖS REIKŠMĖS KRAŠTO KELIO NR. 115 UKMERGĖ–MOLĖTAI 0,393 KM TILTO PER ŠVENTĄJĄ KAPITALINIS REMONTAS IR RUOŽO NUO 0,512 IKI 0,836 KM REKONSTRAVIMAS</w:t>
      </w:r>
    </w:p>
    <w:p w14:paraId="64F80714" w14:textId="7FAD04C1" w:rsidR="00C01755" w:rsidRPr="00DA7C27" w:rsidRDefault="003A7B76"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9-11T00:00:00Z">
            <w:dateFormat w:val="yyyy-MM-dd"/>
            <w:lid w:val="lt-LT"/>
            <w:storeMappedDataAs w:val="dateTime"/>
            <w:calendar w:val="gregorian"/>
          </w:date>
        </w:sdtPr>
        <w:sdtEndPr/>
        <w:sdtContent>
          <w:r w:rsidR="00E35D8F">
            <w:rPr>
              <w:rFonts w:ascii="Arial" w:hAnsi="Arial" w:cs="Arial"/>
              <w:sz w:val="22"/>
              <w:szCs w:val="22"/>
            </w:rPr>
            <w:t>2025-09-11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D06BFD5"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1833DC">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1A3E70B7"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 Nr. 11) bei  26.2. punkt</w:t>
            </w:r>
            <w:r w:rsidR="00FA29CA">
              <w:rPr>
                <w:rFonts w:ascii="Arial" w:eastAsiaTheme="minorHAnsi" w:hAnsi="Arial" w:cs="Arial"/>
                <w:sz w:val="22"/>
                <w:szCs w:val="22"/>
              </w:rPr>
              <w:t>o</w:t>
            </w:r>
            <w:r w:rsidRPr="00CD4D2E">
              <w:rPr>
                <w:rFonts w:ascii="Arial" w:eastAsiaTheme="minorHAnsi" w:hAnsi="Arial" w:cs="Arial"/>
                <w:sz w:val="22"/>
                <w:szCs w:val="22"/>
              </w:rPr>
              <w:t xml:space="preserve"> reikalavimai (Sutarties projektas 95.1</w:t>
            </w:r>
            <w:r w:rsidR="00962951">
              <w:rPr>
                <w:rFonts w:ascii="Arial" w:eastAsiaTheme="minorHAnsi" w:hAnsi="Arial" w:cs="Arial"/>
                <w:sz w:val="22"/>
                <w:szCs w:val="22"/>
              </w:rPr>
              <w:t>5</w:t>
            </w:r>
            <w:r w:rsidRPr="00CD4D2E">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3A7B76"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675B8AA" w:rsidR="005B73EE" w:rsidRDefault="00C76AD2" w:rsidP="005B73EE">
            <w:pPr>
              <w:rPr>
                <w:rFonts w:ascii="Arial" w:hAnsi="Arial" w:cs="Arial"/>
                <w:iCs/>
                <w:color w:val="000000" w:themeColor="text1"/>
                <w:sz w:val="22"/>
                <w:szCs w:val="22"/>
              </w:rPr>
            </w:pPr>
            <w:bookmarkStart w:id="0" w:name="_Hlk208468412"/>
            <w:r w:rsidRPr="001F38E9">
              <w:rPr>
                <w:rFonts w:ascii="Arial" w:hAnsi="Arial" w:cs="Arial"/>
                <w:b/>
                <w:bCs/>
                <w:sz w:val="22"/>
              </w:rPr>
              <w:t>Valstybinės reikšmės krašto kelio Nr. 115 Ukmergė–Molėtai 0,393 km tilto per Šventąją kapitalinis remontas ir ruožo nuo 0,512 iki 0,836 km rekonstravimas</w:t>
            </w:r>
            <w:r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578C6FD9"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00D06C3E">
              <w:rPr>
                <w:rFonts w:ascii="Arial" w:eastAsia="Calibri" w:hAnsi="Arial" w:cs="Arial"/>
                <w:b/>
                <w:bCs/>
                <w:sz w:val="22"/>
                <w:szCs w:val="22"/>
              </w:rPr>
              <w:t>.1 ir SPS priedas Nr. 12.2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0C13E753" w14:textId="6F33622B"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 parengtus statinių projektus - kelio ruožo rekonstravimui  ir tilto kapitaliniai remontui. Objekto dalių įgyvendinimas yra tarpusavyje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31ABBF85" w14:textId="134F074F"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D06C3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3A7B76"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AFDC9C7"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lastRenderedPageBreak/>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A6B103B"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24</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2588BBD4"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087CBA">
              <w:rPr>
                <w:rFonts w:ascii="Arial" w:hAnsi="Arial" w:cs="Arial"/>
                <w:b/>
                <w:bCs/>
                <w:sz w:val="22"/>
                <w:szCs w:val="22"/>
              </w:rPr>
              <w:t>24</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27D316E" w:rsidR="00A20206" w:rsidRPr="00152D61" w:rsidRDefault="003A7B76"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20206">
                  <w:rPr>
                    <w:rStyle w:val="Vietosrezervavimoenklotekstas"/>
                    <w:rFonts w:ascii="Arial" w:eastAsiaTheme="minorHAnsi" w:hAnsi="Arial" w:cs="Arial"/>
                    <w:b/>
                    <w:bCs/>
                    <w:color w:val="auto"/>
                    <w:sz w:val="22"/>
                    <w:szCs w:val="22"/>
                  </w:rPr>
                  <w:t>Kainos ir kokybės santykis.</w:t>
                </w:r>
              </w:sdtContent>
            </w:sdt>
          </w:p>
          <w:p w14:paraId="2E0C7201" w14:textId="77777777" w:rsidR="00FA6131" w:rsidRDefault="00FA6131" w:rsidP="00FA6131">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23</w:t>
            </w:r>
            <w:r w:rsidRPr="001C44EE">
              <w:rPr>
                <w:rFonts w:ascii="Arial" w:hAnsi="Arial" w:cs="Arial"/>
                <w:b/>
                <w:bCs/>
                <w:sz w:val="22"/>
                <w:szCs w:val="22"/>
              </w:rPr>
              <w:t>.</w:t>
            </w:r>
          </w:p>
          <w:p w14:paraId="70DEBD5D" w14:textId="208F902E" w:rsidR="00A20206" w:rsidRPr="001C44EE" w:rsidRDefault="00A20206" w:rsidP="00FA6131">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r w:rsidR="00A20206" w:rsidRPr="00CF7302" w14:paraId="2973F3B3" w14:textId="77777777" w:rsidTr="00ED52E0">
        <w:tc>
          <w:tcPr>
            <w:tcW w:w="706" w:type="dxa"/>
          </w:tcPr>
          <w:p w14:paraId="25B2264B" w14:textId="638AAC93" w:rsidR="00A20206" w:rsidRPr="00396864"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A20206" w:rsidRDefault="00A20206" w:rsidP="00A20206">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A20206" w:rsidRPr="00396864" w:rsidRDefault="00A20206" w:rsidP="00A20206">
            <w:pPr>
              <w:rPr>
                <w:rFonts w:ascii="Arial" w:eastAsia="Calibri" w:hAnsi="Arial" w:cs="Arial"/>
                <w:b/>
                <w:sz w:val="22"/>
                <w:szCs w:val="22"/>
              </w:rPr>
            </w:pPr>
          </w:p>
        </w:tc>
        <w:tc>
          <w:tcPr>
            <w:tcW w:w="5810" w:type="dxa"/>
          </w:tcPr>
          <w:p w14:paraId="165D61CC" w14:textId="6077AC12" w:rsidR="00A20206" w:rsidRPr="00AD5C02" w:rsidRDefault="00A20206" w:rsidP="00A20206">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12</w:t>
            </w:r>
            <w:r w:rsidR="003D31C8">
              <w:rPr>
                <w:rFonts w:ascii="Arial" w:eastAsia="Calibri" w:hAnsi="Arial" w:cs="Arial"/>
                <w:b/>
                <w:bCs/>
                <w:sz w:val="22"/>
                <w:szCs w:val="22"/>
              </w:rPr>
              <w:t>.1 ir SPS priedas Nr. 12.2</w:t>
            </w:r>
            <w:r w:rsidRPr="00AD5C02">
              <w:rPr>
                <w:rFonts w:ascii="Arial" w:eastAsia="Calibri" w:hAnsi="Arial" w:cs="Arial"/>
                <w:sz w:val="22"/>
                <w:szCs w:val="22"/>
              </w:rPr>
              <w:t>) negali būti konfidencialūs.</w:t>
            </w:r>
          </w:p>
          <w:p w14:paraId="177D9A0A" w14:textId="3E9594DD" w:rsidR="00A20206" w:rsidRPr="00AD5C02" w:rsidRDefault="00A20206" w:rsidP="00A20206">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12</w:t>
            </w:r>
            <w:r w:rsidR="003D31C8">
              <w:rPr>
                <w:rFonts w:ascii="Arial" w:eastAsia="Calibri" w:hAnsi="Arial" w:cs="Arial"/>
                <w:b/>
                <w:bCs/>
                <w:sz w:val="22"/>
                <w:szCs w:val="22"/>
              </w:rPr>
              <w:t>.1 ir SPS priedas Nr. 12.2</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A20206" w:rsidRPr="00396864" w:rsidRDefault="00A20206" w:rsidP="00A20206">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lastRenderedPageBreak/>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50AE21C9" w14:textId="77777777" w:rsidR="00472FF1" w:rsidRPr="007C1FEE" w:rsidRDefault="00472FF1" w:rsidP="00472FF1">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516FDE59" w14:textId="054A6739" w:rsidR="00842280" w:rsidRPr="007C1FEE" w:rsidRDefault="00842280" w:rsidP="00842280">
      <w:pPr>
        <w:pStyle w:val="Pagrindinistekstas"/>
        <w:ind w:firstLine="0"/>
        <w:rPr>
          <w:rFonts w:ascii="Arial" w:hAnsi="Arial" w:cs="Arial"/>
          <w:sz w:val="22"/>
          <w:szCs w:val="22"/>
        </w:rPr>
      </w:pPr>
      <w:r>
        <w:rPr>
          <w:rFonts w:ascii="Arial" w:hAnsi="Arial" w:cs="Arial"/>
          <w:sz w:val="22"/>
          <w:szCs w:val="22"/>
        </w:rPr>
        <w:t xml:space="preserve">24 priedas. </w:t>
      </w:r>
      <w:r w:rsidRPr="00694274">
        <w:rPr>
          <w:rFonts w:ascii="Arial" w:hAnsi="Arial" w:cs="Arial"/>
          <w:sz w:val="22"/>
          <w:szCs w:val="22"/>
        </w:rPr>
        <w:t xml:space="preserve">Pasiūlymo galiojimo užtikrinimo </w:t>
      </w:r>
      <w:r w:rsidRPr="007C1FEE">
        <w:rPr>
          <w:rFonts w:ascii="Arial" w:hAnsi="Arial" w:cs="Arial"/>
          <w:sz w:val="22"/>
          <w:szCs w:val="22"/>
        </w:rPr>
        <w:t>formos (pridedama atskiru priedu)</w:t>
      </w:r>
    </w:p>
    <w:p w14:paraId="0CAC681E" w14:textId="4BB1D63F" w:rsidR="00D41D80" w:rsidRPr="007C1FEE" w:rsidRDefault="00D41D80"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39E950D2" w14:textId="77777777" w:rsidR="003279AF" w:rsidRDefault="003279AF" w:rsidP="00F31248">
      <w:pPr>
        <w:pStyle w:val="Pagrindinistekstas"/>
        <w:ind w:firstLine="0"/>
        <w:rPr>
          <w:rFonts w:ascii="Arial" w:hAnsi="Arial" w:cs="Arial"/>
          <w:color w:val="C00000"/>
          <w:sz w:val="22"/>
          <w:szCs w:val="22"/>
        </w:rPr>
      </w:pPr>
    </w:p>
    <w:p w14:paraId="744CF80A" w14:textId="77777777" w:rsidR="003279AF" w:rsidRDefault="003279AF"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75CBD87C" w14:textId="77777777" w:rsidR="002136A5" w:rsidRDefault="002136A5"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9C6192">
          <w:rPr>
            <w:rStyle w:val="Hipersaitas"/>
            <w:rFonts w:ascii="Arial" w:hAnsi="Arial" w:cs="Arial"/>
            <w:sz w:val="22"/>
            <w:szCs w:val="22"/>
          </w:rPr>
          <w:t>IT-ASFALTAS-25_.pdf</w:t>
        </w:r>
      </w:hyperlink>
      <w:r w:rsidR="009C6192">
        <w:rPr>
          <w:rFonts w:ascii="Arial" w:hAnsi="Arial" w:cs="Arial"/>
          <w:sz w:val="22"/>
          <w:szCs w:val="22"/>
        </w:rPr>
        <w:t xml:space="preserve"> </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Pr="002172B0"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2172B0">
        <w:rPr>
          <w:rFonts w:ascii="Arial" w:hAnsi="Arial" w:cs="Arial"/>
          <w:sz w:val="22"/>
          <w:szCs w:val="22"/>
        </w:rPr>
        <w:t>“</w:t>
      </w:r>
      <w:r w:rsidR="001C75F0">
        <w:rPr>
          <w:rFonts w:ascii="Arial" w:hAnsi="Arial" w:cs="Arial"/>
          <w:sz w:val="22"/>
          <w:szCs w:val="22"/>
        </w:rPr>
        <w:t xml:space="preserve"> (</w:t>
      </w:r>
      <w:hyperlink r:id="rId22" w:history="1">
        <w:r w:rsidR="001C75F0" w:rsidRPr="001C75F0">
          <w:rPr>
            <w:rStyle w:val="Hipersaitas"/>
            <w:rFonts w:ascii="Arial" w:hAnsi="Arial" w:cs="Arial"/>
            <w:sz w:val="22"/>
            <w:szCs w:val="22"/>
          </w:rPr>
          <w:t>TRA-ASFALTAS-25_.pdf</w:t>
        </w:r>
      </w:hyperlink>
      <w:r w:rsidR="001C75F0">
        <w:rPr>
          <w:rFonts w:ascii="Arial" w:hAnsi="Arial" w:cs="Arial"/>
          <w:sz w:val="22"/>
          <w:szCs w:val="22"/>
        </w:rPr>
        <w:t>)</w:t>
      </w:r>
      <w:r w:rsidRPr="002172B0">
        <w:rPr>
          <w:rFonts w:ascii="Arial" w:hAnsi="Arial" w:cs="Arial"/>
          <w:sz w:val="22"/>
          <w:szCs w:val="22"/>
        </w:rPr>
        <w:t xml:space="preserve">, 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02CC" w14:textId="77777777" w:rsidR="00B13E4D" w:rsidRDefault="00B13E4D" w:rsidP="0075209B">
      <w:r>
        <w:separator/>
      </w:r>
    </w:p>
  </w:endnote>
  <w:endnote w:type="continuationSeparator" w:id="0">
    <w:p w14:paraId="0E657C1A" w14:textId="77777777" w:rsidR="00B13E4D" w:rsidRDefault="00B13E4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1D92" w14:textId="77777777" w:rsidR="00B13E4D" w:rsidRDefault="00B13E4D" w:rsidP="0075209B">
      <w:r>
        <w:separator/>
      </w:r>
    </w:p>
  </w:footnote>
  <w:footnote w:type="continuationSeparator" w:id="0">
    <w:p w14:paraId="5A70C479" w14:textId="77777777" w:rsidR="00B13E4D" w:rsidRDefault="00B13E4D"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20</Pages>
  <Words>31248</Words>
  <Characters>17812</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69</cp:revision>
  <cp:lastPrinted>2019-05-27T13:27:00Z</cp:lastPrinted>
  <dcterms:created xsi:type="dcterms:W3CDTF">2025-03-04T05:34:00Z</dcterms:created>
  <dcterms:modified xsi:type="dcterms:W3CDTF">2025-09-11T07:30:00Z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