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4737" w:type="dxa"/>
        <w:shd w:val="clear" w:color="auto" w:fill="FFF2CC" w:themeFill="accent4" w:themeFillTint="33"/>
        <w:tblLook w:val="04A0" w:firstRow="1" w:lastRow="0" w:firstColumn="1" w:lastColumn="0" w:noHBand="0" w:noVBand="1"/>
      </w:tblPr>
      <w:tblGrid>
        <w:gridCol w:w="14737"/>
      </w:tblGrid>
      <w:tr w:rsidR="00C17AF1" w14:paraId="6A5B3072" w14:textId="77777777" w:rsidTr="009A1980">
        <w:tc>
          <w:tcPr>
            <w:tcW w:w="14737" w:type="dxa"/>
            <w:shd w:val="clear" w:color="auto" w:fill="FFF2CC" w:themeFill="accent4" w:themeFillTint="33"/>
          </w:tcPr>
          <w:p w14:paraId="3599DA5F" w14:textId="77777777" w:rsidR="00253801" w:rsidRDefault="00253801" w:rsidP="00253801">
            <w:pPr>
              <w:jc w:val="center"/>
              <w:rPr>
                <w:rFonts w:ascii="Times New Roman" w:hAnsi="Times New Roman" w:cs="Times New Roman"/>
                <w:b/>
              </w:rPr>
            </w:pPr>
            <w:r w:rsidRPr="00C17AF1">
              <w:rPr>
                <w:rFonts w:ascii="Times New Roman" w:hAnsi="Times New Roman" w:cs="Times New Roman"/>
                <w:b/>
              </w:rPr>
              <w:t>PRANEŠIMAS</w:t>
            </w:r>
          </w:p>
        </w:tc>
      </w:tr>
    </w:tbl>
    <w:p w14:paraId="475E7F9F" w14:textId="77777777" w:rsidR="00C17AF1" w:rsidRPr="0009172A" w:rsidRDefault="00C17AF1" w:rsidP="0009172A">
      <w:pPr>
        <w:jc w:val="center"/>
        <w:rPr>
          <w:rFonts w:ascii="Times New Roman" w:hAnsi="Times New Roman" w:cs="Times New Roman"/>
          <w:b/>
        </w:rPr>
      </w:pPr>
    </w:p>
    <w:tbl>
      <w:tblPr>
        <w:tblStyle w:val="Lentelstinklelis"/>
        <w:tblW w:w="14737" w:type="dxa"/>
        <w:tblLook w:val="04A0" w:firstRow="1" w:lastRow="0" w:firstColumn="1" w:lastColumn="0" w:noHBand="0" w:noVBand="1"/>
      </w:tblPr>
      <w:tblGrid>
        <w:gridCol w:w="2122"/>
        <w:gridCol w:w="12615"/>
      </w:tblGrid>
      <w:tr w:rsidR="0009172A" w14:paraId="14CA3778" w14:textId="77777777" w:rsidTr="009A1980">
        <w:trPr>
          <w:trHeight w:val="566"/>
        </w:trPr>
        <w:tc>
          <w:tcPr>
            <w:tcW w:w="2122" w:type="dxa"/>
            <w:shd w:val="clear" w:color="auto" w:fill="FFF2CC" w:themeFill="accent4" w:themeFillTint="33"/>
          </w:tcPr>
          <w:p w14:paraId="0F52DA6B" w14:textId="0C972416" w:rsidR="0009172A" w:rsidRDefault="008B10B6" w:rsidP="0009172A">
            <w:pPr>
              <w:rPr>
                <w:rFonts w:ascii="Times New Roman" w:hAnsi="Times New Roman" w:cs="Times New Roman"/>
              </w:rPr>
            </w:pPr>
            <w:r>
              <w:rPr>
                <w:rFonts w:ascii="Times New Roman" w:hAnsi="Times New Roman" w:cs="Times New Roman"/>
              </w:rPr>
              <w:t>P</w:t>
            </w:r>
            <w:r w:rsidR="0009172A">
              <w:rPr>
                <w:rFonts w:ascii="Times New Roman" w:hAnsi="Times New Roman" w:cs="Times New Roman"/>
              </w:rPr>
              <w:t>avadinimas</w:t>
            </w:r>
          </w:p>
        </w:tc>
        <w:tc>
          <w:tcPr>
            <w:tcW w:w="12615" w:type="dxa"/>
          </w:tcPr>
          <w:p w14:paraId="789204AC" w14:textId="2A49F9BC" w:rsidR="0009172A" w:rsidRPr="00212B47" w:rsidRDefault="009A1980" w:rsidP="009A6B5C">
            <w:pPr>
              <w:jc w:val="both"/>
              <w:rPr>
                <w:rFonts w:ascii="Times New Roman" w:hAnsi="Times New Roman" w:cs="Times New Roman"/>
                <w:b/>
                <w:highlight w:val="yellow"/>
              </w:rPr>
            </w:pPr>
            <w:r w:rsidRPr="009A1980">
              <w:rPr>
                <w:rFonts w:ascii="Times New Roman" w:hAnsi="Times New Roman" w:cs="Times New Roman"/>
                <w:b/>
                <w:bCs/>
                <w:iCs/>
              </w:rPr>
              <w:t>Vieningos personalo valdymo sistemos su integruota darbo užmokesčio apskaita kūrimo ir diegimo paslaugos (PPR-697)</w:t>
            </w:r>
          </w:p>
        </w:tc>
      </w:tr>
      <w:tr w:rsidR="0009172A" w14:paraId="4D386851" w14:textId="77777777" w:rsidTr="009A1980">
        <w:tc>
          <w:tcPr>
            <w:tcW w:w="2122" w:type="dxa"/>
            <w:shd w:val="clear" w:color="auto" w:fill="FFF2CC" w:themeFill="accent4" w:themeFillTint="33"/>
          </w:tcPr>
          <w:p w14:paraId="2CBEA92C" w14:textId="65DDD988" w:rsidR="0009172A" w:rsidRDefault="004F692F" w:rsidP="0009172A">
            <w:pPr>
              <w:rPr>
                <w:rFonts w:ascii="Times New Roman" w:hAnsi="Times New Roman" w:cs="Times New Roman"/>
              </w:rPr>
            </w:pPr>
            <w:r>
              <w:rPr>
                <w:rFonts w:ascii="Times New Roman" w:hAnsi="Times New Roman" w:cs="Times New Roman"/>
              </w:rPr>
              <w:t xml:space="preserve">Pirkimo </w:t>
            </w:r>
            <w:r w:rsidR="00381740">
              <w:rPr>
                <w:rFonts w:ascii="Times New Roman" w:hAnsi="Times New Roman" w:cs="Times New Roman"/>
              </w:rPr>
              <w:t>ID</w:t>
            </w:r>
            <w:r w:rsidR="008D4308">
              <w:rPr>
                <w:rFonts w:ascii="Times New Roman" w:hAnsi="Times New Roman" w:cs="Times New Roman"/>
              </w:rPr>
              <w:t xml:space="preserve"> CVPIS</w:t>
            </w:r>
          </w:p>
        </w:tc>
        <w:tc>
          <w:tcPr>
            <w:tcW w:w="12615" w:type="dxa"/>
          </w:tcPr>
          <w:p w14:paraId="296CC7C4" w14:textId="41F951A4" w:rsidR="0009172A" w:rsidRPr="00212B47" w:rsidRDefault="009A1980" w:rsidP="0009172A">
            <w:pPr>
              <w:rPr>
                <w:rFonts w:ascii="Times New Roman" w:hAnsi="Times New Roman" w:cs="Times New Roman"/>
                <w:highlight w:val="yellow"/>
              </w:rPr>
            </w:pPr>
            <w:r>
              <w:rPr>
                <w:rFonts w:ascii="Times New Roman" w:hAnsi="Times New Roman" w:cs="Times New Roman"/>
              </w:rPr>
              <w:t>4142142</w:t>
            </w:r>
          </w:p>
        </w:tc>
      </w:tr>
      <w:tr w:rsidR="0009172A" w14:paraId="1B5A242C" w14:textId="77777777" w:rsidTr="009A1980">
        <w:tc>
          <w:tcPr>
            <w:tcW w:w="2122" w:type="dxa"/>
            <w:shd w:val="clear" w:color="auto" w:fill="FFF2CC" w:themeFill="accent4" w:themeFillTint="33"/>
          </w:tcPr>
          <w:p w14:paraId="63014226" w14:textId="1BA55EE2" w:rsidR="0009172A" w:rsidRDefault="004C2FF8" w:rsidP="0009172A">
            <w:pPr>
              <w:rPr>
                <w:rFonts w:ascii="Times New Roman" w:hAnsi="Times New Roman" w:cs="Times New Roman"/>
              </w:rPr>
            </w:pPr>
            <w:r>
              <w:rPr>
                <w:rFonts w:ascii="Times New Roman" w:hAnsi="Times New Roman" w:cs="Times New Roman"/>
              </w:rPr>
              <w:t>Pranešimo d</w:t>
            </w:r>
            <w:r w:rsidR="0009172A">
              <w:rPr>
                <w:rFonts w:ascii="Times New Roman" w:hAnsi="Times New Roman" w:cs="Times New Roman"/>
              </w:rPr>
              <w:t>ata</w:t>
            </w:r>
          </w:p>
        </w:tc>
        <w:tc>
          <w:tcPr>
            <w:tcW w:w="12615" w:type="dxa"/>
          </w:tcPr>
          <w:p w14:paraId="425393CE" w14:textId="15FA6459" w:rsidR="0009172A" w:rsidRDefault="009A6B5C" w:rsidP="0009172A">
            <w:pPr>
              <w:rPr>
                <w:rFonts w:ascii="Times New Roman" w:hAnsi="Times New Roman" w:cs="Times New Roman"/>
              </w:rPr>
            </w:pPr>
            <w:r w:rsidRPr="00F4245A">
              <w:rPr>
                <w:rFonts w:ascii="Times New Roman" w:hAnsi="Times New Roman" w:cs="Times New Roman"/>
              </w:rPr>
              <w:t>202</w:t>
            </w:r>
            <w:r w:rsidR="00381740">
              <w:rPr>
                <w:rFonts w:ascii="Times New Roman" w:hAnsi="Times New Roman" w:cs="Times New Roman"/>
              </w:rPr>
              <w:t>5</w:t>
            </w:r>
            <w:r w:rsidR="00905E60" w:rsidRPr="00F4245A">
              <w:rPr>
                <w:rFonts w:ascii="Times New Roman" w:hAnsi="Times New Roman" w:cs="Times New Roman"/>
              </w:rPr>
              <w:t>-0</w:t>
            </w:r>
            <w:r w:rsidR="00212B47">
              <w:rPr>
                <w:rFonts w:ascii="Times New Roman" w:hAnsi="Times New Roman" w:cs="Times New Roman"/>
              </w:rPr>
              <w:t>9</w:t>
            </w:r>
            <w:r w:rsidR="00F97F42" w:rsidRPr="00F4245A">
              <w:rPr>
                <w:rFonts w:ascii="Times New Roman" w:hAnsi="Times New Roman" w:cs="Times New Roman"/>
              </w:rPr>
              <w:t>-</w:t>
            </w:r>
            <w:r w:rsidR="009A1980">
              <w:rPr>
                <w:rFonts w:ascii="Times New Roman" w:hAnsi="Times New Roman" w:cs="Times New Roman"/>
              </w:rPr>
              <w:t>1</w:t>
            </w:r>
            <w:r w:rsidR="00F56CA6">
              <w:rPr>
                <w:rFonts w:ascii="Times New Roman" w:hAnsi="Times New Roman" w:cs="Times New Roman"/>
              </w:rPr>
              <w:t>2</w:t>
            </w:r>
          </w:p>
        </w:tc>
      </w:tr>
    </w:tbl>
    <w:p w14:paraId="6C2A79C2" w14:textId="77777777" w:rsidR="0009172A" w:rsidRDefault="0009172A" w:rsidP="0009172A">
      <w:pPr>
        <w:jc w:val="center"/>
        <w:rPr>
          <w:rFonts w:ascii="Times New Roman" w:hAnsi="Times New Roman" w:cs="Times New Roman"/>
        </w:rPr>
      </w:pPr>
    </w:p>
    <w:p w14:paraId="6457C5F1" w14:textId="77777777" w:rsidR="00AA0627" w:rsidRPr="00FD2686" w:rsidRDefault="00AA0627" w:rsidP="00AA0627">
      <w:pPr>
        <w:tabs>
          <w:tab w:val="left" w:pos="567"/>
          <w:tab w:val="left" w:pos="851"/>
          <w:tab w:val="left" w:pos="1134"/>
        </w:tabs>
        <w:spacing w:after="0" w:line="240" w:lineRule="auto"/>
        <w:ind w:firstLine="567"/>
        <w:jc w:val="both"/>
        <w:rPr>
          <w:rFonts w:ascii="Times New Roman" w:eastAsia="Times New Roman" w:hAnsi="Times New Roman" w:cs="Times New Roman"/>
          <w:b/>
          <w:bCs/>
          <w:i/>
        </w:rPr>
      </w:pPr>
      <w:r w:rsidRPr="00FD2686">
        <w:rPr>
          <w:rFonts w:ascii="Times New Roman" w:eastAsia="Times New Roman" w:hAnsi="Times New Roman" w:cs="Times New Roman"/>
          <w:b/>
          <w:i/>
        </w:rPr>
        <w:t xml:space="preserve">ATSAKYMAS Į </w:t>
      </w:r>
      <w:r>
        <w:rPr>
          <w:rFonts w:ascii="Times New Roman" w:eastAsia="Times New Roman" w:hAnsi="Times New Roman" w:cs="Times New Roman"/>
          <w:b/>
          <w:i/>
        </w:rPr>
        <w:t>GAUTĄ</w:t>
      </w:r>
      <w:r w:rsidRPr="00FD2686">
        <w:rPr>
          <w:rFonts w:ascii="Times New Roman" w:eastAsia="Times New Roman" w:hAnsi="Times New Roman" w:cs="Times New Roman"/>
          <w:b/>
          <w:i/>
        </w:rPr>
        <w:t xml:space="preserve"> </w:t>
      </w:r>
      <w:r>
        <w:rPr>
          <w:rFonts w:ascii="Times New Roman" w:eastAsia="Times New Roman" w:hAnsi="Times New Roman" w:cs="Times New Roman"/>
          <w:b/>
          <w:bCs/>
          <w:i/>
        </w:rPr>
        <w:t>PAKLAUSIMĄ DĖL PASKELBTO TECHNINĖS SPECIFIKACIJOS</w:t>
      </w:r>
      <w:r w:rsidRPr="00FD2686">
        <w:rPr>
          <w:rFonts w:ascii="Times New Roman" w:eastAsia="Times New Roman" w:hAnsi="Times New Roman" w:cs="Times New Roman"/>
          <w:b/>
          <w:bCs/>
          <w:i/>
        </w:rPr>
        <w:t xml:space="preserve"> PROJEKT</w:t>
      </w:r>
      <w:r>
        <w:rPr>
          <w:rFonts w:ascii="Times New Roman" w:eastAsia="Times New Roman" w:hAnsi="Times New Roman" w:cs="Times New Roman"/>
          <w:b/>
          <w:bCs/>
          <w:i/>
        </w:rPr>
        <w:t>O</w:t>
      </w:r>
    </w:p>
    <w:p w14:paraId="16518C37" w14:textId="77777777" w:rsidR="00AA0627" w:rsidRPr="00FD2686" w:rsidRDefault="00AA0627" w:rsidP="00AA0627">
      <w:pPr>
        <w:tabs>
          <w:tab w:val="left" w:pos="567"/>
          <w:tab w:val="left" w:pos="851"/>
          <w:tab w:val="left" w:pos="1134"/>
        </w:tabs>
        <w:spacing w:after="0" w:line="240" w:lineRule="auto"/>
        <w:ind w:firstLine="567"/>
        <w:jc w:val="both"/>
        <w:rPr>
          <w:rFonts w:ascii="Times New Roman" w:eastAsia="Times New Roman" w:hAnsi="Times New Roman" w:cs="Times New Roman"/>
          <w:b/>
          <w:i/>
          <w:sz w:val="16"/>
          <w:szCs w:val="16"/>
        </w:rPr>
      </w:pPr>
    </w:p>
    <w:p w14:paraId="517CCF67" w14:textId="77777777" w:rsidR="00AA0627" w:rsidRPr="00FD2686" w:rsidRDefault="00AA0627" w:rsidP="00AA0627">
      <w:pPr>
        <w:tabs>
          <w:tab w:val="left" w:pos="567"/>
          <w:tab w:val="left" w:pos="851"/>
          <w:tab w:val="left" w:pos="1134"/>
        </w:tabs>
        <w:spacing w:after="0" w:line="240" w:lineRule="auto"/>
        <w:ind w:firstLine="567"/>
        <w:jc w:val="both"/>
        <w:rPr>
          <w:rFonts w:ascii="Times New Roman" w:eastAsia="Times New Roman" w:hAnsi="Times New Roman" w:cs="Times New Roman"/>
          <w:i/>
        </w:rPr>
      </w:pPr>
      <w:r w:rsidRPr="00FD2686">
        <w:rPr>
          <w:rFonts w:ascii="Times New Roman" w:eastAsia="Times New Roman" w:hAnsi="Times New Roman" w:cs="Times New Roman"/>
          <w:i/>
        </w:rPr>
        <w:t xml:space="preserve">Informuojame, kad buvo </w:t>
      </w:r>
      <w:r>
        <w:rPr>
          <w:rFonts w:ascii="Times New Roman" w:eastAsia="Times New Roman" w:hAnsi="Times New Roman" w:cs="Times New Roman"/>
          <w:i/>
        </w:rPr>
        <w:t xml:space="preserve">gautas paklausimas dėl </w:t>
      </w:r>
      <w:r w:rsidRPr="00FD2686">
        <w:rPr>
          <w:rFonts w:ascii="Times New Roman" w:eastAsia="Times New Roman" w:hAnsi="Times New Roman" w:cs="Times New Roman"/>
          <w:i/>
        </w:rPr>
        <w:t>paskel</w:t>
      </w:r>
      <w:r>
        <w:rPr>
          <w:rFonts w:ascii="Times New Roman" w:eastAsia="Times New Roman" w:hAnsi="Times New Roman" w:cs="Times New Roman"/>
          <w:i/>
        </w:rPr>
        <w:t>b</w:t>
      </w:r>
      <w:r w:rsidRPr="00FD2686">
        <w:rPr>
          <w:rFonts w:ascii="Times New Roman" w:eastAsia="Times New Roman" w:hAnsi="Times New Roman" w:cs="Times New Roman"/>
          <w:i/>
        </w:rPr>
        <w:t>t</w:t>
      </w:r>
      <w:r>
        <w:rPr>
          <w:rFonts w:ascii="Times New Roman" w:eastAsia="Times New Roman" w:hAnsi="Times New Roman" w:cs="Times New Roman"/>
          <w:i/>
        </w:rPr>
        <w:t>o</w:t>
      </w:r>
      <w:r w:rsidRPr="00FD2686">
        <w:rPr>
          <w:rFonts w:ascii="Times New Roman" w:eastAsia="Times New Roman" w:hAnsi="Times New Roman" w:cs="Times New Roman"/>
          <w:i/>
        </w:rPr>
        <w:t xml:space="preserve"> </w:t>
      </w:r>
      <w:r w:rsidRPr="00A7427E">
        <w:rPr>
          <w:rFonts w:ascii="Times New Roman" w:eastAsia="Times New Roman" w:hAnsi="Times New Roman" w:cs="Times New Roman"/>
          <w:i/>
        </w:rPr>
        <w:t>Vieningos personalo valdymo sistemos su integruota darbo užmokesčio apskaita kūrimo ir diegimo paslaugos (PPR-697</w:t>
      </w:r>
      <w:r>
        <w:rPr>
          <w:rFonts w:ascii="Times New Roman" w:eastAsia="Times New Roman" w:hAnsi="Times New Roman" w:cs="Times New Roman"/>
          <w:i/>
        </w:rPr>
        <w:t xml:space="preserve">) </w:t>
      </w:r>
      <w:r w:rsidRPr="00553DBC">
        <w:rPr>
          <w:rFonts w:ascii="Times New Roman" w:eastAsia="Times New Roman" w:hAnsi="Times New Roman" w:cs="Times New Roman"/>
          <w:i/>
        </w:rPr>
        <w:t>technin</w:t>
      </w:r>
      <w:r>
        <w:rPr>
          <w:rFonts w:ascii="Times New Roman" w:eastAsia="Times New Roman" w:hAnsi="Times New Roman" w:cs="Times New Roman"/>
          <w:i/>
        </w:rPr>
        <w:t>ės</w:t>
      </w:r>
      <w:r w:rsidRPr="00553DBC">
        <w:rPr>
          <w:rFonts w:ascii="Times New Roman" w:eastAsia="Times New Roman" w:hAnsi="Times New Roman" w:cs="Times New Roman"/>
          <w:i/>
        </w:rPr>
        <w:t xml:space="preserve"> specifikacij</w:t>
      </w:r>
      <w:r>
        <w:rPr>
          <w:rFonts w:ascii="Times New Roman" w:eastAsia="Times New Roman" w:hAnsi="Times New Roman" w:cs="Times New Roman"/>
          <w:i/>
        </w:rPr>
        <w:t>os</w:t>
      </w:r>
      <w:r w:rsidRPr="00553DBC">
        <w:rPr>
          <w:rFonts w:ascii="Times New Roman" w:eastAsia="Times New Roman" w:hAnsi="Times New Roman" w:cs="Times New Roman"/>
          <w:i/>
        </w:rPr>
        <w:t xml:space="preserve"> projekt</w:t>
      </w:r>
      <w:r>
        <w:rPr>
          <w:rFonts w:ascii="Times New Roman" w:eastAsia="Times New Roman" w:hAnsi="Times New Roman" w:cs="Times New Roman"/>
          <w:i/>
        </w:rPr>
        <w:t>o</w:t>
      </w:r>
      <w:r w:rsidRPr="00553DBC">
        <w:rPr>
          <w:rFonts w:ascii="Times New Roman" w:eastAsia="Times New Roman" w:hAnsi="Times New Roman" w:cs="Times New Roman"/>
          <w:i/>
        </w:rPr>
        <w:t>.</w:t>
      </w:r>
    </w:p>
    <w:p w14:paraId="3C2D8FD0" w14:textId="77777777" w:rsidR="00AA0627" w:rsidRDefault="00AA0627" w:rsidP="00AA0627">
      <w:pPr>
        <w:tabs>
          <w:tab w:val="left" w:pos="567"/>
          <w:tab w:val="left" w:pos="851"/>
          <w:tab w:val="left" w:pos="1134"/>
        </w:tabs>
        <w:spacing w:after="120" w:line="240" w:lineRule="auto"/>
        <w:ind w:firstLine="567"/>
        <w:jc w:val="both"/>
        <w:rPr>
          <w:rFonts w:ascii="Times New Roman" w:eastAsia="Times New Roman" w:hAnsi="Times New Roman" w:cs="Times New Roman"/>
          <w:i/>
        </w:rPr>
      </w:pPr>
      <w:r w:rsidRPr="00FD2686">
        <w:rPr>
          <w:rFonts w:ascii="Times New Roman" w:eastAsia="Times New Roman" w:hAnsi="Times New Roman" w:cs="Times New Roman"/>
          <w:i/>
        </w:rPr>
        <w:t xml:space="preserve">Teikiame </w:t>
      </w:r>
      <w:r>
        <w:rPr>
          <w:rFonts w:ascii="Times New Roman" w:eastAsia="Times New Roman" w:hAnsi="Times New Roman" w:cs="Times New Roman"/>
          <w:i/>
        </w:rPr>
        <w:t xml:space="preserve">gautą </w:t>
      </w:r>
      <w:r w:rsidRPr="00FD2686">
        <w:rPr>
          <w:rFonts w:ascii="Times New Roman" w:eastAsia="Times New Roman" w:hAnsi="Times New Roman" w:cs="Times New Roman"/>
          <w:i/>
        </w:rPr>
        <w:t>pa</w:t>
      </w:r>
      <w:r>
        <w:rPr>
          <w:rFonts w:ascii="Times New Roman" w:eastAsia="Times New Roman" w:hAnsi="Times New Roman" w:cs="Times New Roman"/>
          <w:i/>
        </w:rPr>
        <w:t>klausimą</w:t>
      </w:r>
      <w:r w:rsidRPr="00FD2686">
        <w:rPr>
          <w:rFonts w:ascii="Times New Roman" w:eastAsia="Times New Roman" w:hAnsi="Times New Roman" w:cs="Times New Roman"/>
          <w:i/>
        </w:rPr>
        <w:t xml:space="preserve"> bei atsakym</w:t>
      </w:r>
      <w:r>
        <w:rPr>
          <w:rFonts w:ascii="Times New Roman" w:eastAsia="Times New Roman" w:hAnsi="Times New Roman" w:cs="Times New Roman"/>
          <w:i/>
        </w:rPr>
        <w:t>ą</w:t>
      </w:r>
      <w:r w:rsidRPr="00FD2686">
        <w:rPr>
          <w:rFonts w:ascii="Times New Roman" w:eastAsia="Times New Roman" w:hAnsi="Times New Roman" w:cs="Times New Roman"/>
          <w:i/>
        </w:rPr>
        <w:t>:</w:t>
      </w:r>
    </w:p>
    <w:p w14:paraId="604B44AB" w14:textId="77777777" w:rsidR="009A1980" w:rsidRPr="00684D98" w:rsidRDefault="009A1980" w:rsidP="009A1980">
      <w:pPr>
        <w:pStyle w:val="Betarp"/>
        <w:tabs>
          <w:tab w:val="left" w:pos="993"/>
        </w:tabs>
        <w:ind w:firstLine="567"/>
        <w:jc w:val="both"/>
        <w:rPr>
          <w:i/>
          <w:sz w:val="22"/>
        </w:rPr>
      </w:pPr>
    </w:p>
    <w:tbl>
      <w:tblPr>
        <w:tblStyle w:val="Lentelstinklelis"/>
        <w:tblW w:w="14737" w:type="dxa"/>
        <w:tblLayout w:type="fixed"/>
        <w:tblLook w:val="04A0" w:firstRow="1" w:lastRow="0" w:firstColumn="1" w:lastColumn="0" w:noHBand="0" w:noVBand="1"/>
      </w:tblPr>
      <w:tblGrid>
        <w:gridCol w:w="562"/>
        <w:gridCol w:w="1489"/>
        <w:gridCol w:w="1559"/>
        <w:gridCol w:w="1843"/>
        <w:gridCol w:w="1701"/>
        <w:gridCol w:w="2055"/>
        <w:gridCol w:w="1559"/>
        <w:gridCol w:w="3969"/>
      </w:tblGrid>
      <w:tr w:rsidR="009A1980" w:rsidRPr="000B3DF0" w14:paraId="49B01FFC" w14:textId="77777777" w:rsidTr="00940656">
        <w:tc>
          <w:tcPr>
            <w:tcW w:w="562" w:type="dxa"/>
            <w:vMerge w:val="restart"/>
            <w:shd w:val="clear" w:color="auto" w:fill="FFFFFF" w:themeFill="background1"/>
            <w:vAlign w:val="center"/>
          </w:tcPr>
          <w:p w14:paraId="42962D70" w14:textId="77777777" w:rsidR="009A1980" w:rsidRPr="000B3DF0" w:rsidRDefault="009A1980" w:rsidP="00940656">
            <w:pPr>
              <w:pStyle w:val="Default"/>
              <w:rPr>
                <w:rFonts w:ascii="Times New Roman" w:hAnsi="Times New Roman" w:cs="Times New Roman"/>
                <w:b/>
                <w:bCs/>
                <w:sz w:val="23"/>
                <w:szCs w:val="23"/>
              </w:rPr>
            </w:pPr>
            <w:r w:rsidRPr="000B3DF0">
              <w:rPr>
                <w:rFonts w:ascii="Times New Roman" w:hAnsi="Times New Roman" w:cs="Times New Roman"/>
                <w:b/>
                <w:bCs/>
                <w:sz w:val="23"/>
                <w:szCs w:val="23"/>
              </w:rPr>
              <w:t>Eil. Nr.</w:t>
            </w:r>
          </w:p>
        </w:tc>
        <w:tc>
          <w:tcPr>
            <w:tcW w:w="10206" w:type="dxa"/>
            <w:gridSpan w:val="6"/>
            <w:shd w:val="clear" w:color="auto" w:fill="E7E6E6" w:themeFill="background2"/>
            <w:vAlign w:val="center"/>
          </w:tcPr>
          <w:p w14:paraId="1659E8F2" w14:textId="77777777" w:rsidR="009A1980" w:rsidRPr="000B3DF0" w:rsidRDefault="009A1980" w:rsidP="00940656">
            <w:pPr>
              <w:pStyle w:val="Default"/>
              <w:jc w:val="center"/>
              <w:rPr>
                <w:rFonts w:ascii="Times New Roman" w:hAnsi="Times New Roman" w:cs="Times New Roman"/>
                <w:b/>
                <w:bCs/>
                <w:sz w:val="23"/>
                <w:szCs w:val="23"/>
              </w:rPr>
            </w:pPr>
            <w:r w:rsidRPr="000B3DF0">
              <w:rPr>
                <w:rFonts w:ascii="Times New Roman" w:hAnsi="Times New Roman" w:cs="Times New Roman"/>
                <w:b/>
                <w:bCs/>
                <w:sz w:val="23"/>
                <w:szCs w:val="23"/>
              </w:rPr>
              <w:t>Tiekėjo paklausimo turinys (tekstas neredaguotas)</w:t>
            </w:r>
          </w:p>
        </w:tc>
        <w:tc>
          <w:tcPr>
            <w:tcW w:w="3969" w:type="dxa"/>
            <w:vMerge w:val="restart"/>
            <w:vAlign w:val="center"/>
          </w:tcPr>
          <w:p w14:paraId="124A5BCA" w14:textId="77777777" w:rsidR="009A1980" w:rsidRPr="000B3DF0" w:rsidRDefault="009A1980" w:rsidP="00940656">
            <w:pPr>
              <w:jc w:val="center"/>
              <w:rPr>
                <w:rFonts w:ascii="Times New Roman" w:hAnsi="Times New Roman" w:cs="Times New Roman"/>
                <w:b/>
                <w:sz w:val="23"/>
                <w:szCs w:val="23"/>
              </w:rPr>
            </w:pPr>
            <w:r w:rsidRPr="000B3DF0">
              <w:rPr>
                <w:rFonts w:ascii="Times New Roman" w:hAnsi="Times New Roman" w:cs="Times New Roman"/>
                <w:b/>
                <w:sz w:val="23"/>
                <w:szCs w:val="23"/>
              </w:rPr>
              <w:t>Perkančiosios organizacijos atsakymai</w:t>
            </w:r>
          </w:p>
        </w:tc>
      </w:tr>
      <w:tr w:rsidR="009A1980" w:rsidRPr="000B3DF0" w14:paraId="4E2E9709" w14:textId="77777777" w:rsidTr="00940656">
        <w:tc>
          <w:tcPr>
            <w:tcW w:w="562" w:type="dxa"/>
            <w:vMerge/>
            <w:shd w:val="clear" w:color="auto" w:fill="FFFFFF" w:themeFill="background1"/>
            <w:vAlign w:val="center"/>
          </w:tcPr>
          <w:p w14:paraId="04C7EAF4" w14:textId="77777777" w:rsidR="009A1980" w:rsidRPr="000B3DF0" w:rsidRDefault="009A1980" w:rsidP="00940656">
            <w:pPr>
              <w:rPr>
                <w:rFonts w:ascii="Times New Roman" w:hAnsi="Times New Roman" w:cs="Times New Roman"/>
                <w:b/>
                <w:sz w:val="23"/>
                <w:szCs w:val="23"/>
              </w:rPr>
            </w:pPr>
          </w:p>
        </w:tc>
        <w:tc>
          <w:tcPr>
            <w:tcW w:w="1489" w:type="dxa"/>
            <w:shd w:val="clear" w:color="auto" w:fill="E7E6E6" w:themeFill="background2"/>
            <w:vAlign w:val="center"/>
          </w:tcPr>
          <w:p w14:paraId="048D5568" w14:textId="77777777" w:rsidR="009A1980" w:rsidRPr="000B3DF0" w:rsidRDefault="009A1980" w:rsidP="00940656">
            <w:pPr>
              <w:pStyle w:val="Default"/>
              <w:jc w:val="center"/>
              <w:rPr>
                <w:rFonts w:ascii="Times New Roman" w:hAnsi="Times New Roman" w:cs="Times New Roman"/>
                <w:b/>
                <w:sz w:val="23"/>
                <w:szCs w:val="23"/>
              </w:rPr>
            </w:pPr>
            <w:r w:rsidRPr="000B3DF0">
              <w:rPr>
                <w:rFonts w:ascii="Times New Roman" w:hAnsi="Times New Roman" w:cs="Times New Roman"/>
                <w:b/>
                <w:bCs/>
                <w:sz w:val="23"/>
                <w:szCs w:val="23"/>
              </w:rPr>
              <w:t>Dokumento skyrius / punktas</w:t>
            </w:r>
          </w:p>
          <w:p w14:paraId="3D122430" w14:textId="77777777" w:rsidR="009A1980" w:rsidRPr="000B3DF0" w:rsidRDefault="009A1980" w:rsidP="00940656">
            <w:pPr>
              <w:rPr>
                <w:rFonts w:ascii="Times New Roman" w:hAnsi="Times New Roman" w:cs="Times New Roman"/>
                <w:b/>
                <w:sz w:val="23"/>
                <w:szCs w:val="23"/>
              </w:rPr>
            </w:pPr>
          </w:p>
        </w:tc>
        <w:tc>
          <w:tcPr>
            <w:tcW w:w="1559" w:type="dxa"/>
            <w:shd w:val="clear" w:color="auto" w:fill="E7E6E6" w:themeFill="background2"/>
            <w:vAlign w:val="center"/>
          </w:tcPr>
          <w:p w14:paraId="7C03221F" w14:textId="77777777" w:rsidR="009A1980" w:rsidRPr="000B3DF0" w:rsidRDefault="009A1980" w:rsidP="00940656">
            <w:pPr>
              <w:pStyle w:val="Default"/>
              <w:jc w:val="center"/>
              <w:rPr>
                <w:rFonts w:ascii="Times New Roman" w:hAnsi="Times New Roman" w:cs="Times New Roman"/>
                <w:b/>
                <w:sz w:val="23"/>
                <w:szCs w:val="23"/>
              </w:rPr>
            </w:pPr>
            <w:r w:rsidRPr="000B3DF0">
              <w:rPr>
                <w:rFonts w:ascii="Times New Roman" w:hAnsi="Times New Roman" w:cs="Times New Roman"/>
                <w:b/>
                <w:bCs/>
                <w:sz w:val="23"/>
                <w:szCs w:val="23"/>
              </w:rPr>
              <w:t>Tiksli dokumento vieta</w:t>
            </w:r>
          </w:p>
          <w:p w14:paraId="1F40F38E" w14:textId="77777777" w:rsidR="009A1980" w:rsidRPr="000B3DF0" w:rsidRDefault="009A1980" w:rsidP="00940656">
            <w:pPr>
              <w:jc w:val="center"/>
              <w:rPr>
                <w:rFonts w:ascii="Times New Roman" w:hAnsi="Times New Roman" w:cs="Times New Roman"/>
                <w:b/>
                <w:sz w:val="23"/>
                <w:szCs w:val="23"/>
              </w:rPr>
            </w:pPr>
          </w:p>
        </w:tc>
        <w:tc>
          <w:tcPr>
            <w:tcW w:w="1843" w:type="dxa"/>
            <w:shd w:val="clear" w:color="auto" w:fill="E7E6E6" w:themeFill="background2"/>
            <w:vAlign w:val="center"/>
          </w:tcPr>
          <w:p w14:paraId="19CC3E78" w14:textId="77777777" w:rsidR="009A1980" w:rsidRPr="000B3DF0" w:rsidRDefault="009A1980" w:rsidP="00940656">
            <w:pPr>
              <w:pStyle w:val="Default"/>
              <w:jc w:val="center"/>
              <w:rPr>
                <w:rFonts w:ascii="Times New Roman" w:hAnsi="Times New Roman" w:cs="Times New Roman"/>
                <w:b/>
                <w:sz w:val="23"/>
                <w:szCs w:val="23"/>
              </w:rPr>
            </w:pPr>
            <w:r w:rsidRPr="000B3DF0">
              <w:rPr>
                <w:rFonts w:ascii="Times New Roman" w:hAnsi="Times New Roman" w:cs="Times New Roman"/>
                <w:b/>
                <w:bCs/>
                <w:sz w:val="23"/>
                <w:szCs w:val="23"/>
              </w:rPr>
              <w:t>Originali formuluotė</w:t>
            </w:r>
          </w:p>
          <w:p w14:paraId="4B8537B1" w14:textId="77777777" w:rsidR="009A1980" w:rsidRPr="000B3DF0" w:rsidRDefault="009A1980" w:rsidP="00940656">
            <w:pPr>
              <w:jc w:val="center"/>
              <w:rPr>
                <w:rFonts w:ascii="Times New Roman" w:hAnsi="Times New Roman" w:cs="Times New Roman"/>
                <w:b/>
                <w:sz w:val="23"/>
                <w:szCs w:val="23"/>
              </w:rPr>
            </w:pPr>
          </w:p>
        </w:tc>
        <w:tc>
          <w:tcPr>
            <w:tcW w:w="1701" w:type="dxa"/>
            <w:shd w:val="clear" w:color="auto" w:fill="E7E6E6" w:themeFill="background2"/>
            <w:vAlign w:val="center"/>
          </w:tcPr>
          <w:p w14:paraId="50B660AF" w14:textId="77777777" w:rsidR="009A1980" w:rsidRPr="000B3DF0" w:rsidRDefault="009A1980" w:rsidP="00940656">
            <w:pPr>
              <w:pStyle w:val="Default"/>
              <w:jc w:val="center"/>
              <w:rPr>
                <w:rFonts w:ascii="Times New Roman" w:hAnsi="Times New Roman" w:cs="Times New Roman"/>
                <w:b/>
                <w:sz w:val="23"/>
                <w:szCs w:val="23"/>
              </w:rPr>
            </w:pPr>
            <w:r w:rsidRPr="000B3DF0">
              <w:rPr>
                <w:rFonts w:ascii="Times New Roman" w:hAnsi="Times New Roman" w:cs="Times New Roman"/>
                <w:b/>
                <w:bCs/>
                <w:sz w:val="23"/>
                <w:szCs w:val="23"/>
              </w:rPr>
              <w:t>Problema</w:t>
            </w:r>
          </w:p>
          <w:p w14:paraId="7FA7FC2D" w14:textId="77777777" w:rsidR="009A1980" w:rsidRPr="000B3DF0" w:rsidRDefault="009A1980" w:rsidP="00940656">
            <w:pPr>
              <w:jc w:val="center"/>
              <w:rPr>
                <w:rFonts w:ascii="Times New Roman" w:hAnsi="Times New Roman" w:cs="Times New Roman"/>
                <w:b/>
                <w:sz w:val="23"/>
                <w:szCs w:val="23"/>
              </w:rPr>
            </w:pPr>
          </w:p>
        </w:tc>
        <w:tc>
          <w:tcPr>
            <w:tcW w:w="2055" w:type="dxa"/>
            <w:shd w:val="clear" w:color="auto" w:fill="E7E6E6" w:themeFill="background2"/>
            <w:vAlign w:val="center"/>
          </w:tcPr>
          <w:p w14:paraId="6A824C0C" w14:textId="77777777" w:rsidR="009A1980" w:rsidRPr="000B3DF0" w:rsidRDefault="009A1980" w:rsidP="00940656">
            <w:pPr>
              <w:pStyle w:val="Default"/>
              <w:jc w:val="center"/>
              <w:rPr>
                <w:rFonts w:ascii="Times New Roman" w:hAnsi="Times New Roman" w:cs="Times New Roman"/>
                <w:b/>
                <w:sz w:val="23"/>
                <w:szCs w:val="23"/>
              </w:rPr>
            </w:pPr>
            <w:r w:rsidRPr="000B3DF0">
              <w:rPr>
                <w:rFonts w:ascii="Times New Roman" w:hAnsi="Times New Roman" w:cs="Times New Roman"/>
                <w:b/>
                <w:bCs/>
                <w:sz w:val="23"/>
                <w:szCs w:val="23"/>
              </w:rPr>
              <w:t>Klausimas perkančiajai organizacijai</w:t>
            </w:r>
          </w:p>
          <w:p w14:paraId="23AC5263" w14:textId="77777777" w:rsidR="009A1980" w:rsidRPr="000B3DF0" w:rsidRDefault="009A1980" w:rsidP="00940656">
            <w:pPr>
              <w:jc w:val="center"/>
              <w:rPr>
                <w:rFonts w:ascii="Times New Roman" w:hAnsi="Times New Roman" w:cs="Times New Roman"/>
                <w:b/>
                <w:sz w:val="23"/>
                <w:szCs w:val="23"/>
              </w:rPr>
            </w:pPr>
          </w:p>
        </w:tc>
        <w:tc>
          <w:tcPr>
            <w:tcW w:w="1559" w:type="dxa"/>
            <w:shd w:val="clear" w:color="auto" w:fill="E7E6E6" w:themeFill="background2"/>
            <w:vAlign w:val="center"/>
          </w:tcPr>
          <w:p w14:paraId="24E15444" w14:textId="77777777" w:rsidR="009A1980" w:rsidRPr="000B3DF0" w:rsidRDefault="009A1980" w:rsidP="00940656">
            <w:pPr>
              <w:pStyle w:val="Default"/>
              <w:jc w:val="center"/>
              <w:rPr>
                <w:rFonts w:ascii="Times New Roman" w:hAnsi="Times New Roman" w:cs="Times New Roman"/>
                <w:b/>
                <w:sz w:val="23"/>
                <w:szCs w:val="23"/>
              </w:rPr>
            </w:pPr>
            <w:r w:rsidRPr="000B3DF0">
              <w:rPr>
                <w:rFonts w:ascii="Times New Roman" w:hAnsi="Times New Roman" w:cs="Times New Roman"/>
                <w:b/>
                <w:bCs/>
                <w:sz w:val="23"/>
                <w:szCs w:val="23"/>
              </w:rPr>
              <w:t>Potenciali rizika tiekėjui</w:t>
            </w:r>
          </w:p>
          <w:p w14:paraId="736A864C" w14:textId="77777777" w:rsidR="009A1980" w:rsidRPr="000B3DF0" w:rsidRDefault="009A1980" w:rsidP="00940656">
            <w:pPr>
              <w:jc w:val="center"/>
              <w:rPr>
                <w:rFonts w:ascii="Times New Roman" w:hAnsi="Times New Roman" w:cs="Times New Roman"/>
                <w:b/>
                <w:sz w:val="23"/>
                <w:szCs w:val="23"/>
              </w:rPr>
            </w:pPr>
          </w:p>
        </w:tc>
        <w:tc>
          <w:tcPr>
            <w:tcW w:w="3969" w:type="dxa"/>
            <w:vMerge/>
            <w:vAlign w:val="center"/>
          </w:tcPr>
          <w:p w14:paraId="58AF0A65" w14:textId="77777777" w:rsidR="009A1980" w:rsidRPr="000B3DF0" w:rsidRDefault="009A1980" w:rsidP="00940656">
            <w:pPr>
              <w:rPr>
                <w:rFonts w:ascii="Times New Roman" w:hAnsi="Times New Roman" w:cs="Times New Roman"/>
                <w:sz w:val="23"/>
                <w:szCs w:val="23"/>
              </w:rPr>
            </w:pPr>
          </w:p>
        </w:tc>
      </w:tr>
      <w:tr w:rsidR="009A1980" w:rsidRPr="000B3DF0" w14:paraId="0ABF9454" w14:textId="77777777" w:rsidTr="00940656">
        <w:tc>
          <w:tcPr>
            <w:tcW w:w="562" w:type="dxa"/>
            <w:shd w:val="clear" w:color="auto" w:fill="FFFFFF" w:themeFill="background1"/>
            <w:vAlign w:val="center"/>
          </w:tcPr>
          <w:p w14:paraId="6C652602"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t>1.</w:t>
            </w:r>
          </w:p>
        </w:tc>
        <w:tc>
          <w:tcPr>
            <w:tcW w:w="1489" w:type="dxa"/>
            <w:shd w:val="clear" w:color="auto" w:fill="E7E6E6" w:themeFill="background2"/>
            <w:vAlign w:val="center"/>
          </w:tcPr>
          <w:p w14:paraId="7F701096"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t>TS 4. Pirkimo apimtis</w:t>
            </w:r>
          </w:p>
          <w:p w14:paraId="0939400F"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t>– Integracijos</w:t>
            </w:r>
          </w:p>
        </w:tc>
        <w:tc>
          <w:tcPr>
            <w:tcW w:w="1559" w:type="dxa"/>
            <w:shd w:val="clear" w:color="auto" w:fill="E7E6E6" w:themeFill="background2"/>
            <w:vAlign w:val="center"/>
          </w:tcPr>
          <w:p w14:paraId="745B32C6"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1_Techninė specifikacija (TS).docx, p. 4.2 </w:t>
            </w:r>
          </w:p>
          <w:p w14:paraId="69B7C007"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494EAE2D"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Duomenų sinchronizacija ir integracija su ne daugiau kaip 7 (septyniomis) valstybinėmis ir kitomis išorinėmis sistemomis. </w:t>
            </w:r>
          </w:p>
          <w:p w14:paraId="6A7CC1D2"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4F248E73"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Nurodyta „ne daugiau kaip 7…“, bet nėra aišku, kurios konkrečiai sistemos ir kokiu lygiu integracija reikalinga. </w:t>
            </w:r>
          </w:p>
          <w:p w14:paraId="4879A09A"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7D131114"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Prašome patikslinti, su kokiomis konkrečiomis sistemomis planuojama integracija ir kokiu lygiu (API, duomenų mainų formatai, realaus laiko/periodinė). </w:t>
            </w:r>
          </w:p>
          <w:p w14:paraId="5F832400"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4508F807"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Rizika įvertinti neteisingą darbų apimtį ir kainą; gali tekti papildomai derėtis arba bus neįmanoma įvykdyti laiku. </w:t>
            </w:r>
          </w:p>
          <w:p w14:paraId="04201131" w14:textId="77777777" w:rsidR="009A1980" w:rsidRPr="000B3DF0" w:rsidRDefault="009A1980" w:rsidP="00940656">
            <w:pPr>
              <w:rPr>
                <w:rFonts w:ascii="Times New Roman" w:hAnsi="Times New Roman" w:cs="Times New Roman"/>
                <w:sz w:val="23"/>
                <w:szCs w:val="23"/>
              </w:rPr>
            </w:pPr>
          </w:p>
        </w:tc>
        <w:tc>
          <w:tcPr>
            <w:tcW w:w="3969" w:type="dxa"/>
            <w:vAlign w:val="center"/>
          </w:tcPr>
          <w:p w14:paraId="5D4046D0"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Pagal Techninės specifikacijos reikalavimus duomenų sinchronizacija ir integracija turi būti vykdoma  su ne daugiau kaip 7 (septyniomis) valstybinėmis ir kitomis išorinėmis sistemomis.</w:t>
            </w:r>
          </w:p>
          <w:p w14:paraId="05E97461"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Pagrindinės tokios sistemos yra Sodra, DBSIS, VRPR, VATARAS, VIKSVA ir FABIS, tačiau šis sąrašas nėra baigtinis ir gali keistis projekto vykdymo metu.</w:t>
            </w:r>
          </w:p>
          <w:p w14:paraId="68226668"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Kadangi Perkančioji organizacija nėra valstybinių ir kitų išorinių sistemų savininkė, ji negali tiksliai nurodyti su </w:t>
            </w:r>
            <w:r w:rsidRPr="000B3DF0">
              <w:rPr>
                <w:rFonts w:ascii="Times New Roman" w:hAnsi="Times New Roman" w:cs="Times New Roman"/>
                <w:sz w:val="23"/>
                <w:szCs w:val="23"/>
              </w:rPr>
              <w:lastRenderedPageBreak/>
              <w:t>kuriomis konkrečiai sistemomis reikės dirbti ir kokiomis sąlygomis. Galutinis sistemų sąrašas bus nustatytas projekto vykdymo metu, o Tiekėjas turės pasirūpinti duomenų sinchronizacija ir integracija pagal kiekvienos sistemos valdytojų reikalavimus. Galutiniai techniniai sprendimai turės būti patvirtinti projekto analizės ir projektavimo etape.</w:t>
            </w:r>
          </w:p>
        </w:tc>
      </w:tr>
      <w:tr w:rsidR="009A1980" w:rsidRPr="000B3DF0" w14:paraId="5090BA98" w14:textId="77777777" w:rsidTr="00940656">
        <w:tc>
          <w:tcPr>
            <w:tcW w:w="562" w:type="dxa"/>
            <w:shd w:val="clear" w:color="auto" w:fill="FFFFFF" w:themeFill="background1"/>
            <w:vAlign w:val="center"/>
          </w:tcPr>
          <w:p w14:paraId="72AA073F"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lastRenderedPageBreak/>
              <w:t>2.</w:t>
            </w:r>
          </w:p>
        </w:tc>
        <w:tc>
          <w:tcPr>
            <w:tcW w:w="1489" w:type="dxa"/>
            <w:shd w:val="clear" w:color="auto" w:fill="E7E6E6" w:themeFill="background2"/>
            <w:vAlign w:val="center"/>
          </w:tcPr>
          <w:p w14:paraId="7FE4E695"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bCs/>
                <w:sz w:val="23"/>
                <w:szCs w:val="23"/>
              </w:rPr>
              <w:t xml:space="preserve">TS 4. Pirkimo apimtis – Debesijos aplinka </w:t>
            </w:r>
          </w:p>
          <w:p w14:paraId="0B6ED526"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35F3BF63"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1_Techninė specifikacija (TS).docx, p. 4.3 </w:t>
            </w:r>
          </w:p>
          <w:p w14:paraId="630215B9"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62085576"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Pilnas sprendimo įdiegimas į Tarnybos infrastruktūrą arba numatytą debesijos aplinką. </w:t>
            </w:r>
          </w:p>
          <w:p w14:paraId="74C38859"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0C52C189"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Nenurodyta, ar turi būti naudojama vieša, privati ar hibridinė debesijos aplinka, kokie saugumo standartai taikomi. Ar nereikės visko diegti VDC. </w:t>
            </w:r>
          </w:p>
          <w:p w14:paraId="5DD75A57"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29B1B6F0"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Ar sprendimas turi būti diegiamas Tarnybos vidinėje infrastruktūroje, ar leidžiama naudoti viešąją debesiją (pvz. Azure, AWS)? Kokie privalomi sertifikatai/saugumo standartai (ISO 27001, ENS, kt.)? </w:t>
            </w:r>
          </w:p>
          <w:p w14:paraId="21C3EE48"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7498F281"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Rizika pasirinkti netinkamą technologinę platformą; galimi papildomi kaštai migracijai ar saugumo reikalavimų neatitikimui. Jeigu bus cloud - greičiausiai tikrins ir PĮ licencijas. </w:t>
            </w:r>
          </w:p>
          <w:p w14:paraId="2A9C4177" w14:textId="77777777" w:rsidR="009A1980" w:rsidRPr="000B3DF0" w:rsidRDefault="009A1980" w:rsidP="00940656">
            <w:pPr>
              <w:rPr>
                <w:rFonts w:ascii="Times New Roman" w:hAnsi="Times New Roman" w:cs="Times New Roman"/>
                <w:sz w:val="23"/>
                <w:szCs w:val="23"/>
              </w:rPr>
            </w:pPr>
          </w:p>
        </w:tc>
        <w:tc>
          <w:tcPr>
            <w:tcW w:w="3969" w:type="dxa"/>
            <w:vAlign w:val="center"/>
          </w:tcPr>
          <w:p w14:paraId="47883CC9"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t>Sistema turės būti įdiegta Tarnybos nurodytame duomenų centre, viešosios debesijos paslaugos (Azure, AWS ir pan.) nebus naudojamos. Reikalavimai duomenų ir kibernetinei saugai nurodyti Techninės specifikacijos 6.3 poskyryje „Reikalavimai saugumui“.</w:t>
            </w:r>
          </w:p>
        </w:tc>
      </w:tr>
      <w:tr w:rsidR="009A1980" w:rsidRPr="000B3DF0" w14:paraId="712A2D87" w14:textId="77777777" w:rsidTr="00940656">
        <w:tc>
          <w:tcPr>
            <w:tcW w:w="562" w:type="dxa"/>
            <w:shd w:val="clear" w:color="auto" w:fill="FFFFFF" w:themeFill="background1"/>
            <w:vAlign w:val="center"/>
          </w:tcPr>
          <w:p w14:paraId="5B532F4F"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t>3.</w:t>
            </w:r>
          </w:p>
        </w:tc>
        <w:tc>
          <w:tcPr>
            <w:tcW w:w="1489" w:type="dxa"/>
            <w:shd w:val="clear" w:color="auto" w:fill="E7E6E6" w:themeFill="background2"/>
            <w:vAlign w:val="center"/>
          </w:tcPr>
          <w:p w14:paraId="214ADE97"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bCs/>
                <w:sz w:val="23"/>
                <w:szCs w:val="23"/>
              </w:rPr>
              <w:t xml:space="preserve">TS 5. Sistemos funkciniai reikalavimai </w:t>
            </w:r>
          </w:p>
          <w:p w14:paraId="504A081E"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432648C1"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1_Techninė specifikacija (TS).docx, p. 5 </w:t>
            </w:r>
          </w:p>
          <w:p w14:paraId="2EC1F67F"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621A2C91"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Užtikrinti procesų skaidrumą, galimybę atlikti darbų eigos </w:t>
            </w:r>
            <w:r w:rsidRPr="000B3DF0">
              <w:rPr>
                <w:rFonts w:ascii="Times New Roman" w:hAnsi="Times New Roman" w:cs="Times New Roman"/>
                <w:sz w:val="23"/>
                <w:szCs w:val="23"/>
              </w:rPr>
              <w:lastRenderedPageBreak/>
              <w:t xml:space="preserve">neakivaizdinę kontrolę, aiškų užduočių paskirstymą. </w:t>
            </w:r>
          </w:p>
          <w:p w14:paraId="212CACFD"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49F5387B"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Naudojami terminai „užtikrinti skaidrumą“, „užtikrinti </w:t>
            </w:r>
            <w:r w:rsidRPr="000B3DF0">
              <w:rPr>
                <w:rFonts w:ascii="Times New Roman" w:hAnsi="Times New Roman" w:cs="Times New Roman"/>
                <w:sz w:val="23"/>
                <w:szCs w:val="23"/>
              </w:rPr>
              <w:lastRenderedPageBreak/>
              <w:t xml:space="preserve">operatyvumą“ yra nekonkretūs ir neapibrėžti matavimo rodikliai. </w:t>
            </w:r>
          </w:p>
          <w:p w14:paraId="5F84A6F7"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7F063B3A"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Prašome pateikti kiekybinius rodiklius (pvz., atsakymo laikai, užklausų </w:t>
            </w:r>
            <w:r w:rsidRPr="000B3DF0">
              <w:rPr>
                <w:rFonts w:ascii="Times New Roman" w:hAnsi="Times New Roman" w:cs="Times New Roman"/>
                <w:sz w:val="23"/>
                <w:szCs w:val="23"/>
              </w:rPr>
              <w:lastRenderedPageBreak/>
              <w:t xml:space="preserve">apdorojimo trukmė, SLA parametrai). </w:t>
            </w:r>
          </w:p>
          <w:p w14:paraId="2D1B16AF"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0341FFBC"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Rizika nesuprasti, kaip bus vertinama atitiktis; </w:t>
            </w:r>
            <w:r w:rsidRPr="000B3DF0">
              <w:rPr>
                <w:rFonts w:ascii="Times New Roman" w:hAnsi="Times New Roman" w:cs="Times New Roman"/>
                <w:sz w:val="23"/>
                <w:szCs w:val="23"/>
              </w:rPr>
              <w:lastRenderedPageBreak/>
              <w:t xml:space="preserve">ginčai dėl sutarties vykdymo </w:t>
            </w:r>
          </w:p>
          <w:p w14:paraId="15FC7FB4" w14:textId="77777777" w:rsidR="009A1980" w:rsidRPr="000B3DF0" w:rsidRDefault="009A1980" w:rsidP="00940656">
            <w:pPr>
              <w:rPr>
                <w:rFonts w:ascii="Times New Roman" w:hAnsi="Times New Roman" w:cs="Times New Roman"/>
                <w:sz w:val="23"/>
                <w:szCs w:val="23"/>
              </w:rPr>
            </w:pPr>
          </w:p>
        </w:tc>
        <w:tc>
          <w:tcPr>
            <w:tcW w:w="3969" w:type="dxa"/>
            <w:vAlign w:val="center"/>
          </w:tcPr>
          <w:p w14:paraId="12BBDCE9"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lastRenderedPageBreak/>
              <w:t xml:space="preserve">Paaiškiname, kad Techninės specifikacijos 2.3 poskyryje „Rezultatai“ pateikiama apibendrinta informacija kas bus įgyvendinta </w:t>
            </w:r>
            <w:r w:rsidRPr="000B3DF0">
              <w:rPr>
                <w:rFonts w:ascii="Times New Roman" w:hAnsi="Times New Roman" w:cs="Times New Roman"/>
                <w:sz w:val="23"/>
                <w:szCs w:val="23"/>
              </w:rPr>
              <w:lastRenderedPageBreak/>
              <w:t>projekto metu. Ši informacija neturi kiekybinių vertinimo rodiklių.</w:t>
            </w:r>
          </w:p>
          <w:p w14:paraId="4C1689D2" w14:textId="77777777" w:rsidR="009A1980" w:rsidRPr="000B3DF0" w:rsidRDefault="009A1980" w:rsidP="00940656">
            <w:pPr>
              <w:pStyle w:val="prastasiniatinklio"/>
              <w:spacing w:before="0" w:beforeAutospacing="0" w:after="120" w:afterAutospacing="0"/>
              <w:rPr>
                <w:sz w:val="23"/>
                <w:szCs w:val="23"/>
                <w:lang w:val="lt-LT"/>
              </w:rPr>
            </w:pPr>
            <w:r w:rsidRPr="000B3DF0">
              <w:rPr>
                <w:rStyle w:val="Grietas"/>
                <w:sz w:val="23"/>
                <w:szCs w:val="23"/>
                <w:lang w:val="lt-LT"/>
              </w:rPr>
              <w:t>Procesų skaidrumas</w:t>
            </w:r>
            <w:r w:rsidRPr="000B3DF0">
              <w:rPr>
                <w:sz w:val="23"/>
                <w:szCs w:val="23"/>
                <w:lang w:val="lt-LT"/>
              </w:rPr>
              <w:t xml:space="preserve"> reiškia, kad visi darbo Sistemoje veiksmai turi būti aiškiai matomi ir lengvai sekami, kad būtų galima tiksliai žinoti, kas, kada ir kokius darbus atliko. </w:t>
            </w:r>
          </w:p>
          <w:p w14:paraId="17B21974" w14:textId="77777777" w:rsidR="009A1980" w:rsidRPr="000B3DF0" w:rsidRDefault="009A1980" w:rsidP="00940656">
            <w:pPr>
              <w:pStyle w:val="prastasiniatinklio"/>
              <w:spacing w:before="0" w:beforeAutospacing="0" w:after="120" w:afterAutospacing="0"/>
              <w:rPr>
                <w:sz w:val="23"/>
                <w:szCs w:val="23"/>
                <w:lang w:val="lt-LT"/>
              </w:rPr>
            </w:pPr>
            <w:r w:rsidRPr="000B3DF0">
              <w:rPr>
                <w:rStyle w:val="Grietas"/>
                <w:sz w:val="23"/>
                <w:szCs w:val="23"/>
                <w:lang w:val="lt-LT"/>
              </w:rPr>
              <w:t>Darbų eigos neakivaizdinė kontrolė</w:t>
            </w:r>
            <w:r w:rsidRPr="000B3DF0">
              <w:rPr>
                <w:sz w:val="23"/>
                <w:szCs w:val="23"/>
                <w:lang w:val="lt-LT"/>
              </w:rPr>
              <w:t xml:space="preserve"> reiškia, kad Perkančiosios organizacijos paskirti atsakingi asmenys turi galimybę stebėti ir vertinti darbo Sistemoje procesų eigą. Taip pat turi būti nustatytos procesų eigos taisyklės, padedančios kontroliuoti procesų etapų eigą (pvz. automatiškai siunčiančios informacinius el. laiškus naudotojams kai jie gauna užduotį arba vėluoja ją atlikti ir pan.). </w:t>
            </w:r>
          </w:p>
          <w:p w14:paraId="26873AA7" w14:textId="77777777" w:rsidR="009A1980" w:rsidRPr="000B3DF0" w:rsidRDefault="009A1980" w:rsidP="00940656">
            <w:pPr>
              <w:pStyle w:val="prastasiniatinklio"/>
              <w:spacing w:before="0" w:beforeAutospacing="0" w:after="120" w:afterAutospacing="0"/>
              <w:rPr>
                <w:sz w:val="23"/>
                <w:szCs w:val="23"/>
                <w:lang w:val="lt-LT"/>
              </w:rPr>
            </w:pPr>
            <w:r w:rsidRPr="000B3DF0">
              <w:rPr>
                <w:rStyle w:val="Grietas"/>
                <w:sz w:val="23"/>
                <w:szCs w:val="23"/>
                <w:lang w:val="lt-LT"/>
              </w:rPr>
              <w:t>Aiškus užduočių paskirstymas</w:t>
            </w:r>
            <w:r w:rsidRPr="000B3DF0">
              <w:rPr>
                <w:sz w:val="23"/>
                <w:szCs w:val="23"/>
                <w:lang w:val="lt-LT"/>
              </w:rPr>
              <w:t xml:space="preserve"> reiškia, kad kiekvienam Sistemos naudotojui turi būti galimybė priskirti konkrečias užduotis ir atsakomybes, kad būtų išvengta dubliavimo, klaidų ir užtikrintas efektyvus darbo vykdymas.</w:t>
            </w:r>
          </w:p>
          <w:p w14:paraId="2CE1E565"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Konkretūs Sistemos funkciniai reikalavimai yra nurodyti Techninės specifikacijos 5 skyriuje „Sistemos funkciniai reikalavimai“. </w:t>
            </w:r>
          </w:p>
        </w:tc>
      </w:tr>
      <w:tr w:rsidR="009A1980" w:rsidRPr="000B3DF0" w14:paraId="567A48A2" w14:textId="77777777" w:rsidTr="00940656">
        <w:tc>
          <w:tcPr>
            <w:tcW w:w="562" w:type="dxa"/>
            <w:shd w:val="clear" w:color="auto" w:fill="FFFFFF" w:themeFill="background1"/>
            <w:vAlign w:val="center"/>
          </w:tcPr>
          <w:p w14:paraId="7A218C13"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lastRenderedPageBreak/>
              <w:t>4.</w:t>
            </w:r>
          </w:p>
        </w:tc>
        <w:tc>
          <w:tcPr>
            <w:tcW w:w="1489" w:type="dxa"/>
            <w:shd w:val="clear" w:color="auto" w:fill="E7E6E6" w:themeFill="background2"/>
            <w:vAlign w:val="center"/>
          </w:tcPr>
          <w:p w14:paraId="7407B4CD"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bCs/>
                <w:sz w:val="23"/>
                <w:szCs w:val="23"/>
              </w:rPr>
              <w:t xml:space="preserve">TS 6. Palaikymas </w:t>
            </w:r>
          </w:p>
          <w:p w14:paraId="66B01F12"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0DA4E676"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1_Techninė specifikacija (TS).docx, p. </w:t>
            </w:r>
            <w:r w:rsidRPr="000B3DF0">
              <w:rPr>
                <w:rFonts w:ascii="Times New Roman" w:hAnsi="Times New Roman" w:cs="Times New Roman"/>
                <w:sz w:val="23"/>
                <w:szCs w:val="23"/>
              </w:rPr>
              <w:lastRenderedPageBreak/>
              <w:t xml:space="preserve">„Funkciniai reikalavimai“ </w:t>
            </w:r>
          </w:p>
          <w:p w14:paraId="0A29E615"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046C635D"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Turi būti užtikrintas 24 mėnesių palaikymas – </w:t>
            </w:r>
            <w:r w:rsidRPr="000B3DF0">
              <w:rPr>
                <w:rFonts w:ascii="Times New Roman" w:hAnsi="Times New Roman" w:cs="Times New Roman"/>
                <w:sz w:val="23"/>
                <w:szCs w:val="23"/>
              </w:rPr>
              <w:lastRenderedPageBreak/>
              <w:t xml:space="preserve">naudotojų konsultacijos, atnaujinimai pagal teisės aktų ir techninius pokyčius, archyvavimas, naudotojų administravimas. </w:t>
            </w:r>
          </w:p>
          <w:p w14:paraId="4D2C8EF2"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4174C18A"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Reikalavimas dėl 24 mėn. palaikymo neapibrėžia </w:t>
            </w:r>
            <w:r w:rsidRPr="000B3DF0">
              <w:rPr>
                <w:rFonts w:ascii="Times New Roman" w:hAnsi="Times New Roman" w:cs="Times New Roman"/>
                <w:sz w:val="23"/>
                <w:szCs w:val="23"/>
              </w:rPr>
              <w:lastRenderedPageBreak/>
              <w:t xml:space="preserve">atsakomybių ribų (naudotojų konsultacijos, atnaujinimai pagal teisės aktus, archyvavimas, naudotojų administravimas). Neaišku, ar tai tiekėjo, ar Tarnybos funkcija. </w:t>
            </w:r>
          </w:p>
          <w:p w14:paraId="3731ACFD"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07C6484B"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Prašome patikslinti: (1) kokios konsultacijos įeina (helpdesk, </w:t>
            </w:r>
            <w:r w:rsidRPr="000B3DF0">
              <w:rPr>
                <w:rFonts w:ascii="Times New Roman" w:hAnsi="Times New Roman" w:cs="Times New Roman"/>
                <w:sz w:val="23"/>
                <w:szCs w:val="23"/>
              </w:rPr>
              <w:lastRenderedPageBreak/>
              <w:t xml:space="preserve">mokymai?), (2) ar tiekėjas pats seka teisės aktų pokyčius ar gauna užduotis iš Tarnybos, (3) kokio lygio archyvavimas numatomas, (4) ar naudotojų administravimą turi vykdyti tiekėjas ar Tarnyba. </w:t>
            </w:r>
          </w:p>
          <w:p w14:paraId="5CD02BAD"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39288229"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Rizika, kad tiekėjas įvertins per mažai resursų </w:t>
            </w:r>
            <w:r w:rsidRPr="000B3DF0">
              <w:rPr>
                <w:rFonts w:ascii="Times New Roman" w:hAnsi="Times New Roman" w:cs="Times New Roman"/>
                <w:sz w:val="23"/>
                <w:szCs w:val="23"/>
              </w:rPr>
              <w:lastRenderedPageBreak/>
              <w:t xml:space="preserve">palaikymui; ginčai dėl paslaugų apimties ir papildomų darbų, galimi neatitikimai sutarties vykdymo metu. </w:t>
            </w:r>
          </w:p>
          <w:p w14:paraId="62163177" w14:textId="77777777" w:rsidR="009A1980" w:rsidRPr="000B3DF0" w:rsidRDefault="009A1980" w:rsidP="00940656">
            <w:pPr>
              <w:rPr>
                <w:rFonts w:ascii="Times New Roman" w:hAnsi="Times New Roman" w:cs="Times New Roman"/>
                <w:sz w:val="23"/>
                <w:szCs w:val="23"/>
              </w:rPr>
            </w:pPr>
          </w:p>
        </w:tc>
        <w:tc>
          <w:tcPr>
            <w:tcW w:w="3969" w:type="dxa"/>
            <w:vAlign w:val="center"/>
          </w:tcPr>
          <w:p w14:paraId="08748284" w14:textId="77777777" w:rsidR="009A1980" w:rsidRPr="000B3DF0" w:rsidRDefault="009A1980" w:rsidP="009A1980">
            <w:pPr>
              <w:pStyle w:val="Sraopastraipa"/>
              <w:numPr>
                <w:ilvl w:val="0"/>
                <w:numId w:val="6"/>
              </w:numPr>
              <w:tabs>
                <w:tab w:val="left" w:pos="389"/>
              </w:tabs>
              <w:spacing w:after="120"/>
              <w:ind w:left="0" w:firstLine="0"/>
              <w:rPr>
                <w:rFonts w:ascii="Times New Roman" w:hAnsi="Times New Roman" w:cs="Times New Roman"/>
                <w:sz w:val="23"/>
                <w:szCs w:val="23"/>
              </w:rPr>
            </w:pPr>
            <w:r w:rsidRPr="000B3DF0">
              <w:rPr>
                <w:rFonts w:ascii="Times New Roman" w:hAnsi="Times New Roman" w:cs="Times New Roman"/>
                <w:sz w:val="23"/>
                <w:szCs w:val="23"/>
              </w:rPr>
              <w:lastRenderedPageBreak/>
              <w:t xml:space="preserve">Į konsultacijų paslaugas įeina Sistemos administratorių ir Tarnybos diegėjų konsultacijos techniniais klausimais. Taip pat Tiekėjas turi </w:t>
            </w:r>
            <w:r w:rsidRPr="000B3DF0">
              <w:rPr>
                <w:rFonts w:ascii="Times New Roman" w:hAnsi="Times New Roman" w:cs="Times New Roman"/>
                <w:sz w:val="23"/>
                <w:szCs w:val="23"/>
              </w:rPr>
              <w:lastRenderedPageBreak/>
              <w:t>užtikrinti pagrindinių Sistemos naudotojų (ne daugiau 10 Tarnybos darbuotojų) konsultacijas Sistemos veikimo, funkcionalumų ir pan. klausimais. Sistemos naudotojų konsultavimas palaikymo metu neįeina, pvz. už naudotojų konsultavimą Savitarnos modulio naudojimosi klausimais bus atsakingi Tarnybos darbuotojai.</w:t>
            </w:r>
          </w:p>
          <w:p w14:paraId="78BFC516" w14:textId="77777777" w:rsidR="009A1980" w:rsidRPr="000B3DF0" w:rsidRDefault="009A1980" w:rsidP="00940656">
            <w:pPr>
              <w:pStyle w:val="Sraopastraipa"/>
              <w:tabs>
                <w:tab w:val="left" w:pos="389"/>
              </w:tabs>
              <w:spacing w:after="120"/>
              <w:ind w:left="0"/>
              <w:rPr>
                <w:rFonts w:ascii="Times New Roman" w:hAnsi="Times New Roman" w:cs="Times New Roman"/>
                <w:sz w:val="23"/>
                <w:szCs w:val="23"/>
              </w:rPr>
            </w:pPr>
          </w:p>
          <w:p w14:paraId="6FF8D39A" w14:textId="77777777" w:rsidR="009A1980" w:rsidRPr="000B3DF0" w:rsidRDefault="009A1980" w:rsidP="009A1980">
            <w:pPr>
              <w:pStyle w:val="Sraopastraipa"/>
              <w:numPr>
                <w:ilvl w:val="0"/>
                <w:numId w:val="6"/>
              </w:numPr>
              <w:tabs>
                <w:tab w:val="left" w:pos="383"/>
              </w:tabs>
              <w:spacing w:after="120"/>
              <w:ind w:left="0" w:firstLine="0"/>
              <w:rPr>
                <w:rFonts w:ascii="Times New Roman" w:hAnsi="Times New Roman" w:cs="Times New Roman"/>
                <w:sz w:val="23"/>
                <w:szCs w:val="23"/>
              </w:rPr>
            </w:pPr>
            <w:r w:rsidRPr="000B3DF0">
              <w:rPr>
                <w:rFonts w:ascii="Times New Roman" w:hAnsi="Times New Roman" w:cs="Times New Roman"/>
                <w:sz w:val="23"/>
                <w:szCs w:val="23"/>
              </w:rPr>
              <w:t xml:space="preserve"> Teisės aktų pokyčius seka Perkančioji organizacija, tačiau už jų techninį įgyvendinimą Sistemoje bus atsakingas Teikėjas, suderinus su Perkančiąja organizacija.</w:t>
            </w:r>
          </w:p>
          <w:p w14:paraId="37DAA977" w14:textId="77777777" w:rsidR="009A1980" w:rsidRPr="000B3DF0" w:rsidRDefault="009A1980" w:rsidP="00940656">
            <w:pPr>
              <w:pStyle w:val="Sraopastraipa"/>
              <w:spacing w:after="120"/>
              <w:rPr>
                <w:rFonts w:ascii="Times New Roman" w:hAnsi="Times New Roman" w:cs="Times New Roman"/>
                <w:sz w:val="23"/>
                <w:szCs w:val="23"/>
              </w:rPr>
            </w:pPr>
          </w:p>
          <w:p w14:paraId="5AA41112" w14:textId="77777777" w:rsidR="009A1980" w:rsidRPr="000B3DF0" w:rsidRDefault="009A1980" w:rsidP="009A1980">
            <w:pPr>
              <w:pStyle w:val="Sraopastraipa"/>
              <w:numPr>
                <w:ilvl w:val="0"/>
                <w:numId w:val="6"/>
              </w:numPr>
              <w:tabs>
                <w:tab w:val="left" w:pos="383"/>
              </w:tabs>
              <w:spacing w:after="120"/>
              <w:ind w:left="0" w:firstLine="0"/>
              <w:rPr>
                <w:rFonts w:ascii="Times New Roman" w:hAnsi="Times New Roman" w:cs="Times New Roman"/>
                <w:sz w:val="23"/>
                <w:szCs w:val="23"/>
              </w:rPr>
            </w:pPr>
            <w:r w:rsidRPr="000B3DF0">
              <w:rPr>
                <w:rFonts w:ascii="Times New Roman" w:hAnsi="Times New Roman" w:cs="Times New Roman"/>
                <w:sz w:val="23"/>
                <w:szCs w:val="23"/>
              </w:rPr>
              <w:t xml:space="preserve"> Duomenų archyvavimas turi būti konfigūruojamas Sistemos administratorių ir pagal konfigūracinius parametrus Sistemoje turi veikti automatizuoti mechanizmai, kurie vykdys duomenų archyvavimą. </w:t>
            </w:r>
          </w:p>
          <w:p w14:paraId="632FCD62" w14:textId="77777777" w:rsidR="009A1980" w:rsidRPr="000B3DF0" w:rsidRDefault="009A1980" w:rsidP="00940656">
            <w:pPr>
              <w:pStyle w:val="Sraopastraipa"/>
              <w:tabs>
                <w:tab w:val="left" w:pos="383"/>
              </w:tabs>
              <w:spacing w:after="120"/>
              <w:ind w:left="0"/>
              <w:rPr>
                <w:rFonts w:ascii="Times New Roman" w:hAnsi="Times New Roman" w:cs="Times New Roman"/>
                <w:sz w:val="23"/>
                <w:szCs w:val="23"/>
              </w:rPr>
            </w:pPr>
            <w:r w:rsidRPr="000B3DF0">
              <w:rPr>
                <w:rFonts w:ascii="Times New Roman" w:hAnsi="Times New Roman" w:cs="Times New Roman"/>
                <w:sz w:val="23"/>
                <w:szCs w:val="23"/>
              </w:rPr>
              <w:t>Konkretūs techniniai sprendimai turės būti pasiūlyti ir patvirtinti Sistemos projektavimo etape ir realizuoti per/po Sistemos įdiegimo.</w:t>
            </w:r>
          </w:p>
          <w:p w14:paraId="3BE70D61" w14:textId="77777777" w:rsidR="009A1980" w:rsidRPr="000B3DF0" w:rsidRDefault="009A1980" w:rsidP="00940656">
            <w:pPr>
              <w:pStyle w:val="Sraopastraipa"/>
              <w:spacing w:after="120"/>
              <w:rPr>
                <w:rFonts w:ascii="Times New Roman" w:hAnsi="Times New Roman" w:cs="Times New Roman"/>
                <w:sz w:val="23"/>
                <w:szCs w:val="23"/>
              </w:rPr>
            </w:pPr>
          </w:p>
          <w:p w14:paraId="29F927D8" w14:textId="77777777" w:rsidR="009A1980" w:rsidRPr="000B3DF0" w:rsidRDefault="009A1980" w:rsidP="009A1980">
            <w:pPr>
              <w:pStyle w:val="Sraopastraipa"/>
              <w:numPr>
                <w:ilvl w:val="0"/>
                <w:numId w:val="6"/>
              </w:numPr>
              <w:tabs>
                <w:tab w:val="left" w:pos="383"/>
              </w:tabs>
              <w:spacing w:after="120"/>
              <w:ind w:left="0" w:firstLine="0"/>
              <w:rPr>
                <w:rFonts w:ascii="Times New Roman" w:hAnsi="Times New Roman" w:cs="Times New Roman"/>
                <w:sz w:val="23"/>
                <w:szCs w:val="23"/>
              </w:rPr>
            </w:pPr>
            <w:r w:rsidRPr="000B3DF0">
              <w:rPr>
                <w:rFonts w:ascii="Times New Roman" w:hAnsi="Times New Roman" w:cs="Times New Roman"/>
                <w:sz w:val="23"/>
                <w:szCs w:val="23"/>
              </w:rPr>
              <w:t xml:space="preserve"> Sistemos naudotojų administravimą vykdys Perkančiosios organizacijos paskirti atsakingi darbuotojai. Tiekėjas turės realizuoti Sistemos naudotojų administravimo sprendimą.</w:t>
            </w:r>
          </w:p>
        </w:tc>
      </w:tr>
      <w:tr w:rsidR="009A1980" w:rsidRPr="000B3DF0" w14:paraId="0BE4DDC0" w14:textId="77777777" w:rsidTr="00940656">
        <w:tc>
          <w:tcPr>
            <w:tcW w:w="562" w:type="dxa"/>
            <w:shd w:val="clear" w:color="auto" w:fill="FFFFFF" w:themeFill="background1"/>
            <w:vAlign w:val="center"/>
          </w:tcPr>
          <w:p w14:paraId="2C414D6A"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lastRenderedPageBreak/>
              <w:t>5.</w:t>
            </w:r>
          </w:p>
        </w:tc>
        <w:tc>
          <w:tcPr>
            <w:tcW w:w="1489" w:type="dxa"/>
            <w:shd w:val="clear" w:color="auto" w:fill="E7E6E6" w:themeFill="background2"/>
            <w:vAlign w:val="center"/>
          </w:tcPr>
          <w:p w14:paraId="604397D3"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bCs/>
                <w:sz w:val="23"/>
                <w:szCs w:val="23"/>
              </w:rPr>
              <w:t xml:space="preserve">TS 6. Palaikymas </w:t>
            </w:r>
          </w:p>
          <w:p w14:paraId="1C245BF6" w14:textId="77777777" w:rsidR="009A1980" w:rsidRPr="000B3DF0" w:rsidRDefault="009A1980" w:rsidP="00940656">
            <w:pPr>
              <w:pStyle w:val="Default"/>
              <w:rPr>
                <w:rFonts w:ascii="Times New Roman" w:hAnsi="Times New Roman" w:cs="Times New Roman"/>
                <w:bCs/>
                <w:sz w:val="23"/>
                <w:szCs w:val="23"/>
              </w:rPr>
            </w:pPr>
          </w:p>
        </w:tc>
        <w:tc>
          <w:tcPr>
            <w:tcW w:w="1559" w:type="dxa"/>
            <w:shd w:val="clear" w:color="auto" w:fill="E7E6E6" w:themeFill="background2"/>
            <w:vAlign w:val="center"/>
          </w:tcPr>
          <w:p w14:paraId="39E8ABD5"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1_Techninė specifikacija (TS).docx, p. 6 </w:t>
            </w:r>
          </w:p>
          <w:p w14:paraId="2E14DE73"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71A6B3F9"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Sistemos palaikymas mažiausiai 24 mėnesiai po diegimo, įskaitant klaidų taisymą, konsultavimą sistemos naudojimo klausimais ir techninę pagalbą darbo valandomis (8:00–17:00). </w:t>
            </w:r>
          </w:p>
          <w:p w14:paraId="23533B43"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4B155115"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Palaikymo apibrėžimas apima „techninę pagalbą darbo valandomis (8:00–17:00)“, bet nėra aišku, ar įtraukiamas reagavimo laikas, incidentų klasifikacija. </w:t>
            </w:r>
          </w:p>
          <w:p w14:paraId="0BD46102"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6D9A3D0D"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Prašome patikslinti, koks yra reikalaujamas reagavimo laikas skirtingo lygio incidentams ir ar numatomas palaikymas ne darbo valandomis. </w:t>
            </w:r>
          </w:p>
          <w:p w14:paraId="512505D2"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145D2AEC"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Rizika įvertinti per mažai resursų; papildomos sąnaudos, jei reikės 24/7 palaikymo. </w:t>
            </w:r>
          </w:p>
          <w:p w14:paraId="55446D36" w14:textId="77777777" w:rsidR="009A1980" w:rsidRPr="000B3DF0" w:rsidRDefault="009A1980" w:rsidP="00940656">
            <w:pPr>
              <w:rPr>
                <w:rFonts w:ascii="Times New Roman" w:hAnsi="Times New Roman" w:cs="Times New Roman"/>
                <w:sz w:val="23"/>
                <w:szCs w:val="23"/>
              </w:rPr>
            </w:pPr>
          </w:p>
        </w:tc>
        <w:tc>
          <w:tcPr>
            <w:tcW w:w="3969" w:type="dxa"/>
            <w:vAlign w:val="center"/>
          </w:tcPr>
          <w:p w14:paraId="3D1E836A"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Palaikymas ne darbo valandomis nėra reikalaujamas. </w:t>
            </w:r>
          </w:p>
          <w:p w14:paraId="56A44855"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Klaidų klasifikacija nurodyta  Techninės specifikacijos 6.6 poskyryje „Reikalavimai palaikymui“ (Nr. </w:t>
            </w:r>
            <w:r w:rsidRPr="000B3DF0">
              <w:rPr>
                <w:rFonts w:ascii="Times New Roman" w:eastAsia="Times New Roman" w:hAnsi="Times New Roman" w:cs="Times New Roman"/>
                <w:sz w:val="23"/>
                <w:szCs w:val="23"/>
              </w:rPr>
              <w:t>NFR-PL-001)</w:t>
            </w:r>
            <w:r w:rsidRPr="000B3DF0">
              <w:rPr>
                <w:rFonts w:ascii="Times New Roman" w:hAnsi="Times New Roman" w:cs="Times New Roman"/>
                <w:sz w:val="23"/>
                <w:szCs w:val="23"/>
              </w:rPr>
              <w:t xml:space="preserve">. </w:t>
            </w:r>
          </w:p>
          <w:p w14:paraId="7777C203" w14:textId="77777777" w:rsidR="009A1980" w:rsidRPr="000B3DF0" w:rsidRDefault="009A1980" w:rsidP="00940656">
            <w:pPr>
              <w:spacing w:after="120"/>
              <w:jc w:val="both"/>
              <w:rPr>
                <w:rFonts w:ascii="Times New Roman" w:eastAsia="Times New Roman" w:hAnsi="Times New Roman" w:cs="Times New Roman"/>
                <w:sz w:val="23"/>
                <w:szCs w:val="23"/>
              </w:rPr>
            </w:pPr>
            <w:r w:rsidRPr="000B3DF0">
              <w:rPr>
                <w:rFonts w:ascii="Times New Roman" w:eastAsia="Times New Roman" w:hAnsi="Times New Roman" w:cs="Times New Roman"/>
                <w:sz w:val="23"/>
                <w:szCs w:val="23"/>
              </w:rPr>
              <w:t>Skirtingų lygių incidentų ir klaidų šalinimui turi būti tokie sprendimo laikai:</w:t>
            </w:r>
          </w:p>
          <w:p w14:paraId="485AE4D3" w14:textId="77777777" w:rsidR="009A1980" w:rsidRPr="000B3DF0" w:rsidRDefault="009A1980" w:rsidP="009A1980">
            <w:pPr>
              <w:pStyle w:val="Sraopastraipa"/>
              <w:numPr>
                <w:ilvl w:val="0"/>
                <w:numId w:val="7"/>
              </w:numPr>
              <w:spacing w:after="120"/>
              <w:ind w:left="457"/>
              <w:rPr>
                <w:rFonts w:ascii="Times New Roman" w:eastAsia="Times New Roman" w:hAnsi="Times New Roman" w:cs="Times New Roman"/>
                <w:sz w:val="23"/>
                <w:szCs w:val="23"/>
              </w:rPr>
            </w:pPr>
            <w:r w:rsidRPr="000B3DF0">
              <w:rPr>
                <w:rFonts w:ascii="Times New Roman" w:eastAsia="Times New Roman" w:hAnsi="Times New Roman" w:cs="Times New Roman"/>
                <w:sz w:val="23"/>
                <w:szCs w:val="23"/>
              </w:rPr>
              <w:t>Kritinis – sistemos sutrikimas pašalinamas per 1 darbo dieną (8 darbo valandas);</w:t>
            </w:r>
          </w:p>
          <w:p w14:paraId="620956AE" w14:textId="77777777" w:rsidR="009A1980" w:rsidRPr="000B3DF0" w:rsidRDefault="009A1980" w:rsidP="009A1980">
            <w:pPr>
              <w:pStyle w:val="Sraopastraipa"/>
              <w:numPr>
                <w:ilvl w:val="0"/>
                <w:numId w:val="7"/>
              </w:numPr>
              <w:spacing w:after="120"/>
              <w:ind w:left="457"/>
              <w:rPr>
                <w:rFonts w:ascii="Times New Roman" w:eastAsia="Times New Roman" w:hAnsi="Times New Roman" w:cs="Times New Roman"/>
                <w:sz w:val="23"/>
                <w:szCs w:val="23"/>
              </w:rPr>
            </w:pPr>
            <w:r w:rsidRPr="000B3DF0">
              <w:rPr>
                <w:rFonts w:ascii="Times New Roman" w:eastAsia="Times New Roman" w:hAnsi="Times New Roman" w:cs="Times New Roman"/>
                <w:sz w:val="23"/>
                <w:szCs w:val="23"/>
              </w:rPr>
              <w:t>Aukštas – sistemos sutrikimas pašalinamas per 2 darbo dienas;</w:t>
            </w:r>
          </w:p>
          <w:p w14:paraId="1B4F3DDC" w14:textId="77777777" w:rsidR="009A1980" w:rsidRPr="000B3DF0" w:rsidRDefault="009A1980" w:rsidP="009A1980">
            <w:pPr>
              <w:pStyle w:val="Sraopastraipa"/>
              <w:numPr>
                <w:ilvl w:val="0"/>
                <w:numId w:val="7"/>
              </w:numPr>
              <w:spacing w:after="120"/>
              <w:ind w:left="457"/>
              <w:rPr>
                <w:rFonts w:ascii="Times New Roman" w:eastAsia="Times New Roman" w:hAnsi="Times New Roman" w:cs="Times New Roman"/>
                <w:sz w:val="23"/>
                <w:szCs w:val="23"/>
              </w:rPr>
            </w:pPr>
            <w:r w:rsidRPr="000B3DF0">
              <w:rPr>
                <w:rFonts w:ascii="Times New Roman" w:eastAsia="Times New Roman" w:hAnsi="Times New Roman" w:cs="Times New Roman"/>
                <w:sz w:val="23"/>
                <w:szCs w:val="23"/>
              </w:rPr>
              <w:t>Vidutinis – sistemos sutrikimas pašalinamas per 5 darbo dienas;</w:t>
            </w:r>
          </w:p>
          <w:p w14:paraId="4A04E2EF" w14:textId="77777777" w:rsidR="009A1980" w:rsidRPr="000B3DF0" w:rsidRDefault="009A1980" w:rsidP="009A1980">
            <w:pPr>
              <w:pStyle w:val="Sraopastraipa"/>
              <w:numPr>
                <w:ilvl w:val="0"/>
                <w:numId w:val="7"/>
              </w:numPr>
              <w:spacing w:after="120"/>
              <w:ind w:left="457"/>
              <w:rPr>
                <w:rFonts w:ascii="Times New Roman" w:eastAsia="Times New Roman" w:hAnsi="Times New Roman" w:cs="Times New Roman"/>
                <w:sz w:val="23"/>
                <w:szCs w:val="23"/>
              </w:rPr>
            </w:pPr>
            <w:r w:rsidRPr="000B3DF0">
              <w:rPr>
                <w:rFonts w:ascii="Times New Roman" w:eastAsia="Times New Roman" w:hAnsi="Times New Roman" w:cs="Times New Roman"/>
                <w:sz w:val="23"/>
                <w:szCs w:val="23"/>
              </w:rPr>
              <w:t>Žemas – sistemos sutrikimas pašalinamas įdiegiant naują sistemos versiją su kitu planuojamu sistemos diegimu (build).</w:t>
            </w:r>
          </w:p>
          <w:p w14:paraId="3882C5A3" w14:textId="77777777" w:rsidR="009A1980" w:rsidRPr="000B3DF0" w:rsidRDefault="009A1980" w:rsidP="00940656">
            <w:pPr>
              <w:spacing w:after="120"/>
              <w:rPr>
                <w:rFonts w:ascii="Times New Roman" w:hAnsi="Times New Roman" w:cs="Times New Roman"/>
                <w:sz w:val="23"/>
                <w:szCs w:val="23"/>
              </w:rPr>
            </w:pPr>
            <w:r w:rsidRPr="000B3DF0">
              <w:rPr>
                <w:rFonts w:ascii="Times New Roman" w:eastAsia="Times New Roman" w:hAnsi="Times New Roman" w:cs="Times New Roman"/>
                <w:sz w:val="23"/>
                <w:szCs w:val="23"/>
              </w:rPr>
              <w:t>Sutrikimų šalinimo laikas skaičiuojamas nuo atsakymo apie užregistruotą sistemos incidentą/klaidą iki naujo programinio paketo pateikimo Perkančiajai organizacijai arba kito pateikto sutrikimą pašalinančio sprendimo.</w:t>
            </w:r>
          </w:p>
        </w:tc>
      </w:tr>
      <w:tr w:rsidR="009A1980" w:rsidRPr="000B3DF0" w14:paraId="143E8D78" w14:textId="77777777" w:rsidTr="00940656">
        <w:tc>
          <w:tcPr>
            <w:tcW w:w="562" w:type="dxa"/>
            <w:shd w:val="clear" w:color="auto" w:fill="FFFFFF" w:themeFill="background1"/>
            <w:vAlign w:val="center"/>
          </w:tcPr>
          <w:p w14:paraId="661BD8ED"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t>6.</w:t>
            </w:r>
          </w:p>
        </w:tc>
        <w:tc>
          <w:tcPr>
            <w:tcW w:w="1489" w:type="dxa"/>
            <w:shd w:val="clear" w:color="auto" w:fill="E7E6E6" w:themeFill="background2"/>
            <w:vAlign w:val="center"/>
          </w:tcPr>
          <w:p w14:paraId="555DF58E"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bCs/>
                <w:sz w:val="23"/>
                <w:szCs w:val="23"/>
              </w:rPr>
              <w:t>Procesų analizė – Įdarbinimo/A</w:t>
            </w:r>
            <w:r w:rsidRPr="000B3DF0">
              <w:rPr>
                <w:rFonts w:ascii="Times New Roman" w:hAnsi="Times New Roman" w:cs="Times New Roman"/>
                <w:bCs/>
                <w:sz w:val="23"/>
                <w:szCs w:val="23"/>
              </w:rPr>
              <w:lastRenderedPageBreak/>
              <w:t xml:space="preserve">tleidimo procesai </w:t>
            </w:r>
          </w:p>
          <w:p w14:paraId="10A23349"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3996442C"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2_TS priedas – Procesų analizės </w:t>
            </w:r>
            <w:r w:rsidRPr="000B3DF0">
              <w:rPr>
                <w:rFonts w:ascii="Times New Roman" w:hAnsi="Times New Roman" w:cs="Times New Roman"/>
                <w:sz w:val="23"/>
                <w:szCs w:val="23"/>
              </w:rPr>
              <w:lastRenderedPageBreak/>
              <w:t xml:space="preserve">dokumentas.docx, p. 15–22 </w:t>
            </w:r>
          </w:p>
          <w:p w14:paraId="54C21EDB"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36268D5A"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Rezultatas – darbuotojas įdarbintas, jo duomenys </w:t>
            </w:r>
            <w:r w:rsidRPr="000B3DF0">
              <w:rPr>
                <w:rFonts w:ascii="Times New Roman" w:hAnsi="Times New Roman" w:cs="Times New Roman"/>
                <w:sz w:val="23"/>
                <w:szCs w:val="23"/>
              </w:rPr>
              <w:lastRenderedPageBreak/>
              <w:t xml:space="preserve">užregistruoti DBSIS ir DU programoje. Rezultatas – darbuotojas atleistas, jo duomenys atnaujinti DU programoje, … vykdomi naudojant savitarnos sistemą, DBSIS, DU programą ir FABIS. </w:t>
            </w:r>
          </w:p>
          <w:p w14:paraId="00098EB7"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09B4ADDE"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Nurodoma, kad duomenys registruojami įvairiose </w:t>
            </w:r>
            <w:r w:rsidRPr="000B3DF0">
              <w:rPr>
                <w:rFonts w:ascii="Times New Roman" w:hAnsi="Times New Roman" w:cs="Times New Roman"/>
                <w:sz w:val="23"/>
                <w:szCs w:val="23"/>
              </w:rPr>
              <w:lastRenderedPageBreak/>
              <w:t xml:space="preserve">sistemose (DBSIS, DU, FABIS), bet nėra apibrėžta, kurios iš jų lieka galutinėje architektūroje po naujos sistemos įdiegimo. </w:t>
            </w:r>
          </w:p>
          <w:p w14:paraId="737ED7A4"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6423ACB3"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Ar planuojama pakeisti visas išvardintas esamas sistemas nauja </w:t>
            </w:r>
            <w:r w:rsidRPr="000B3DF0">
              <w:rPr>
                <w:rFonts w:ascii="Times New Roman" w:hAnsi="Times New Roman" w:cs="Times New Roman"/>
                <w:sz w:val="23"/>
                <w:szCs w:val="23"/>
              </w:rPr>
              <w:lastRenderedPageBreak/>
              <w:t xml:space="preserve">bendra sistema, ar dalis jų bus paliekama veikti kartu? </w:t>
            </w:r>
          </w:p>
          <w:p w14:paraId="47A53C0C"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28FD7D37"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lastRenderedPageBreak/>
              <w:t xml:space="preserve">Rizika dubliuoti funkcionalumą, neteisingai </w:t>
            </w:r>
            <w:r w:rsidRPr="000B3DF0">
              <w:rPr>
                <w:rFonts w:ascii="Times New Roman" w:hAnsi="Times New Roman" w:cs="Times New Roman"/>
                <w:sz w:val="23"/>
                <w:szCs w:val="23"/>
              </w:rPr>
              <w:lastRenderedPageBreak/>
              <w:t xml:space="preserve">suplanuoti integracijas, atsirasti papildomoms išlaidoms. </w:t>
            </w:r>
          </w:p>
          <w:p w14:paraId="1FB96D31" w14:textId="77777777" w:rsidR="009A1980" w:rsidRPr="000B3DF0" w:rsidRDefault="009A1980" w:rsidP="00940656">
            <w:pPr>
              <w:rPr>
                <w:rFonts w:ascii="Times New Roman" w:hAnsi="Times New Roman" w:cs="Times New Roman"/>
                <w:sz w:val="23"/>
                <w:szCs w:val="23"/>
              </w:rPr>
            </w:pPr>
          </w:p>
        </w:tc>
        <w:tc>
          <w:tcPr>
            <w:tcW w:w="3969" w:type="dxa"/>
            <w:vAlign w:val="center"/>
          </w:tcPr>
          <w:p w14:paraId="279EABD9"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lastRenderedPageBreak/>
              <w:t xml:space="preserve">Planuojama pakeisti šiuo metu Perkančiosios organizacijos turimą/valdomą Darbo užmokesčio sistemą nauja, projekto įgyvendinimo </w:t>
            </w:r>
            <w:r w:rsidRPr="000B3DF0">
              <w:rPr>
                <w:rFonts w:ascii="Times New Roman" w:hAnsi="Times New Roman" w:cs="Times New Roman"/>
                <w:sz w:val="23"/>
                <w:szCs w:val="23"/>
              </w:rPr>
              <w:lastRenderedPageBreak/>
              <w:t xml:space="preserve">metu Tiekėjo realizuota </w:t>
            </w:r>
            <w:r w:rsidRPr="000B3DF0">
              <w:rPr>
                <w:rFonts w:ascii="Times New Roman" w:eastAsia="Times New Roman" w:hAnsi="Times New Roman" w:cs="Times New Roman"/>
                <w:iCs/>
                <w:sz w:val="23"/>
                <w:szCs w:val="23"/>
                <w:lang w:eastAsia="ja-JP"/>
              </w:rPr>
              <w:t>vieninga personalo valdymo sistema su integruota darbo užmokesčio apskaita ir savitarnos portalu.</w:t>
            </w:r>
          </w:p>
          <w:p w14:paraId="0D335C68"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Naujos Sistemos funkciniai komponentai nurodyti Techninės specifikacijos 3 skyriuje „Principinė funkcinė architektūra“ </w:t>
            </w:r>
          </w:p>
          <w:p w14:paraId="066CBA95"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Integracijos bus atliekamos su trečiųjų šalių valdomomis/tvarkomomis sistemomis naudojant API ir kitus techninius sprendimus.</w:t>
            </w:r>
          </w:p>
        </w:tc>
      </w:tr>
      <w:tr w:rsidR="009A1980" w:rsidRPr="000B3DF0" w14:paraId="152E7927" w14:textId="77777777" w:rsidTr="00940656">
        <w:tc>
          <w:tcPr>
            <w:tcW w:w="562" w:type="dxa"/>
            <w:shd w:val="clear" w:color="auto" w:fill="FFFFFF" w:themeFill="background1"/>
            <w:vAlign w:val="center"/>
          </w:tcPr>
          <w:p w14:paraId="3EC5F5EE"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lastRenderedPageBreak/>
              <w:t>7.</w:t>
            </w:r>
          </w:p>
        </w:tc>
        <w:tc>
          <w:tcPr>
            <w:tcW w:w="1489" w:type="dxa"/>
            <w:shd w:val="clear" w:color="auto" w:fill="E7E6E6" w:themeFill="background2"/>
            <w:vAlign w:val="center"/>
          </w:tcPr>
          <w:p w14:paraId="4B789449"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bCs/>
                <w:sz w:val="23"/>
                <w:szCs w:val="23"/>
              </w:rPr>
              <w:t xml:space="preserve">Procesų analizė – Atostogų ir neatvykimų procesai </w:t>
            </w:r>
          </w:p>
          <w:p w14:paraId="6BDD92C7"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2E54C977"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2_TS priedas – Procesų analizės dokumentas.docx, p. 23–27 </w:t>
            </w:r>
          </w:p>
          <w:p w14:paraId="05C1A6BC"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71263F3A"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Procesas vykdomas naudojant savitarnos sistemą ir DU programą. Rezultatas – apmokami neatvykimai yra tinkamai registruojami ir apskaitomi DLAŽ ir DU programoje. </w:t>
            </w:r>
          </w:p>
          <w:p w14:paraId="63549877"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3F6A0BEF"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Aprašoma, kad duomenys registruojami DLAŽ ir DU programoje, bet nėra aišku, ar DLAŽ yra integracijos objektas ar bus pakeista. </w:t>
            </w:r>
          </w:p>
          <w:p w14:paraId="6258AF95"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7F54C636"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Prašome patikslinti, ar DLAŽ sistema integruojama su nauja sistema, ar bus pilnai pakeista nauju funkcionalumu. </w:t>
            </w:r>
          </w:p>
          <w:p w14:paraId="7244F2B6"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5A201BF0"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Rizika palikti nereikalingą seną sistemą, kuri brangins priežiūrą ir komplikuos procesus. </w:t>
            </w:r>
          </w:p>
          <w:p w14:paraId="1CDCAEB7" w14:textId="77777777" w:rsidR="009A1980" w:rsidRPr="000B3DF0" w:rsidRDefault="009A1980" w:rsidP="00940656">
            <w:pPr>
              <w:rPr>
                <w:rFonts w:ascii="Times New Roman" w:hAnsi="Times New Roman" w:cs="Times New Roman"/>
                <w:sz w:val="23"/>
                <w:szCs w:val="23"/>
              </w:rPr>
            </w:pPr>
          </w:p>
        </w:tc>
        <w:tc>
          <w:tcPr>
            <w:tcW w:w="3969" w:type="dxa"/>
            <w:vAlign w:val="center"/>
          </w:tcPr>
          <w:p w14:paraId="592764DE"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Paaiškiname, kad DLAŽ yra ne sistema, o skaitmeninis Tiekėjo realizuotoje Sistemoje sugeneruojamas dokumentas (žr. Techninės specifikacijos 1 skyriuje „Sąvokos ir sutrumpinimai“ pateiktą DLAŽ trumpinio paaiškinimą). </w:t>
            </w:r>
          </w:p>
          <w:p w14:paraId="57556FF0"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DU modulis yra Sistemos funkcinis komponentas ir turi būti Tiekėjo realizuotas taip, kaip yra nurodyta Techninėje specifikacijoje ir jos prieduose. </w:t>
            </w:r>
          </w:p>
          <w:p w14:paraId="03B43B7C"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t xml:space="preserve">Integracijos bus atliekamos tik su trečiųjų šalių valdomomis/tvarkomomis sistemomis naudojant API ir kitus techninius sprendimus. </w:t>
            </w:r>
          </w:p>
          <w:p w14:paraId="345AA9BD" w14:textId="77777777" w:rsidR="009A1980" w:rsidRPr="000B3DF0" w:rsidRDefault="009A1980" w:rsidP="00940656">
            <w:pPr>
              <w:spacing w:after="120"/>
              <w:rPr>
                <w:rFonts w:ascii="Times New Roman" w:hAnsi="Times New Roman" w:cs="Times New Roman"/>
                <w:sz w:val="23"/>
                <w:szCs w:val="23"/>
              </w:rPr>
            </w:pPr>
            <w:r w:rsidRPr="000B3DF0">
              <w:rPr>
                <w:rFonts w:ascii="Times New Roman" w:hAnsi="Times New Roman" w:cs="Times New Roman"/>
                <w:sz w:val="23"/>
                <w:szCs w:val="23"/>
              </w:rPr>
              <w:lastRenderedPageBreak/>
              <w:t>Integracijos su Perkančiosios organizacijos valdomomis/turimomis vidinėmis sistemomis nebus vykdomos.</w:t>
            </w:r>
          </w:p>
        </w:tc>
      </w:tr>
      <w:tr w:rsidR="009A1980" w:rsidRPr="000B3DF0" w14:paraId="75F07B22" w14:textId="77777777" w:rsidTr="00940656">
        <w:tc>
          <w:tcPr>
            <w:tcW w:w="562" w:type="dxa"/>
            <w:shd w:val="clear" w:color="auto" w:fill="FFFFFF" w:themeFill="background1"/>
            <w:vAlign w:val="center"/>
          </w:tcPr>
          <w:p w14:paraId="32EA7734" w14:textId="77777777" w:rsidR="009A1980" w:rsidRPr="000B3DF0" w:rsidRDefault="009A1980" w:rsidP="00940656">
            <w:pPr>
              <w:rPr>
                <w:rFonts w:ascii="Times New Roman" w:hAnsi="Times New Roman" w:cs="Times New Roman"/>
                <w:sz w:val="23"/>
                <w:szCs w:val="23"/>
              </w:rPr>
            </w:pPr>
            <w:r w:rsidRPr="000B3DF0">
              <w:rPr>
                <w:rFonts w:ascii="Times New Roman" w:hAnsi="Times New Roman" w:cs="Times New Roman"/>
                <w:sz w:val="23"/>
                <w:szCs w:val="23"/>
              </w:rPr>
              <w:lastRenderedPageBreak/>
              <w:t>8.</w:t>
            </w:r>
          </w:p>
        </w:tc>
        <w:tc>
          <w:tcPr>
            <w:tcW w:w="1489" w:type="dxa"/>
            <w:shd w:val="clear" w:color="auto" w:fill="E7E6E6" w:themeFill="background2"/>
            <w:vAlign w:val="center"/>
          </w:tcPr>
          <w:p w14:paraId="67EBDBE8"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bCs/>
                <w:sz w:val="23"/>
                <w:szCs w:val="23"/>
              </w:rPr>
              <w:t xml:space="preserve">TS – Nuosavybės teisės dėl programinės įrangos </w:t>
            </w:r>
          </w:p>
          <w:p w14:paraId="5E604133"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2DB22D47"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1_Techninė specifikacija (TS).docx, p. „Sutarties sąlygos / nuosavybės teisės“ </w:t>
            </w:r>
          </w:p>
          <w:p w14:paraId="277FB7EA" w14:textId="77777777" w:rsidR="009A1980" w:rsidRPr="000B3DF0" w:rsidRDefault="009A1980" w:rsidP="00940656">
            <w:pPr>
              <w:rPr>
                <w:rFonts w:ascii="Times New Roman" w:hAnsi="Times New Roman" w:cs="Times New Roman"/>
                <w:sz w:val="23"/>
                <w:szCs w:val="23"/>
              </w:rPr>
            </w:pPr>
          </w:p>
        </w:tc>
        <w:tc>
          <w:tcPr>
            <w:tcW w:w="1843" w:type="dxa"/>
            <w:shd w:val="clear" w:color="auto" w:fill="E7E6E6" w:themeFill="background2"/>
            <w:vAlign w:val="center"/>
          </w:tcPr>
          <w:p w14:paraId="69BF4B8B"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„Visas Sistemos programinis kodas turi būti pateiktas Perkančiajai organizacijai nešifruotas ir nekompiliuotas. Po priėmimo–perdavimo akto pasirašymo visi programinės įrangos sprendimai, šaltinio kodas bei sukurti intelektiniai produktai tampa Tarnybos (Perkančiosios organizacijos) nuosavybe. Netaikoma, jeigu Tiekėjas siūlo naudoti jau sukurtą programinę įrangą ar jos komponentus.“ </w:t>
            </w:r>
          </w:p>
          <w:p w14:paraId="6AC214E5" w14:textId="77777777" w:rsidR="009A1980" w:rsidRPr="000B3DF0" w:rsidRDefault="009A1980" w:rsidP="00940656">
            <w:pPr>
              <w:rPr>
                <w:rFonts w:ascii="Times New Roman" w:hAnsi="Times New Roman" w:cs="Times New Roman"/>
                <w:sz w:val="23"/>
                <w:szCs w:val="23"/>
              </w:rPr>
            </w:pPr>
          </w:p>
        </w:tc>
        <w:tc>
          <w:tcPr>
            <w:tcW w:w="1701" w:type="dxa"/>
            <w:shd w:val="clear" w:color="auto" w:fill="E7E6E6" w:themeFill="background2"/>
            <w:vAlign w:val="center"/>
          </w:tcPr>
          <w:p w14:paraId="32A889A2"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Formuluotė neaiški dėl atskyrimo tarp jau sukurto tiekėjo intelektinio turto (pvz., (</w:t>
            </w:r>
            <w:r w:rsidRPr="000B3DF0">
              <w:rPr>
                <w:rFonts w:ascii="Times New Roman" w:hAnsi="Times New Roman" w:cs="Times New Roman"/>
                <w:i/>
                <w:sz w:val="23"/>
                <w:szCs w:val="23"/>
              </w:rPr>
              <w:t>Tiekėjo pavadinimas</w:t>
            </w:r>
            <w:r w:rsidRPr="000B3DF0">
              <w:rPr>
                <w:rFonts w:ascii="Times New Roman" w:hAnsi="Times New Roman" w:cs="Times New Roman"/>
                <w:sz w:val="23"/>
                <w:szCs w:val="23"/>
              </w:rPr>
              <w:t xml:space="preserve">)) ir naujai sukurtos individualios programinės įrangos projekto metu. </w:t>
            </w:r>
          </w:p>
          <w:p w14:paraId="06B4C9AC" w14:textId="77777777" w:rsidR="009A1980" w:rsidRPr="000B3DF0" w:rsidRDefault="009A1980" w:rsidP="00940656">
            <w:pPr>
              <w:rPr>
                <w:rFonts w:ascii="Times New Roman" w:hAnsi="Times New Roman" w:cs="Times New Roman"/>
                <w:sz w:val="23"/>
                <w:szCs w:val="23"/>
              </w:rPr>
            </w:pPr>
          </w:p>
        </w:tc>
        <w:tc>
          <w:tcPr>
            <w:tcW w:w="2055" w:type="dxa"/>
            <w:shd w:val="clear" w:color="auto" w:fill="E7E6E6" w:themeFill="background2"/>
            <w:vAlign w:val="center"/>
          </w:tcPr>
          <w:p w14:paraId="60A97957"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Prašome patikslinti: (1) ar (</w:t>
            </w:r>
            <w:r w:rsidRPr="000B3DF0">
              <w:rPr>
                <w:rFonts w:ascii="Times New Roman" w:hAnsi="Times New Roman" w:cs="Times New Roman"/>
                <w:i/>
                <w:sz w:val="23"/>
                <w:szCs w:val="23"/>
              </w:rPr>
              <w:t>Tiekėjo pavadinimas</w:t>
            </w:r>
            <w:r w:rsidRPr="000B3DF0">
              <w:rPr>
                <w:rFonts w:ascii="Times New Roman" w:hAnsi="Times New Roman" w:cs="Times New Roman"/>
                <w:sz w:val="23"/>
                <w:szCs w:val="23"/>
              </w:rPr>
              <w:t xml:space="preserve">), kaip tiekėjo intelektinė nuosavybė, lieka tiekėjo nuosavybe, o Tarnyba įgyja tik naudojimo licenciją, (2) ar sutarties sąlygos dėl nuosavybės taikomos tik projekto metu sukurtoms individualioms modifikacijoms, (3) kokia licencijos forma bus taikoma jau egzistuojančiai tiekėjo programinei įrangai. </w:t>
            </w:r>
          </w:p>
          <w:p w14:paraId="60A0DEBD" w14:textId="77777777" w:rsidR="009A1980" w:rsidRPr="000B3DF0" w:rsidRDefault="009A1980" w:rsidP="00940656">
            <w:pPr>
              <w:rPr>
                <w:rFonts w:ascii="Times New Roman" w:hAnsi="Times New Roman" w:cs="Times New Roman"/>
                <w:sz w:val="23"/>
                <w:szCs w:val="23"/>
              </w:rPr>
            </w:pPr>
          </w:p>
        </w:tc>
        <w:tc>
          <w:tcPr>
            <w:tcW w:w="1559" w:type="dxa"/>
            <w:shd w:val="clear" w:color="auto" w:fill="E7E6E6" w:themeFill="background2"/>
            <w:vAlign w:val="center"/>
          </w:tcPr>
          <w:p w14:paraId="168DD43A" w14:textId="77777777" w:rsidR="009A1980" w:rsidRPr="000B3DF0" w:rsidRDefault="009A1980" w:rsidP="00940656">
            <w:pPr>
              <w:pStyle w:val="Default"/>
              <w:rPr>
                <w:rFonts w:ascii="Times New Roman" w:hAnsi="Times New Roman" w:cs="Times New Roman"/>
                <w:sz w:val="23"/>
                <w:szCs w:val="23"/>
              </w:rPr>
            </w:pPr>
            <w:r w:rsidRPr="000B3DF0">
              <w:rPr>
                <w:rFonts w:ascii="Times New Roman" w:hAnsi="Times New Roman" w:cs="Times New Roman"/>
                <w:sz w:val="23"/>
                <w:szCs w:val="23"/>
              </w:rPr>
              <w:t xml:space="preserve">Rizika, kad tiekėjas bus priverstas perduoti savo intelektinę nuosavybę neatlygintinai; ginčai dėl licencijų apimties ir naudojimo sąlygų; galimas tiekėjo pasitraukimas iš konkurso. </w:t>
            </w:r>
          </w:p>
          <w:p w14:paraId="5A136732" w14:textId="77777777" w:rsidR="009A1980" w:rsidRPr="000B3DF0" w:rsidRDefault="009A1980" w:rsidP="00940656">
            <w:pPr>
              <w:rPr>
                <w:rFonts w:ascii="Times New Roman" w:hAnsi="Times New Roman" w:cs="Times New Roman"/>
                <w:sz w:val="23"/>
                <w:szCs w:val="23"/>
              </w:rPr>
            </w:pPr>
          </w:p>
        </w:tc>
        <w:tc>
          <w:tcPr>
            <w:tcW w:w="3969" w:type="dxa"/>
            <w:vAlign w:val="center"/>
          </w:tcPr>
          <w:p w14:paraId="356AD6DC" w14:textId="77777777" w:rsidR="009A1980" w:rsidRPr="000B3DF0" w:rsidRDefault="009A1980" w:rsidP="00940656">
            <w:pPr>
              <w:spacing w:after="120"/>
              <w:rPr>
                <w:rFonts w:ascii="Times New Roman" w:eastAsia="Times New Roman" w:hAnsi="Times New Roman" w:cs="Times New Roman"/>
                <w:sz w:val="23"/>
                <w:szCs w:val="23"/>
              </w:rPr>
            </w:pPr>
            <w:r w:rsidRPr="000B3DF0">
              <w:rPr>
                <w:rFonts w:ascii="Times New Roman" w:eastAsia="Times New Roman" w:hAnsi="Times New Roman" w:cs="Times New Roman"/>
                <w:bCs/>
                <w:sz w:val="23"/>
                <w:szCs w:val="23"/>
              </w:rPr>
              <w:t>Projekto įgyvendinimo metu sukurti ar modifikuoti komponentai</w:t>
            </w:r>
            <w:r w:rsidRPr="000B3DF0">
              <w:rPr>
                <w:rFonts w:ascii="Times New Roman" w:eastAsia="Times New Roman" w:hAnsi="Times New Roman" w:cs="Times New Roman"/>
                <w:sz w:val="23"/>
                <w:szCs w:val="23"/>
              </w:rPr>
              <w:t xml:space="preserve">, įskaitant, bet neapsiribojant, programinės įrangos išeities (šaltinio) kodu, scenarijais, integracijomis, konfigūracijomis, dokumentacija ir kitais rezultatais, </w:t>
            </w:r>
            <w:r w:rsidRPr="000B3DF0">
              <w:rPr>
                <w:rFonts w:ascii="Times New Roman" w:eastAsia="Times New Roman" w:hAnsi="Times New Roman" w:cs="Times New Roman"/>
                <w:bCs/>
                <w:sz w:val="23"/>
                <w:szCs w:val="23"/>
              </w:rPr>
              <w:t>tampa Perkančiosios organizacijos nuosavybe nuo jų perdavimo Perkančiajai organizacijai momento</w:t>
            </w:r>
            <w:r w:rsidRPr="000B3DF0">
              <w:rPr>
                <w:rFonts w:ascii="Times New Roman" w:eastAsia="Times New Roman" w:hAnsi="Times New Roman" w:cs="Times New Roman"/>
                <w:sz w:val="23"/>
                <w:szCs w:val="23"/>
              </w:rPr>
              <w:t>.</w:t>
            </w:r>
          </w:p>
          <w:p w14:paraId="5EC18CC3" w14:textId="77777777" w:rsidR="009A1980" w:rsidRPr="000B3DF0" w:rsidRDefault="009A1980" w:rsidP="00940656">
            <w:pPr>
              <w:spacing w:after="120"/>
              <w:rPr>
                <w:rFonts w:ascii="Times New Roman" w:eastAsia="Times New Roman" w:hAnsi="Times New Roman" w:cs="Times New Roman"/>
                <w:sz w:val="23"/>
                <w:szCs w:val="23"/>
              </w:rPr>
            </w:pPr>
            <w:r w:rsidRPr="000B3DF0">
              <w:rPr>
                <w:rFonts w:ascii="Times New Roman" w:eastAsia="Times New Roman" w:hAnsi="Times New Roman" w:cs="Times New Roman"/>
                <w:bCs/>
                <w:sz w:val="23"/>
                <w:szCs w:val="23"/>
              </w:rPr>
              <w:t>Tiekėjas įsipareigoja perduoti visą projekto metu sukurtą išeities (programinį) kodą nešifruotu ir nesukompiliuotu formatu</w:t>
            </w:r>
            <w:r w:rsidRPr="000B3DF0">
              <w:rPr>
                <w:rFonts w:ascii="Times New Roman" w:eastAsia="Times New Roman" w:hAnsi="Times New Roman" w:cs="Times New Roman"/>
                <w:sz w:val="23"/>
                <w:szCs w:val="23"/>
              </w:rPr>
              <w:t>, taip pat pateikti visus dokumentus, būtinus Perkančiajai organizacijai savarankiškai naudoti, modifikuoti, plėtoti, prižiūrėti ir integruoti šiuos komponentus.</w:t>
            </w:r>
          </w:p>
          <w:p w14:paraId="424202AF" w14:textId="77777777" w:rsidR="009A1980" w:rsidRPr="000B3DF0" w:rsidRDefault="009A1980" w:rsidP="00940656">
            <w:pPr>
              <w:spacing w:after="120"/>
              <w:rPr>
                <w:rFonts w:ascii="Times New Roman" w:eastAsia="Times New Roman" w:hAnsi="Times New Roman" w:cs="Times New Roman"/>
                <w:sz w:val="23"/>
                <w:szCs w:val="23"/>
              </w:rPr>
            </w:pPr>
            <w:r w:rsidRPr="000B3DF0">
              <w:rPr>
                <w:rFonts w:ascii="Times New Roman" w:eastAsia="Times New Roman" w:hAnsi="Times New Roman" w:cs="Times New Roman"/>
                <w:bCs/>
                <w:sz w:val="23"/>
                <w:szCs w:val="23"/>
              </w:rPr>
              <w:t>Tiekėjas projekto įgyvendinimui gali naudoti iki projekto įgyvendinimo pradžios sukurtą savo ar trečiųjų šalių programinę įrangą</w:t>
            </w:r>
            <w:r w:rsidRPr="000B3DF0">
              <w:rPr>
                <w:rFonts w:ascii="Times New Roman" w:eastAsia="Times New Roman" w:hAnsi="Times New Roman" w:cs="Times New Roman"/>
                <w:sz w:val="23"/>
                <w:szCs w:val="23"/>
              </w:rPr>
              <w:t xml:space="preserve">, įskaitant platformas, modulius ar kitus komponentus. Tokia programinė įranga </w:t>
            </w:r>
            <w:r w:rsidRPr="000B3DF0">
              <w:rPr>
                <w:rFonts w:ascii="Times New Roman" w:eastAsia="Times New Roman" w:hAnsi="Times New Roman" w:cs="Times New Roman"/>
                <w:bCs/>
                <w:sz w:val="23"/>
                <w:szCs w:val="23"/>
              </w:rPr>
              <w:t>lieka Tiekėjo ar trečiųjų šalių nuosavybe</w:t>
            </w:r>
            <w:r w:rsidRPr="000B3DF0">
              <w:rPr>
                <w:rFonts w:ascii="Times New Roman" w:eastAsia="Times New Roman" w:hAnsi="Times New Roman" w:cs="Times New Roman"/>
                <w:sz w:val="23"/>
                <w:szCs w:val="23"/>
              </w:rPr>
              <w:t xml:space="preserve">. </w:t>
            </w:r>
            <w:r w:rsidRPr="000B3DF0">
              <w:rPr>
                <w:rFonts w:ascii="Times New Roman" w:eastAsia="Times New Roman" w:hAnsi="Times New Roman" w:cs="Times New Roman"/>
                <w:bCs/>
                <w:sz w:val="23"/>
                <w:szCs w:val="23"/>
              </w:rPr>
              <w:t xml:space="preserve">Tiekėjas privalo suteikti Perkančiajai organizacijai neišimtinę, neatšaukiamą, neterminuotą ir be papildomo atlygio teisę naudoti šiuos komponentus Sistemos veikimui, palaikymui, </w:t>
            </w:r>
            <w:r w:rsidRPr="000B3DF0">
              <w:rPr>
                <w:rFonts w:ascii="Times New Roman" w:eastAsia="Times New Roman" w:hAnsi="Times New Roman" w:cs="Times New Roman"/>
                <w:bCs/>
                <w:sz w:val="23"/>
                <w:szCs w:val="23"/>
              </w:rPr>
              <w:lastRenderedPageBreak/>
              <w:t>tobulinimui, integracijai ir kitam teisėtam naudojimui</w:t>
            </w:r>
            <w:r w:rsidRPr="000B3DF0">
              <w:rPr>
                <w:rFonts w:ascii="Times New Roman" w:eastAsia="Times New Roman" w:hAnsi="Times New Roman" w:cs="Times New Roman"/>
                <w:sz w:val="23"/>
                <w:szCs w:val="23"/>
              </w:rPr>
              <w:t>, net ir be Tiekėjo dalyvavimo.</w:t>
            </w:r>
          </w:p>
          <w:p w14:paraId="796DD859" w14:textId="77777777" w:rsidR="009A1980" w:rsidRPr="000B3DF0" w:rsidRDefault="009A1980" w:rsidP="00940656">
            <w:pPr>
              <w:spacing w:after="120"/>
              <w:rPr>
                <w:rFonts w:ascii="Times New Roman" w:eastAsia="Times New Roman" w:hAnsi="Times New Roman" w:cs="Times New Roman"/>
                <w:sz w:val="23"/>
                <w:szCs w:val="23"/>
              </w:rPr>
            </w:pPr>
            <w:r w:rsidRPr="000B3DF0">
              <w:rPr>
                <w:rFonts w:ascii="Times New Roman" w:eastAsia="Times New Roman" w:hAnsi="Times New Roman" w:cs="Times New Roman"/>
                <w:bCs/>
                <w:sz w:val="23"/>
                <w:szCs w:val="23"/>
              </w:rPr>
              <w:t>Tiekėjo arba trečiųjų šalių iki projekto pradžios sukurta programinė įranga, panaudota Sistemoje, neriboja Tiekėjo ar trečiųjų šalių teisės ją toliau vystyti, platinti ar naudoti kitais tikslais</w:t>
            </w:r>
            <w:r w:rsidRPr="000B3DF0">
              <w:rPr>
                <w:rFonts w:ascii="Times New Roman" w:eastAsia="Times New Roman" w:hAnsi="Times New Roman" w:cs="Times New Roman"/>
                <w:sz w:val="23"/>
                <w:szCs w:val="23"/>
              </w:rPr>
              <w:t>, be atskiro Perkančiosios organizacijos sutikimo.</w:t>
            </w:r>
          </w:p>
          <w:p w14:paraId="0611DA4D" w14:textId="77777777" w:rsidR="009A1980" w:rsidRPr="000B3DF0" w:rsidRDefault="009A1980" w:rsidP="00940656">
            <w:pPr>
              <w:spacing w:after="120"/>
              <w:rPr>
                <w:rFonts w:ascii="Times New Roman" w:hAnsi="Times New Roman" w:cs="Times New Roman"/>
                <w:sz w:val="23"/>
                <w:szCs w:val="23"/>
              </w:rPr>
            </w:pPr>
            <w:r w:rsidRPr="000B3DF0">
              <w:rPr>
                <w:rFonts w:ascii="Times New Roman" w:eastAsia="Times New Roman" w:hAnsi="Times New Roman" w:cs="Times New Roman"/>
                <w:bCs/>
                <w:sz w:val="23"/>
                <w:szCs w:val="23"/>
              </w:rPr>
              <w:t>Tiekėjas privalo pasiūlyme aiškiai identifikuoti, kurie komponentai yra jo arba trečiųjų šalių nuosavybė</w:t>
            </w:r>
            <w:r w:rsidRPr="000B3DF0">
              <w:rPr>
                <w:rFonts w:ascii="Times New Roman" w:eastAsia="Times New Roman" w:hAnsi="Times New Roman" w:cs="Times New Roman"/>
                <w:sz w:val="23"/>
                <w:szCs w:val="23"/>
              </w:rPr>
              <w:t>, ir nurodyti jų naudojimo licencines sąlygas.</w:t>
            </w:r>
          </w:p>
        </w:tc>
      </w:tr>
    </w:tbl>
    <w:p w14:paraId="25B0CC47" w14:textId="77777777" w:rsidR="009A1980" w:rsidRPr="00684D98" w:rsidRDefault="009A1980" w:rsidP="009A1980">
      <w:pPr>
        <w:pStyle w:val="Betarp"/>
        <w:tabs>
          <w:tab w:val="left" w:pos="993"/>
          <w:tab w:val="left" w:pos="7110"/>
        </w:tabs>
        <w:ind w:firstLine="567"/>
        <w:jc w:val="both"/>
        <w:rPr>
          <w:i/>
          <w:sz w:val="22"/>
        </w:rPr>
      </w:pPr>
      <w:r w:rsidRPr="00684D98">
        <w:rPr>
          <w:i/>
          <w:sz w:val="22"/>
        </w:rPr>
        <w:lastRenderedPageBreak/>
        <w:tab/>
      </w:r>
    </w:p>
    <w:p w14:paraId="0A997C44" w14:textId="77777777" w:rsidR="009A1980" w:rsidRPr="00684D98" w:rsidRDefault="009A1980" w:rsidP="009A1980">
      <w:pPr>
        <w:pStyle w:val="Betarp"/>
        <w:tabs>
          <w:tab w:val="left" w:pos="993"/>
        </w:tabs>
        <w:ind w:firstLine="567"/>
        <w:jc w:val="both"/>
        <w:rPr>
          <w:i/>
          <w:sz w:val="22"/>
        </w:rPr>
      </w:pPr>
    </w:p>
    <w:p w14:paraId="329FF9C3" w14:textId="585B71C7" w:rsidR="00212B47" w:rsidRPr="00212B47" w:rsidRDefault="00212B47" w:rsidP="009A1980">
      <w:pPr>
        <w:tabs>
          <w:tab w:val="left" w:pos="567"/>
          <w:tab w:val="left" w:pos="851"/>
          <w:tab w:val="left" w:pos="1134"/>
        </w:tabs>
        <w:spacing w:after="0" w:line="240" w:lineRule="auto"/>
        <w:jc w:val="both"/>
        <w:rPr>
          <w:rFonts w:ascii="Times New Roman" w:eastAsia="Times New Roman" w:hAnsi="Times New Roman" w:cs="Times New Roman"/>
          <w:bCs/>
        </w:rPr>
      </w:pPr>
    </w:p>
    <w:sectPr w:rsidR="00212B47" w:rsidRPr="00212B47" w:rsidSect="009A1980">
      <w:foot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BDD9" w14:textId="77777777" w:rsidR="00FE2F25" w:rsidRDefault="00FE2F25" w:rsidP="00A64E9B">
      <w:pPr>
        <w:spacing w:after="0" w:line="240" w:lineRule="auto"/>
      </w:pPr>
      <w:r>
        <w:separator/>
      </w:r>
    </w:p>
  </w:endnote>
  <w:endnote w:type="continuationSeparator" w:id="0">
    <w:p w14:paraId="55B910B8" w14:textId="77777777" w:rsidR="00FE2F25" w:rsidRDefault="00FE2F25" w:rsidP="00A6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antramanav">
    <w:altName w:val="Yantramanav"/>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967360"/>
      <w:docPartObj>
        <w:docPartGallery w:val="Page Numbers (Bottom of Page)"/>
        <w:docPartUnique/>
      </w:docPartObj>
    </w:sdtPr>
    <w:sdtEndPr/>
    <w:sdtContent>
      <w:p w14:paraId="1D515828" w14:textId="73F42B0F" w:rsidR="00A64E9B" w:rsidRDefault="00A64E9B">
        <w:pPr>
          <w:pStyle w:val="Porat"/>
          <w:jc w:val="center"/>
        </w:pPr>
        <w:r>
          <w:fldChar w:fldCharType="begin"/>
        </w:r>
        <w:r>
          <w:instrText>PAGE   \* MERGEFORMAT</w:instrText>
        </w:r>
        <w:r>
          <w:fldChar w:fldCharType="separate"/>
        </w:r>
        <w:r w:rsidR="00A00CA5">
          <w:rPr>
            <w:noProof/>
          </w:rPr>
          <w:t>1</w:t>
        </w:r>
        <w:r>
          <w:fldChar w:fldCharType="end"/>
        </w:r>
      </w:p>
    </w:sdtContent>
  </w:sdt>
  <w:p w14:paraId="68717A9D" w14:textId="77777777" w:rsidR="00A64E9B" w:rsidRDefault="00A64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2148" w14:textId="77777777" w:rsidR="00FE2F25" w:rsidRDefault="00FE2F25" w:rsidP="00A64E9B">
      <w:pPr>
        <w:spacing w:after="0" w:line="240" w:lineRule="auto"/>
      </w:pPr>
      <w:r>
        <w:separator/>
      </w:r>
    </w:p>
  </w:footnote>
  <w:footnote w:type="continuationSeparator" w:id="0">
    <w:p w14:paraId="0ECFE4F3" w14:textId="77777777" w:rsidR="00FE2F25" w:rsidRDefault="00FE2F25" w:rsidP="00A64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655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2F0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E7226B"/>
    <w:multiLevelType w:val="multilevel"/>
    <w:tmpl w:val="369E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D146D"/>
    <w:multiLevelType w:val="hybridMultilevel"/>
    <w:tmpl w:val="EB967CE0"/>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4056141"/>
    <w:multiLevelType w:val="hybridMultilevel"/>
    <w:tmpl w:val="436AB0C2"/>
    <w:lvl w:ilvl="0" w:tplc="A378E5F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D70203"/>
    <w:multiLevelType w:val="hybridMultilevel"/>
    <w:tmpl w:val="9EF2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wMTaysDAwNTEyNbBU0lEKTi0uzszPAykwrAUAvhCBSSwAAAA="/>
  </w:docVars>
  <w:rsids>
    <w:rsidRoot w:val="00646124"/>
    <w:rsid w:val="000035FB"/>
    <w:rsid w:val="000230AC"/>
    <w:rsid w:val="00044070"/>
    <w:rsid w:val="00044CD2"/>
    <w:rsid w:val="000549F0"/>
    <w:rsid w:val="000641BD"/>
    <w:rsid w:val="00066ED0"/>
    <w:rsid w:val="00075CAF"/>
    <w:rsid w:val="000865A9"/>
    <w:rsid w:val="0009172A"/>
    <w:rsid w:val="000A61C0"/>
    <w:rsid w:val="000B20F7"/>
    <w:rsid w:val="000B26B6"/>
    <w:rsid w:val="000B475A"/>
    <w:rsid w:val="000D6BB1"/>
    <w:rsid w:val="000F6852"/>
    <w:rsid w:val="0010170A"/>
    <w:rsid w:val="00101B0E"/>
    <w:rsid w:val="00103728"/>
    <w:rsid w:val="001247E6"/>
    <w:rsid w:val="00133B8A"/>
    <w:rsid w:val="00147A11"/>
    <w:rsid w:val="00192341"/>
    <w:rsid w:val="001965BB"/>
    <w:rsid w:val="001C2E0B"/>
    <w:rsid w:val="001D397F"/>
    <w:rsid w:val="001D3C6C"/>
    <w:rsid w:val="001F7A90"/>
    <w:rsid w:val="00212B47"/>
    <w:rsid w:val="00213AFB"/>
    <w:rsid w:val="00221DE6"/>
    <w:rsid w:val="00225679"/>
    <w:rsid w:val="0025046D"/>
    <w:rsid w:val="00253801"/>
    <w:rsid w:val="002823E9"/>
    <w:rsid w:val="00286D14"/>
    <w:rsid w:val="002F07C9"/>
    <w:rsid w:val="002F0A20"/>
    <w:rsid w:val="002F79AF"/>
    <w:rsid w:val="00305E7D"/>
    <w:rsid w:val="0032505C"/>
    <w:rsid w:val="00325B63"/>
    <w:rsid w:val="003457A9"/>
    <w:rsid w:val="003563F1"/>
    <w:rsid w:val="0035644F"/>
    <w:rsid w:val="00372E6E"/>
    <w:rsid w:val="0038121A"/>
    <w:rsid w:val="00381740"/>
    <w:rsid w:val="00391E0A"/>
    <w:rsid w:val="003A2AEB"/>
    <w:rsid w:val="003B42D2"/>
    <w:rsid w:val="003C0BC5"/>
    <w:rsid w:val="0042341A"/>
    <w:rsid w:val="00451C32"/>
    <w:rsid w:val="00452009"/>
    <w:rsid w:val="004A4ED6"/>
    <w:rsid w:val="004B5D88"/>
    <w:rsid w:val="004C2FF8"/>
    <w:rsid w:val="004D45D3"/>
    <w:rsid w:val="004D61BE"/>
    <w:rsid w:val="004D7B84"/>
    <w:rsid w:val="004E675F"/>
    <w:rsid w:val="004F416D"/>
    <w:rsid w:val="004F692F"/>
    <w:rsid w:val="00503E08"/>
    <w:rsid w:val="005211A9"/>
    <w:rsid w:val="005451C3"/>
    <w:rsid w:val="00545A50"/>
    <w:rsid w:val="0055236D"/>
    <w:rsid w:val="00563D60"/>
    <w:rsid w:val="00571B70"/>
    <w:rsid w:val="00582A6D"/>
    <w:rsid w:val="00586289"/>
    <w:rsid w:val="005B40F1"/>
    <w:rsid w:val="005B53CD"/>
    <w:rsid w:val="00612C34"/>
    <w:rsid w:val="00640074"/>
    <w:rsid w:val="00646124"/>
    <w:rsid w:val="00654C8E"/>
    <w:rsid w:val="00662CF9"/>
    <w:rsid w:val="00677899"/>
    <w:rsid w:val="006862B7"/>
    <w:rsid w:val="006A0E69"/>
    <w:rsid w:val="006E3410"/>
    <w:rsid w:val="006E4439"/>
    <w:rsid w:val="006F35CF"/>
    <w:rsid w:val="00700C91"/>
    <w:rsid w:val="0070230C"/>
    <w:rsid w:val="007103D2"/>
    <w:rsid w:val="00730C04"/>
    <w:rsid w:val="00732A94"/>
    <w:rsid w:val="007338AB"/>
    <w:rsid w:val="00735CE3"/>
    <w:rsid w:val="0076683A"/>
    <w:rsid w:val="0077019A"/>
    <w:rsid w:val="007A43BE"/>
    <w:rsid w:val="007B1433"/>
    <w:rsid w:val="007B5C57"/>
    <w:rsid w:val="007B7533"/>
    <w:rsid w:val="007C7801"/>
    <w:rsid w:val="007D2E67"/>
    <w:rsid w:val="007D3D17"/>
    <w:rsid w:val="007F23B4"/>
    <w:rsid w:val="007F3C5B"/>
    <w:rsid w:val="00800C53"/>
    <w:rsid w:val="00816C2C"/>
    <w:rsid w:val="00825672"/>
    <w:rsid w:val="00830E08"/>
    <w:rsid w:val="00836861"/>
    <w:rsid w:val="00850934"/>
    <w:rsid w:val="0086104F"/>
    <w:rsid w:val="00863682"/>
    <w:rsid w:val="0089080E"/>
    <w:rsid w:val="008B10B6"/>
    <w:rsid w:val="008B5858"/>
    <w:rsid w:val="008C281F"/>
    <w:rsid w:val="008C50A4"/>
    <w:rsid w:val="008D4308"/>
    <w:rsid w:val="00905E60"/>
    <w:rsid w:val="00922CC2"/>
    <w:rsid w:val="00923537"/>
    <w:rsid w:val="00927BB0"/>
    <w:rsid w:val="00932CB9"/>
    <w:rsid w:val="00967AD0"/>
    <w:rsid w:val="00996E7A"/>
    <w:rsid w:val="009A1980"/>
    <w:rsid w:val="009A6501"/>
    <w:rsid w:val="009A6B5C"/>
    <w:rsid w:val="009C3E85"/>
    <w:rsid w:val="009D1DDF"/>
    <w:rsid w:val="009E2C2A"/>
    <w:rsid w:val="00A00CA5"/>
    <w:rsid w:val="00A0246F"/>
    <w:rsid w:val="00A30BEF"/>
    <w:rsid w:val="00A60B18"/>
    <w:rsid w:val="00A64E9B"/>
    <w:rsid w:val="00A67213"/>
    <w:rsid w:val="00A75986"/>
    <w:rsid w:val="00A77729"/>
    <w:rsid w:val="00A820E8"/>
    <w:rsid w:val="00A87879"/>
    <w:rsid w:val="00AA0627"/>
    <w:rsid w:val="00AA09C4"/>
    <w:rsid w:val="00AD55F3"/>
    <w:rsid w:val="00AF2590"/>
    <w:rsid w:val="00B0260E"/>
    <w:rsid w:val="00B10E97"/>
    <w:rsid w:val="00B1428B"/>
    <w:rsid w:val="00B34E88"/>
    <w:rsid w:val="00B84DE3"/>
    <w:rsid w:val="00B91588"/>
    <w:rsid w:val="00B95414"/>
    <w:rsid w:val="00BC18BE"/>
    <w:rsid w:val="00BC7444"/>
    <w:rsid w:val="00C15C05"/>
    <w:rsid w:val="00C17AF1"/>
    <w:rsid w:val="00C2453C"/>
    <w:rsid w:val="00C47BD9"/>
    <w:rsid w:val="00C95C27"/>
    <w:rsid w:val="00CA1D78"/>
    <w:rsid w:val="00CA79DF"/>
    <w:rsid w:val="00CB65E8"/>
    <w:rsid w:val="00CC160F"/>
    <w:rsid w:val="00CE7480"/>
    <w:rsid w:val="00D072F9"/>
    <w:rsid w:val="00D135FC"/>
    <w:rsid w:val="00D1644A"/>
    <w:rsid w:val="00D179F6"/>
    <w:rsid w:val="00D25606"/>
    <w:rsid w:val="00D300FB"/>
    <w:rsid w:val="00D52447"/>
    <w:rsid w:val="00D6690A"/>
    <w:rsid w:val="00D91069"/>
    <w:rsid w:val="00E122C1"/>
    <w:rsid w:val="00E74F68"/>
    <w:rsid w:val="00EA73D9"/>
    <w:rsid w:val="00EC028C"/>
    <w:rsid w:val="00EE4E34"/>
    <w:rsid w:val="00F07E92"/>
    <w:rsid w:val="00F1272F"/>
    <w:rsid w:val="00F15CB3"/>
    <w:rsid w:val="00F202F2"/>
    <w:rsid w:val="00F30DE0"/>
    <w:rsid w:val="00F35444"/>
    <w:rsid w:val="00F42377"/>
    <w:rsid w:val="00F4245A"/>
    <w:rsid w:val="00F44FCC"/>
    <w:rsid w:val="00F56CA6"/>
    <w:rsid w:val="00F571A6"/>
    <w:rsid w:val="00F81CEB"/>
    <w:rsid w:val="00F86311"/>
    <w:rsid w:val="00F86C36"/>
    <w:rsid w:val="00F97F42"/>
    <w:rsid w:val="00FA0DF1"/>
    <w:rsid w:val="00FB2D1A"/>
    <w:rsid w:val="00FB7D19"/>
    <w:rsid w:val="00FC7461"/>
    <w:rsid w:val="00FE2E91"/>
    <w:rsid w:val="00FE2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2238"/>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97F42"/>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A0DF1"/>
    <w:rPr>
      <w:sz w:val="16"/>
      <w:szCs w:val="16"/>
    </w:rPr>
  </w:style>
  <w:style w:type="paragraph" w:styleId="Komentarotekstas">
    <w:name w:val="annotation text"/>
    <w:basedOn w:val="prastasis"/>
    <w:link w:val="KomentarotekstasDiagrama"/>
    <w:uiPriority w:val="99"/>
    <w:unhideWhenUsed/>
    <w:rsid w:val="00FA0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0DF1"/>
    <w:rPr>
      <w:sz w:val="20"/>
      <w:szCs w:val="20"/>
    </w:rPr>
  </w:style>
  <w:style w:type="paragraph" w:styleId="Komentarotema">
    <w:name w:val="annotation subject"/>
    <w:basedOn w:val="Komentarotekstas"/>
    <w:next w:val="Komentarotekstas"/>
    <w:link w:val="KomentarotemaDiagrama"/>
    <w:uiPriority w:val="99"/>
    <w:semiHidden/>
    <w:unhideWhenUsed/>
    <w:rsid w:val="00FA0DF1"/>
    <w:rPr>
      <w:b/>
      <w:bCs/>
    </w:rPr>
  </w:style>
  <w:style w:type="character" w:customStyle="1" w:styleId="KomentarotemaDiagrama">
    <w:name w:val="Komentaro tema Diagrama"/>
    <w:basedOn w:val="KomentarotekstasDiagrama"/>
    <w:link w:val="Komentarotema"/>
    <w:uiPriority w:val="99"/>
    <w:semiHidden/>
    <w:rsid w:val="00FA0DF1"/>
    <w:rPr>
      <w:b/>
      <w:bCs/>
      <w:sz w:val="20"/>
      <w:szCs w:val="20"/>
    </w:rPr>
  </w:style>
  <w:style w:type="paragraph" w:styleId="Debesliotekstas">
    <w:name w:val="Balloon Text"/>
    <w:basedOn w:val="prastasis"/>
    <w:link w:val="DebesliotekstasDiagrama"/>
    <w:uiPriority w:val="99"/>
    <w:semiHidden/>
    <w:unhideWhenUsed/>
    <w:rsid w:val="00FA0D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0DF1"/>
    <w:rPr>
      <w:rFonts w:ascii="Segoe UI" w:hAnsi="Segoe UI" w:cs="Segoe UI"/>
      <w:sz w:val="18"/>
      <w:szCs w:val="18"/>
    </w:rPr>
  </w:style>
  <w:style w:type="paragraph" w:styleId="Antrats">
    <w:name w:val="header"/>
    <w:basedOn w:val="prastasis"/>
    <w:link w:val="AntratsDiagrama"/>
    <w:uiPriority w:val="99"/>
    <w:unhideWhenUsed/>
    <w:rsid w:val="00A64E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4E9B"/>
  </w:style>
  <w:style w:type="paragraph" w:styleId="Porat">
    <w:name w:val="footer"/>
    <w:basedOn w:val="prastasis"/>
    <w:link w:val="PoratDiagrama"/>
    <w:uiPriority w:val="99"/>
    <w:unhideWhenUsed/>
    <w:rsid w:val="00A64E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4E9B"/>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923537"/>
    <w:pPr>
      <w:ind w:left="720"/>
      <w:contextualSpacing/>
    </w:pPr>
    <w:rPr>
      <w:i/>
    </w:rPr>
  </w:style>
  <w:style w:type="table" w:customStyle="1" w:styleId="Lentelstinklelis1">
    <w:name w:val="Lentelės tinklelis1"/>
    <w:basedOn w:val="prastojilentel"/>
    <w:next w:val="Lentelstinklelis"/>
    <w:uiPriority w:val="39"/>
    <w:rsid w:val="009235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23537"/>
    <w:rPr>
      <w:i/>
    </w:rPr>
  </w:style>
  <w:style w:type="paragraph" w:customStyle="1" w:styleId="Default">
    <w:name w:val="Default"/>
    <w:rsid w:val="00923537"/>
    <w:pPr>
      <w:autoSpaceDE w:val="0"/>
      <w:autoSpaceDN w:val="0"/>
      <w:adjustRightInd w:val="0"/>
      <w:spacing w:after="0" w:line="240" w:lineRule="auto"/>
    </w:pPr>
    <w:rPr>
      <w:rFonts w:ascii="Yantramanav" w:hAnsi="Yantramanav" w:cs="Yantramanav"/>
      <w:color w:val="000000"/>
      <w:sz w:val="24"/>
      <w:szCs w:val="24"/>
    </w:rPr>
  </w:style>
  <w:style w:type="character" w:styleId="Hipersaitas">
    <w:name w:val="Hyperlink"/>
    <w:basedOn w:val="Numatytasispastraiposriftas"/>
    <w:uiPriority w:val="99"/>
    <w:unhideWhenUsed/>
    <w:rsid w:val="00923537"/>
    <w:rPr>
      <w:color w:val="0563C1" w:themeColor="hyperlink"/>
      <w:u w:val="single"/>
    </w:rPr>
  </w:style>
  <w:style w:type="paragraph" w:styleId="Pataisymai">
    <w:name w:val="Revision"/>
    <w:hidden/>
    <w:uiPriority w:val="99"/>
    <w:semiHidden/>
    <w:rsid w:val="002F79AF"/>
    <w:pPr>
      <w:spacing w:after="0" w:line="240" w:lineRule="auto"/>
    </w:pPr>
  </w:style>
  <w:style w:type="paragraph" w:styleId="Betarp">
    <w:name w:val="No Spacing"/>
    <w:uiPriority w:val="99"/>
    <w:qFormat/>
    <w:rsid w:val="009A1980"/>
    <w:pPr>
      <w:spacing w:after="0" w:line="240" w:lineRule="auto"/>
    </w:pPr>
    <w:rPr>
      <w:rFonts w:ascii="Times New Roman" w:eastAsia="Calibri" w:hAnsi="Times New Roman" w:cs="Times New Roman"/>
      <w:sz w:val="24"/>
    </w:rPr>
  </w:style>
  <w:style w:type="paragraph" w:styleId="prastasiniatinklio">
    <w:name w:val="Normal (Web)"/>
    <w:basedOn w:val="prastasis"/>
    <w:uiPriority w:val="99"/>
    <w:semiHidden/>
    <w:unhideWhenUsed/>
    <w:rsid w:val="009A19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9A1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71827">
      <w:bodyDiv w:val="1"/>
      <w:marLeft w:val="0"/>
      <w:marRight w:val="0"/>
      <w:marTop w:val="0"/>
      <w:marBottom w:val="0"/>
      <w:divBdr>
        <w:top w:val="none" w:sz="0" w:space="0" w:color="auto"/>
        <w:left w:val="none" w:sz="0" w:space="0" w:color="auto"/>
        <w:bottom w:val="none" w:sz="0" w:space="0" w:color="auto"/>
        <w:right w:val="none" w:sz="0" w:space="0" w:color="auto"/>
      </w:divBdr>
    </w:div>
    <w:div w:id="424498911">
      <w:bodyDiv w:val="1"/>
      <w:marLeft w:val="0"/>
      <w:marRight w:val="0"/>
      <w:marTop w:val="0"/>
      <w:marBottom w:val="0"/>
      <w:divBdr>
        <w:top w:val="none" w:sz="0" w:space="0" w:color="auto"/>
        <w:left w:val="none" w:sz="0" w:space="0" w:color="auto"/>
        <w:bottom w:val="none" w:sz="0" w:space="0" w:color="auto"/>
        <w:right w:val="none" w:sz="0" w:space="0" w:color="auto"/>
      </w:divBdr>
    </w:div>
    <w:div w:id="500435256">
      <w:bodyDiv w:val="1"/>
      <w:marLeft w:val="0"/>
      <w:marRight w:val="0"/>
      <w:marTop w:val="0"/>
      <w:marBottom w:val="0"/>
      <w:divBdr>
        <w:top w:val="none" w:sz="0" w:space="0" w:color="auto"/>
        <w:left w:val="none" w:sz="0" w:space="0" w:color="auto"/>
        <w:bottom w:val="none" w:sz="0" w:space="0" w:color="auto"/>
        <w:right w:val="none" w:sz="0" w:space="0" w:color="auto"/>
      </w:divBdr>
    </w:div>
    <w:div w:id="612446120">
      <w:bodyDiv w:val="1"/>
      <w:marLeft w:val="0"/>
      <w:marRight w:val="0"/>
      <w:marTop w:val="0"/>
      <w:marBottom w:val="0"/>
      <w:divBdr>
        <w:top w:val="none" w:sz="0" w:space="0" w:color="auto"/>
        <w:left w:val="none" w:sz="0" w:space="0" w:color="auto"/>
        <w:bottom w:val="none" w:sz="0" w:space="0" w:color="auto"/>
        <w:right w:val="none" w:sz="0" w:space="0" w:color="auto"/>
      </w:divBdr>
    </w:div>
    <w:div w:id="685910869">
      <w:bodyDiv w:val="1"/>
      <w:marLeft w:val="0"/>
      <w:marRight w:val="0"/>
      <w:marTop w:val="0"/>
      <w:marBottom w:val="0"/>
      <w:divBdr>
        <w:top w:val="none" w:sz="0" w:space="0" w:color="auto"/>
        <w:left w:val="none" w:sz="0" w:space="0" w:color="auto"/>
        <w:bottom w:val="none" w:sz="0" w:space="0" w:color="auto"/>
        <w:right w:val="none" w:sz="0" w:space="0" w:color="auto"/>
      </w:divBdr>
    </w:div>
    <w:div w:id="687171651">
      <w:bodyDiv w:val="1"/>
      <w:marLeft w:val="0"/>
      <w:marRight w:val="0"/>
      <w:marTop w:val="0"/>
      <w:marBottom w:val="0"/>
      <w:divBdr>
        <w:top w:val="none" w:sz="0" w:space="0" w:color="auto"/>
        <w:left w:val="none" w:sz="0" w:space="0" w:color="auto"/>
        <w:bottom w:val="none" w:sz="0" w:space="0" w:color="auto"/>
        <w:right w:val="none" w:sz="0" w:space="0" w:color="auto"/>
      </w:divBdr>
    </w:div>
    <w:div w:id="692995055">
      <w:bodyDiv w:val="1"/>
      <w:marLeft w:val="0"/>
      <w:marRight w:val="0"/>
      <w:marTop w:val="0"/>
      <w:marBottom w:val="0"/>
      <w:divBdr>
        <w:top w:val="none" w:sz="0" w:space="0" w:color="auto"/>
        <w:left w:val="none" w:sz="0" w:space="0" w:color="auto"/>
        <w:bottom w:val="none" w:sz="0" w:space="0" w:color="auto"/>
        <w:right w:val="none" w:sz="0" w:space="0" w:color="auto"/>
      </w:divBdr>
    </w:div>
    <w:div w:id="693114509">
      <w:bodyDiv w:val="1"/>
      <w:marLeft w:val="0"/>
      <w:marRight w:val="0"/>
      <w:marTop w:val="0"/>
      <w:marBottom w:val="0"/>
      <w:divBdr>
        <w:top w:val="none" w:sz="0" w:space="0" w:color="auto"/>
        <w:left w:val="none" w:sz="0" w:space="0" w:color="auto"/>
        <w:bottom w:val="none" w:sz="0" w:space="0" w:color="auto"/>
        <w:right w:val="none" w:sz="0" w:space="0" w:color="auto"/>
      </w:divBdr>
    </w:div>
    <w:div w:id="785851689">
      <w:bodyDiv w:val="1"/>
      <w:marLeft w:val="0"/>
      <w:marRight w:val="0"/>
      <w:marTop w:val="0"/>
      <w:marBottom w:val="0"/>
      <w:divBdr>
        <w:top w:val="none" w:sz="0" w:space="0" w:color="auto"/>
        <w:left w:val="none" w:sz="0" w:space="0" w:color="auto"/>
        <w:bottom w:val="none" w:sz="0" w:space="0" w:color="auto"/>
        <w:right w:val="none" w:sz="0" w:space="0" w:color="auto"/>
      </w:divBdr>
    </w:div>
    <w:div w:id="830412176">
      <w:bodyDiv w:val="1"/>
      <w:marLeft w:val="0"/>
      <w:marRight w:val="0"/>
      <w:marTop w:val="0"/>
      <w:marBottom w:val="0"/>
      <w:divBdr>
        <w:top w:val="none" w:sz="0" w:space="0" w:color="auto"/>
        <w:left w:val="none" w:sz="0" w:space="0" w:color="auto"/>
        <w:bottom w:val="none" w:sz="0" w:space="0" w:color="auto"/>
        <w:right w:val="none" w:sz="0" w:space="0" w:color="auto"/>
      </w:divBdr>
    </w:div>
    <w:div w:id="836654670">
      <w:bodyDiv w:val="1"/>
      <w:marLeft w:val="0"/>
      <w:marRight w:val="0"/>
      <w:marTop w:val="0"/>
      <w:marBottom w:val="0"/>
      <w:divBdr>
        <w:top w:val="none" w:sz="0" w:space="0" w:color="auto"/>
        <w:left w:val="none" w:sz="0" w:space="0" w:color="auto"/>
        <w:bottom w:val="none" w:sz="0" w:space="0" w:color="auto"/>
        <w:right w:val="none" w:sz="0" w:space="0" w:color="auto"/>
      </w:divBdr>
    </w:div>
    <w:div w:id="854533947">
      <w:bodyDiv w:val="1"/>
      <w:marLeft w:val="0"/>
      <w:marRight w:val="0"/>
      <w:marTop w:val="0"/>
      <w:marBottom w:val="0"/>
      <w:divBdr>
        <w:top w:val="none" w:sz="0" w:space="0" w:color="auto"/>
        <w:left w:val="none" w:sz="0" w:space="0" w:color="auto"/>
        <w:bottom w:val="none" w:sz="0" w:space="0" w:color="auto"/>
        <w:right w:val="none" w:sz="0" w:space="0" w:color="auto"/>
      </w:divBdr>
    </w:div>
    <w:div w:id="925530946">
      <w:bodyDiv w:val="1"/>
      <w:marLeft w:val="0"/>
      <w:marRight w:val="0"/>
      <w:marTop w:val="0"/>
      <w:marBottom w:val="0"/>
      <w:divBdr>
        <w:top w:val="none" w:sz="0" w:space="0" w:color="auto"/>
        <w:left w:val="none" w:sz="0" w:space="0" w:color="auto"/>
        <w:bottom w:val="none" w:sz="0" w:space="0" w:color="auto"/>
        <w:right w:val="none" w:sz="0" w:space="0" w:color="auto"/>
      </w:divBdr>
    </w:div>
    <w:div w:id="973870224">
      <w:bodyDiv w:val="1"/>
      <w:marLeft w:val="0"/>
      <w:marRight w:val="0"/>
      <w:marTop w:val="0"/>
      <w:marBottom w:val="0"/>
      <w:divBdr>
        <w:top w:val="none" w:sz="0" w:space="0" w:color="auto"/>
        <w:left w:val="none" w:sz="0" w:space="0" w:color="auto"/>
        <w:bottom w:val="none" w:sz="0" w:space="0" w:color="auto"/>
        <w:right w:val="none" w:sz="0" w:space="0" w:color="auto"/>
      </w:divBdr>
    </w:div>
    <w:div w:id="1107506682">
      <w:bodyDiv w:val="1"/>
      <w:marLeft w:val="0"/>
      <w:marRight w:val="0"/>
      <w:marTop w:val="0"/>
      <w:marBottom w:val="0"/>
      <w:divBdr>
        <w:top w:val="none" w:sz="0" w:space="0" w:color="auto"/>
        <w:left w:val="none" w:sz="0" w:space="0" w:color="auto"/>
        <w:bottom w:val="none" w:sz="0" w:space="0" w:color="auto"/>
        <w:right w:val="none" w:sz="0" w:space="0" w:color="auto"/>
      </w:divBdr>
    </w:div>
    <w:div w:id="1167016078">
      <w:bodyDiv w:val="1"/>
      <w:marLeft w:val="0"/>
      <w:marRight w:val="0"/>
      <w:marTop w:val="0"/>
      <w:marBottom w:val="0"/>
      <w:divBdr>
        <w:top w:val="none" w:sz="0" w:space="0" w:color="auto"/>
        <w:left w:val="none" w:sz="0" w:space="0" w:color="auto"/>
        <w:bottom w:val="none" w:sz="0" w:space="0" w:color="auto"/>
        <w:right w:val="none" w:sz="0" w:space="0" w:color="auto"/>
      </w:divBdr>
    </w:div>
    <w:div w:id="1257901992">
      <w:bodyDiv w:val="1"/>
      <w:marLeft w:val="0"/>
      <w:marRight w:val="0"/>
      <w:marTop w:val="0"/>
      <w:marBottom w:val="0"/>
      <w:divBdr>
        <w:top w:val="none" w:sz="0" w:space="0" w:color="auto"/>
        <w:left w:val="none" w:sz="0" w:space="0" w:color="auto"/>
        <w:bottom w:val="none" w:sz="0" w:space="0" w:color="auto"/>
        <w:right w:val="none" w:sz="0" w:space="0" w:color="auto"/>
      </w:divBdr>
    </w:div>
    <w:div w:id="1302080127">
      <w:bodyDiv w:val="1"/>
      <w:marLeft w:val="0"/>
      <w:marRight w:val="0"/>
      <w:marTop w:val="0"/>
      <w:marBottom w:val="0"/>
      <w:divBdr>
        <w:top w:val="none" w:sz="0" w:space="0" w:color="auto"/>
        <w:left w:val="none" w:sz="0" w:space="0" w:color="auto"/>
        <w:bottom w:val="none" w:sz="0" w:space="0" w:color="auto"/>
        <w:right w:val="none" w:sz="0" w:space="0" w:color="auto"/>
      </w:divBdr>
    </w:div>
    <w:div w:id="1326013298">
      <w:bodyDiv w:val="1"/>
      <w:marLeft w:val="0"/>
      <w:marRight w:val="0"/>
      <w:marTop w:val="0"/>
      <w:marBottom w:val="0"/>
      <w:divBdr>
        <w:top w:val="none" w:sz="0" w:space="0" w:color="auto"/>
        <w:left w:val="none" w:sz="0" w:space="0" w:color="auto"/>
        <w:bottom w:val="none" w:sz="0" w:space="0" w:color="auto"/>
        <w:right w:val="none" w:sz="0" w:space="0" w:color="auto"/>
      </w:divBdr>
    </w:div>
    <w:div w:id="1393385252">
      <w:bodyDiv w:val="1"/>
      <w:marLeft w:val="0"/>
      <w:marRight w:val="0"/>
      <w:marTop w:val="0"/>
      <w:marBottom w:val="0"/>
      <w:divBdr>
        <w:top w:val="none" w:sz="0" w:space="0" w:color="auto"/>
        <w:left w:val="none" w:sz="0" w:space="0" w:color="auto"/>
        <w:bottom w:val="none" w:sz="0" w:space="0" w:color="auto"/>
        <w:right w:val="none" w:sz="0" w:space="0" w:color="auto"/>
      </w:divBdr>
    </w:div>
    <w:div w:id="1466240591">
      <w:bodyDiv w:val="1"/>
      <w:marLeft w:val="0"/>
      <w:marRight w:val="0"/>
      <w:marTop w:val="0"/>
      <w:marBottom w:val="0"/>
      <w:divBdr>
        <w:top w:val="none" w:sz="0" w:space="0" w:color="auto"/>
        <w:left w:val="none" w:sz="0" w:space="0" w:color="auto"/>
        <w:bottom w:val="none" w:sz="0" w:space="0" w:color="auto"/>
        <w:right w:val="none" w:sz="0" w:space="0" w:color="auto"/>
      </w:divBdr>
    </w:div>
    <w:div w:id="1567493535">
      <w:bodyDiv w:val="1"/>
      <w:marLeft w:val="0"/>
      <w:marRight w:val="0"/>
      <w:marTop w:val="0"/>
      <w:marBottom w:val="0"/>
      <w:divBdr>
        <w:top w:val="none" w:sz="0" w:space="0" w:color="auto"/>
        <w:left w:val="none" w:sz="0" w:space="0" w:color="auto"/>
        <w:bottom w:val="none" w:sz="0" w:space="0" w:color="auto"/>
        <w:right w:val="none" w:sz="0" w:space="0" w:color="auto"/>
      </w:divBdr>
    </w:div>
    <w:div w:id="1762680660">
      <w:bodyDiv w:val="1"/>
      <w:marLeft w:val="0"/>
      <w:marRight w:val="0"/>
      <w:marTop w:val="0"/>
      <w:marBottom w:val="0"/>
      <w:divBdr>
        <w:top w:val="none" w:sz="0" w:space="0" w:color="auto"/>
        <w:left w:val="none" w:sz="0" w:space="0" w:color="auto"/>
        <w:bottom w:val="none" w:sz="0" w:space="0" w:color="auto"/>
        <w:right w:val="none" w:sz="0" w:space="0" w:color="auto"/>
      </w:divBdr>
    </w:div>
    <w:div w:id="1808667141">
      <w:bodyDiv w:val="1"/>
      <w:marLeft w:val="0"/>
      <w:marRight w:val="0"/>
      <w:marTop w:val="0"/>
      <w:marBottom w:val="0"/>
      <w:divBdr>
        <w:top w:val="none" w:sz="0" w:space="0" w:color="auto"/>
        <w:left w:val="none" w:sz="0" w:space="0" w:color="auto"/>
        <w:bottom w:val="none" w:sz="0" w:space="0" w:color="auto"/>
        <w:right w:val="none" w:sz="0" w:space="0" w:color="auto"/>
      </w:divBdr>
    </w:div>
    <w:div w:id="1885749333">
      <w:bodyDiv w:val="1"/>
      <w:marLeft w:val="0"/>
      <w:marRight w:val="0"/>
      <w:marTop w:val="0"/>
      <w:marBottom w:val="0"/>
      <w:divBdr>
        <w:top w:val="none" w:sz="0" w:space="0" w:color="auto"/>
        <w:left w:val="none" w:sz="0" w:space="0" w:color="auto"/>
        <w:bottom w:val="none" w:sz="0" w:space="0" w:color="auto"/>
        <w:right w:val="none" w:sz="0" w:space="0" w:color="auto"/>
      </w:divBdr>
    </w:div>
    <w:div w:id="1927106651">
      <w:bodyDiv w:val="1"/>
      <w:marLeft w:val="0"/>
      <w:marRight w:val="0"/>
      <w:marTop w:val="0"/>
      <w:marBottom w:val="0"/>
      <w:divBdr>
        <w:top w:val="none" w:sz="0" w:space="0" w:color="auto"/>
        <w:left w:val="none" w:sz="0" w:space="0" w:color="auto"/>
        <w:bottom w:val="none" w:sz="0" w:space="0" w:color="auto"/>
        <w:right w:val="none" w:sz="0" w:space="0" w:color="auto"/>
      </w:divBdr>
    </w:div>
    <w:div w:id="1940091865">
      <w:bodyDiv w:val="1"/>
      <w:marLeft w:val="0"/>
      <w:marRight w:val="0"/>
      <w:marTop w:val="0"/>
      <w:marBottom w:val="0"/>
      <w:divBdr>
        <w:top w:val="none" w:sz="0" w:space="0" w:color="auto"/>
        <w:left w:val="none" w:sz="0" w:space="0" w:color="auto"/>
        <w:bottom w:val="none" w:sz="0" w:space="0" w:color="auto"/>
        <w:right w:val="none" w:sz="0" w:space="0" w:color="auto"/>
      </w:divBdr>
    </w:div>
    <w:div w:id="2014528040">
      <w:bodyDiv w:val="1"/>
      <w:marLeft w:val="0"/>
      <w:marRight w:val="0"/>
      <w:marTop w:val="0"/>
      <w:marBottom w:val="0"/>
      <w:divBdr>
        <w:top w:val="none" w:sz="0" w:space="0" w:color="auto"/>
        <w:left w:val="none" w:sz="0" w:space="0" w:color="auto"/>
        <w:bottom w:val="none" w:sz="0" w:space="0" w:color="auto"/>
        <w:right w:val="none" w:sz="0" w:space="0" w:color="auto"/>
      </w:divBdr>
    </w:div>
    <w:div w:id="2094156690">
      <w:bodyDiv w:val="1"/>
      <w:marLeft w:val="0"/>
      <w:marRight w:val="0"/>
      <w:marTop w:val="0"/>
      <w:marBottom w:val="0"/>
      <w:divBdr>
        <w:top w:val="none" w:sz="0" w:space="0" w:color="auto"/>
        <w:left w:val="none" w:sz="0" w:space="0" w:color="auto"/>
        <w:bottom w:val="none" w:sz="0" w:space="0" w:color="auto"/>
        <w:right w:val="none" w:sz="0" w:space="0" w:color="auto"/>
      </w:divBdr>
    </w:div>
    <w:div w:id="21212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8512</Words>
  <Characters>4853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Aistė Aničaitė-Stabingienė</cp:lastModifiedBy>
  <cp:revision>9</cp:revision>
  <dcterms:created xsi:type="dcterms:W3CDTF">2025-09-10T12:00:00Z</dcterms:created>
  <dcterms:modified xsi:type="dcterms:W3CDTF">2025-09-12T06:12:00Z</dcterms:modified>
</cp:coreProperties>
</file>