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D9A5F" w14:textId="692EDF47" w:rsidR="00F66898" w:rsidRDefault="00F66898" w:rsidP="00E73DBC">
      <w:pPr>
        <w:pStyle w:val="paragraph"/>
        <w:spacing w:before="0" w:beforeAutospacing="0" w:after="0" w:afterAutospacing="0"/>
        <w:jc w:val="center"/>
        <w:textAlignment w:val="baseline"/>
        <w:rPr>
          <w:rFonts w:ascii="Segoe UI" w:hAnsi="Segoe UI" w:cs="Segoe UI"/>
          <w:sz w:val="18"/>
          <w:szCs w:val="18"/>
        </w:rPr>
      </w:pPr>
      <w:r>
        <w:rPr>
          <w:rStyle w:val="normaltextrun"/>
          <w:b/>
          <w:bCs/>
        </w:rPr>
        <w:t>IŠTEKLIŲ AGENTŪRA</w:t>
      </w:r>
    </w:p>
    <w:p w14:paraId="1BF7FEB0" w14:textId="77777777" w:rsidR="00F66898" w:rsidRDefault="00F66898" w:rsidP="00F66898">
      <w:pPr>
        <w:pStyle w:val="paragraph"/>
        <w:spacing w:before="0" w:beforeAutospacing="0" w:after="0" w:afterAutospacing="0"/>
        <w:jc w:val="center"/>
        <w:textAlignment w:val="baseline"/>
        <w:rPr>
          <w:rFonts w:ascii="Segoe UI" w:hAnsi="Segoe UI" w:cs="Segoe UI"/>
          <w:sz w:val="18"/>
          <w:szCs w:val="18"/>
        </w:rPr>
      </w:pPr>
      <w:r>
        <w:rPr>
          <w:rStyle w:val="normaltextrun"/>
          <w:b/>
          <w:bCs/>
        </w:rPr>
        <w:t>PRIE LIETUVOS RESPUBLIKOS VIDAUS REIKALŲ MINISTERIJOS</w:t>
      </w:r>
      <w:r>
        <w:rPr>
          <w:rStyle w:val="eop"/>
        </w:rPr>
        <w:t> </w:t>
      </w:r>
    </w:p>
    <w:p w14:paraId="13F2670E" w14:textId="77777777" w:rsidR="00F66898" w:rsidRDefault="00F66898" w:rsidP="00F66898">
      <w:pPr>
        <w:pStyle w:val="paragraph"/>
        <w:spacing w:before="0" w:beforeAutospacing="0" w:after="0" w:afterAutospacing="0"/>
        <w:jc w:val="center"/>
        <w:textAlignment w:val="baseline"/>
        <w:rPr>
          <w:rFonts w:ascii="Segoe UI" w:hAnsi="Segoe UI" w:cs="Segoe UI"/>
          <w:sz w:val="18"/>
          <w:szCs w:val="18"/>
        </w:rPr>
      </w:pPr>
      <w:r>
        <w:rPr>
          <w:rStyle w:val="contentcontrolboundarysink"/>
          <w:b/>
          <w:bCs/>
          <w:caps/>
        </w:rPr>
        <w:t>​​</w:t>
      </w:r>
      <w:r>
        <w:rPr>
          <w:rStyle w:val="normaltextrun"/>
          <w:b/>
          <w:bCs/>
          <w:caps/>
        </w:rPr>
        <w:t>ViešŲjŲ pirkimŲ</w:t>
      </w:r>
      <w:r>
        <w:rPr>
          <w:rStyle w:val="contentcontrolboundarysink"/>
          <w:b/>
          <w:bCs/>
          <w:caps/>
        </w:rPr>
        <w:t>​</w:t>
      </w:r>
      <w:r>
        <w:rPr>
          <w:rStyle w:val="normaltextrun"/>
          <w:b/>
          <w:bCs/>
          <w:caps/>
        </w:rPr>
        <w:t xml:space="preserve"> komisijA</w:t>
      </w:r>
      <w:r>
        <w:rPr>
          <w:rStyle w:val="eop"/>
        </w:rPr>
        <w:t> </w:t>
      </w:r>
    </w:p>
    <w:p w14:paraId="1BEFE363" w14:textId="77777777" w:rsidR="00737586" w:rsidRDefault="00737586"/>
    <w:p w14:paraId="7B786136" w14:textId="77777777" w:rsidR="002F1378" w:rsidRDefault="002F1378" w:rsidP="004A4B70">
      <w:pPr>
        <w:spacing w:after="0" w:line="240" w:lineRule="auto"/>
        <w:jc w:val="center"/>
        <w:rPr>
          <w:rFonts w:ascii="Times New Roman" w:eastAsia="Calibri" w:hAnsi="Times New Roman" w:cs="Times New Roman"/>
          <w:b/>
          <w:bCs/>
          <w:iCs/>
          <w:sz w:val="24"/>
          <w:szCs w:val="24"/>
        </w:rPr>
      </w:pPr>
      <w:r w:rsidRPr="002F1378">
        <w:rPr>
          <w:rFonts w:ascii="Times New Roman" w:eastAsia="Calibri" w:hAnsi="Times New Roman" w:cs="Times New Roman"/>
          <w:b/>
          <w:bCs/>
          <w:iCs/>
          <w:sz w:val="24"/>
          <w:szCs w:val="24"/>
        </w:rPr>
        <w:t xml:space="preserve">PRANEŠIMAS DĖL GAUTŲ PASTABŲ PIRKIMO TECHNINĖS SPECIFIKACIJOS PROJEKTUI </w:t>
      </w:r>
    </w:p>
    <w:p w14:paraId="3FFCB518" w14:textId="77777777" w:rsidR="002F1378" w:rsidRDefault="002F1378" w:rsidP="004A4B70">
      <w:pPr>
        <w:spacing w:after="0" w:line="240" w:lineRule="auto"/>
        <w:jc w:val="center"/>
        <w:rPr>
          <w:rFonts w:ascii="Times New Roman" w:eastAsia="Calibri" w:hAnsi="Times New Roman" w:cs="Times New Roman"/>
          <w:b/>
          <w:bCs/>
          <w:iCs/>
          <w:sz w:val="24"/>
          <w:szCs w:val="24"/>
        </w:rPr>
      </w:pPr>
    </w:p>
    <w:p w14:paraId="1EE8F4D9" w14:textId="1C65D972" w:rsidR="002B6EBA" w:rsidRPr="00BC18BF" w:rsidRDefault="00BC18BF" w:rsidP="00582BA4">
      <w:pPr>
        <w:spacing w:after="0" w:line="240" w:lineRule="auto"/>
        <w:jc w:val="center"/>
        <w:rPr>
          <w:rFonts w:ascii="Times New Roman" w:hAnsi="Times New Roman" w:cs="Times New Roman"/>
          <w:sz w:val="24"/>
          <w:szCs w:val="24"/>
        </w:rPr>
      </w:pPr>
      <w:r w:rsidRPr="00BC18BF">
        <w:rPr>
          <w:rFonts w:ascii="Times New Roman" w:hAnsi="Times New Roman" w:cs="Times New Roman"/>
          <w:sz w:val="24"/>
          <w:szCs w:val="24"/>
        </w:rPr>
        <w:t>202</w:t>
      </w:r>
      <w:r w:rsidR="001C3558">
        <w:rPr>
          <w:rFonts w:ascii="Times New Roman" w:hAnsi="Times New Roman" w:cs="Times New Roman"/>
          <w:sz w:val="24"/>
          <w:szCs w:val="24"/>
        </w:rPr>
        <w:t>5</w:t>
      </w:r>
      <w:r w:rsidRPr="00BC18BF">
        <w:rPr>
          <w:rFonts w:ascii="Times New Roman" w:hAnsi="Times New Roman" w:cs="Times New Roman"/>
          <w:sz w:val="24"/>
          <w:szCs w:val="24"/>
        </w:rPr>
        <w:t>-</w:t>
      </w:r>
      <w:r w:rsidR="001C3558">
        <w:rPr>
          <w:rFonts w:ascii="Times New Roman" w:hAnsi="Times New Roman" w:cs="Times New Roman"/>
          <w:sz w:val="24"/>
          <w:szCs w:val="24"/>
        </w:rPr>
        <w:t>0</w:t>
      </w:r>
      <w:r w:rsidR="009F47DB">
        <w:rPr>
          <w:rFonts w:ascii="Times New Roman" w:hAnsi="Times New Roman" w:cs="Times New Roman"/>
          <w:sz w:val="24"/>
          <w:szCs w:val="24"/>
        </w:rPr>
        <w:t>9</w:t>
      </w:r>
      <w:r w:rsidRPr="00BC18BF">
        <w:rPr>
          <w:rFonts w:ascii="Times New Roman" w:hAnsi="Times New Roman" w:cs="Times New Roman"/>
          <w:sz w:val="24"/>
          <w:szCs w:val="24"/>
        </w:rPr>
        <w:t>-</w:t>
      </w:r>
      <w:r w:rsidR="009F47DB">
        <w:rPr>
          <w:rFonts w:ascii="Times New Roman" w:hAnsi="Times New Roman" w:cs="Times New Roman"/>
          <w:sz w:val="24"/>
          <w:szCs w:val="24"/>
        </w:rPr>
        <w:t>12</w:t>
      </w:r>
    </w:p>
    <w:p w14:paraId="3B64B691" w14:textId="7454DB8F" w:rsidR="00DC3A2D" w:rsidRDefault="00BC18BF" w:rsidP="004A4B70">
      <w:pPr>
        <w:spacing w:after="0" w:line="240" w:lineRule="auto"/>
        <w:jc w:val="center"/>
        <w:rPr>
          <w:rFonts w:ascii="Times New Roman" w:hAnsi="Times New Roman" w:cs="Times New Roman"/>
          <w:sz w:val="24"/>
          <w:szCs w:val="24"/>
        </w:rPr>
      </w:pPr>
      <w:r w:rsidRPr="00BC18BF">
        <w:rPr>
          <w:rFonts w:ascii="Times New Roman" w:hAnsi="Times New Roman" w:cs="Times New Roman"/>
          <w:sz w:val="24"/>
          <w:szCs w:val="24"/>
        </w:rPr>
        <w:t>Vilnius</w:t>
      </w:r>
    </w:p>
    <w:p w14:paraId="5DF410D1" w14:textId="77777777" w:rsidR="00DC3A2D" w:rsidRDefault="00DC3A2D" w:rsidP="004B43A7">
      <w:pPr>
        <w:spacing w:line="240" w:lineRule="auto"/>
        <w:jc w:val="center"/>
        <w:rPr>
          <w:rFonts w:ascii="Times New Roman" w:hAnsi="Times New Roman" w:cs="Times New Roman"/>
          <w:sz w:val="24"/>
          <w:szCs w:val="24"/>
        </w:rPr>
      </w:pPr>
    </w:p>
    <w:p w14:paraId="3F5129F5" w14:textId="77777777" w:rsidR="00C90B43" w:rsidRPr="00C90B43" w:rsidRDefault="00C90B43" w:rsidP="00C90B43">
      <w:pPr>
        <w:tabs>
          <w:tab w:val="left" w:pos="993"/>
          <w:tab w:val="left" w:pos="7110"/>
        </w:tabs>
        <w:spacing w:after="0" w:line="240" w:lineRule="auto"/>
        <w:ind w:firstLine="567"/>
        <w:jc w:val="both"/>
        <w:rPr>
          <w:rFonts w:ascii="Times New Roman" w:eastAsia="Calibri" w:hAnsi="Times New Roman" w:cs="Times New Roman"/>
          <w:i/>
        </w:rPr>
      </w:pPr>
      <w:r w:rsidRPr="00C90B43">
        <w:rPr>
          <w:rFonts w:ascii="Times New Roman" w:eastAsia="Calibri" w:hAnsi="Times New Roman" w:cs="Times New Roman"/>
          <w:i/>
        </w:rPr>
        <w:t>Informuojame, kad buvo gauta pastabų ir (ar) pasiūlymų dėl paskelbto techninės specifikacijos projekto:</w:t>
      </w:r>
    </w:p>
    <w:tbl>
      <w:tblPr>
        <w:tblW w:w="5043" w:type="pct"/>
        <w:tblInd w:w="-112" w:type="dxa"/>
        <w:tblLayout w:type="fixed"/>
        <w:tblCellMar>
          <w:left w:w="0" w:type="dxa"/>
          <w:right w:w="0" w:type="dxa"/>
        </w:tblCellMar>
        <w:tblLook w:val="04A0" w:firstRow="1" w:lastRow="0" w:firstColumn="1" w:lastColumn="0" w:noHBand="0" w:noVBand="1"/>
      </w:tblPr>
      <w:tblGrid>
        <w:gridCol w:w="393"/>
        <w:gridCol w:w="4873"/>
        <w:gridCol w:w="4435"/>
      </w:tblGrid>
      <w:tr w:rsidR="00C90B43" w:rsidRPr="00C90B43" w14:paraId="16AEF5F8" w14:textId="77777777" w:rsidTr="00C67323">
        <w:trPr>
          <w:tblHeader/>
        </w:trPr>
        <w:tc>
          <w:tcPr>
            <w:tcW w:w="395" w:type="dxa"/>
            <w:tcBorders>
              <w:top w:val="single" w:sz="8" w:space="0" w:color="DDDDDD"/>
              <w:left w:val="single" w:sz="8" w:space="0" w:color="DDDDDD"/>
              <w:bottom w:val="single" w:sz="8" w:space="0" w:color="DDDDDD"/>
              <w:right w:val="single" w:sz="8" w:space="0" w:color="DDDDDD"/>
            </w:tcBorders>
            <w:shd w:val="clear" w:color="auto" w:fill="F0F0F0"/>
            <w:tcMar>
              <w:top w:w="30" w:type="dxa"/>
              <w:left w:w="30" w:type="dxa"/>
              <w:bottom w:w="20" w:type="dxa"/>
              <w:right w:w="30" w:type="dxa"/>
            </w:tcMar>
            <w:hideMark/>
          </w:tcPr>
          <w:p w14:paraId="27C36FED" w14:textId="77777777" w:rsidR="00C90B43" w:rsidRPr="00C90B43" w:rsidRDefault="00C90B43" w:rsidP="00C90B43">
            <w:pPr>
              <w:spacing w:after="120" w:line="240" w:lineRule="auto"/>
              <w:jc w:val="center"/>
              <w:rPr>
                <w:rFonts w:ascii="Times New Roman" w:eastAsia="Calibri" w:hAnsi="Times New Roman" w:cs="Times New Roman"/>
                <w:b/>
                <w:bCs/>
                <w:i/>
                <w:iCs/>
                <w:color w:val="262626"/>
              </w:rPr>
            </w:pPr>
            <w:r w:rsidRPr="00C90B43">
              <w:rPr>
                <w:rFonts w:ascii="Times New Roman" w:eastAsia="Calibri" w:hAnsi="Times New Roman" w:cs="Times New Roman"/>
                <w:b/>
                <w:bCs/>
                <w:i/>
                <w:iCs/>
                <w:color w:val="262626"/>
              </w:rPr>
              <w:lastRenderedPageBreak/>
              <w:t>Eil. Nr.</w:t>
            </w:r>
          </w:p>
        </w:tc>
        <w:tc>
          <w:tcPr>
            <w:tcW w:w="4914" w:type="dxa"/>
            <w:tcBorders>
              <w:top w:val="single" w:sz="8" w:space="0" w:color="DDDDDD"/>
              <w:left w:val="nil"/>
              <w:bottom w:val="single" w:sz="8" w:space="0" w:color="DDDDDD"/>
              <w:right w:val="single" w:sz="8" w:space="0" w:color="DDDDDD"/>
            </w:tcBorders>
            <w:shd w:val="clear" w:color="auto" w:fill="F0F0F0"/>
            <w:tcMar>
              <w:top w:w="30" w:type="dxa"/>
              <w:left w:w="30" w:type="dxa"/>
              <w:bottom w:w="20" w:type="dxa"/>
              <w:right w:w="30" w:type="dxa"/>
            </w:tcMar>
            <w:hideMark/>
          </w:tcPr>
          <w:p w14:paraId="0FA99B5C" w14:textId="77777777" w:rsidR="00C90B43" w:rsidRPr="00C90B43" w:rsidRDefault="00C90B43" w:rsidP="00C90B43">
            <w:pPr>
              <w:spacing w:after="0" w:line="240" w:lineRule="auto"/>
              <w:jc w:val="center"/>
              <w:rPr>
                <w:rFonts w:ascii="Times New Roman" w:eastAsia="Calibri" w:hAnsi="Times New Roman" w:cs="Times New Roman"/>
                <w:i/>
                <w:iCs/>
                <w:color w:val="262626"/>
              </w:rPr>
            </w:pPr>
            <w:r w:rsidRPr="00C90B43">
              <w:rPr>
                <w:rFonts w:ascii="Times New Roman" w:eastAsia="Calibri" w:hAnsi="Times New Roman" w:cs="Times New Roman"/>
                <w:b/>
                <w:bCs/>
                <w:i/>
                <w:iCs/>
                <w:color w:val="262626"/>
              </w:rPr>
              <w:t>Klausimas/pastaba</w:t>
            </w:r>
          </w:p>
          <w:p w14:paraId="78B9DE1A" w14:textId="77777777" w:rsidR="00C90B43" w:rsidRPr="00C90B43" w:rsidRDefault="00C90B43" w:rsidP="00C90B43">
            <w:pPr>
              <w:spacing w:after="120" w:line="240" w:lineRule="auto"/>
              <w:jc w:val="center"/>
              <w:rPr>
                <w:rFonts w:ascii="Times New Roman" w:eastAsia="Calibri" w:hAnsi="Times New Roman" w:cs="Times New Roman"/>
                <w:b/>
                <w:bCs/>
                <w:i/>
                <w:iCs/>
                <w:color w:val="262626"/>
              </w:rPr>
            </w:pPr>
            <w:r w:rsidRPr="00C90B43">
              <w:rPr>
                <w:rFonts w:ascii="Times New Roman" w:eastAsia="Calibri" w:hAnsi="Times New Roman" w:cs="Times New Roman"/>
                <w:b/>
                <w:bCs/>
                <w:i/>
                <w:iCs/>
                <w:color w:val="262626"/>
              </w:rPr>
              <w:t>(tekstas neredaguotas)</w:t>
            </w:r>
          </w:p>
        </w:tc>
        <w:tc>
          <w:tcPr>
            <w:tcW w:w="4472" w:type="dxa"/>
            <w:tcBorders>
              <w:top w:val="single" w:sz="8" w:space="0" w:color="DDDDDD"/>
              <w:left w:val="nil"/>
              <w:bottom w:val="single" w:sz="8" w:space="0" w:color="DDDDDD"/>
              <w:right w:val="single" w:sz="8" w:space="0" w:color="DDDDDD"/>
            </w:tcBorders>
            <w:shd w:val="clear" w:color="auto" w:fill="F0F0F0"/>
            <w:tcMar>
              <w:top w:w="30" w:type="dxa"/>
              <w:left w:w="30" w:type="dxa"/>
              <w:bottom w:w="20" w:type="dxa"/>
              <w:right w:w="30" w:type="dxa"/>
            </w:tcMar>
            <w:hideMark/>
          </w:tcPr>
          <w:p w14:paraId="0D8A88CE" w14:textId="77777777" w:rsidR="00C90B43" w:rsidRPr="00C90B43" w:rsidRDefault="00C90B43" w:rsidP="00C90B43">
            <w:pPr>
              <w:spacing w:after="120" w:line="240" w:lineRule="auto"/>
              <w:jc w:val="center"/>
              <w:rPr>
                <w:rFonts w:ascii="Times New Roman" w:eastAsia="Calibri" w:hAnsi="Times New Roman" w:cs="Times New Roman"/>
                <w:b/>
                <w:bCs/>
                <w:i/>
                <w:iCs/>
                <w:color w:val="262626"/>
              </w:rPr>
            </w:pPr>
            <w:r w:rsidRPr="00C90B43">
              <w:rPr>
                <w:rFonts w:ascii="Times New Roman" w:eastAsia="Calibri" w:hAnsi="Times New Roman" w:cs="Times New Roman"/>
                <w:b/>
                <w:bCs/>
                <w:i/>
                <w:iCs/>
                <w:color w:val="262626"/>
              </w:rPr>
              <w:t>Atsakymas</w:t>
            </w:r>
          </w:p>
        </w:tc>
      </w:tr>
      <w:tr w:rsidR="00C90B43" w:rsidRPr="00C90B43" w14:paraId="7726F119" w14:textId="77777777" w:rsidTr="00C67323">
        <w:trPr>
          <w:tblHeader/>
        </w:trPr>
        <w:tc>
          <w:tcPr>
            <w:tcW w:w="395" w:type="dxa"/>
            <w:tcBorders>
              <w:top w:val="single" w:sz="8" w:space="0" w:color="DDDDDD"/>
              <w:left w:val="single" w:sz="8" w:space="0" w:color="DDDDDD"/>
              <w:bottom w:val="single" w:sz="8" w:space="0" w:color="DDDDDD"/>
              <w:right w:val="single" w:sz="8" w:space="0" w:color="DDDDDD"/>
            </w:tcBorders>
            <w:tcMar>
              <w:top w:w="30" w:type="dxa"/>
              <w:left w:w="30" w:type="dxa"/>
              <w:bottom w:w="20" w:type="dxa"/>
              <w:right w:w="30" w:type="dxa"/>
            </w:tcMar>
          </w:tcPr>
          <w:p w14:paraId="511EE83C" w14:textId="77777777" w:rsidR="00C90B43" w:rsidRPr="00C90B43" w:rsidRDefault="00C90B43" w:rsidP="00C90B43">
            <w:pPr>
              <w:spacing w:after="120" w:line="240" w:lineRule="auto"/>
              <w:jc w:val="center"/>
              <w:rPr>
                <w:rFonts w:ascii="Times New Roman" w:eastAsia="Calibri" w:hAnsi="Times New Roman" w:cs="Times New Roman"/>
                <w:bCs/>
                <w:i/>
                <w:iCs/>
                <w:color w:val="262626"/>
              </w:rPr>
            </w:pPr>
            <w:r w:rsidRPr="00C90B43">
              <w:rPr>
                <w:rFonts w:ascii="Times New Roman" w:eastAsia="Calibri" w:hAnsi="Times New Roman" w:cs="Times New Roman"/>
                <w:bCs/>
                <w:i/>
                <w:iCs/>
                <w:color w:val="262626"/>
              </w:rPr>
              <w:t>1.</w:t>
            </w:r>
          </w:p>
        </w:tc>
        <w:tc>
          <w:tcPr>
            <w:tcW w:w="4914" w:type="dxa"/>
            <w:tcBorders>
              <w:top w:val="single" w:sz="8" w:space="0" w:color="DDDDDD"/>
              <w:left w:val="nil"/>
              <w:bottom w:val="single" w:sz="8" w:space="0" w:color="DDDDDD"/>
              <w:right w:val="single" w:sz="8" w:space="0" w:color="DDDDDD"/>
            </w:tcBorders>
            <w:tcMar>
              <w:top w:w="30" w:type="dxa"/>
              <w:left w:w="30" w:type="dxa"/>
              <w:bottom w:w="20" w:type="dxa"/>
              <w:right w:w="30" w:type="dxa"/>
            </w:tcMar>
          </w:tcPr>
          <w:p w14:paraId="29C02808" w14:textId="77777777" w:rsidR="00C90B43" w:rsidRPr="00C90B43" w:rsidRDefault="00C90B43" w:rsidP="00C90B43">
            <w:pPr>
              <w:spacing w:after="0" w:line="240" w:lineRule="auto"/>
              <w:ind w:left="106" w:right="117"/>
              <w:jc w:val="both"/>
              <w:rPr>
                <w:rFonts w:ascii="Times New Roman" w:eastAsia="Calibri" w:hAnsi="Times New Roman" w:cs="Times New Roman"/>
                <w:bCs/>
                <w:i/>
                <w:iCs/>
                <w:color w:val="262626"/>
              </w:rPr>
            </w:pPr>
            <w:r w:rsidRPr="00C90B43">
              <w:rPr>
                <w:rFonts w:ascii="Times New Roman" w:eastAsia="Calibri" w:hAnsi="Times New Roman" w:cs="Times New Roman"/>
                <w:bCs/>
                <w:i/>
                <w:iCs/>
                <w:color w:val="262626"/>
              </w:rPr>
              <w:t>Techninės specifikacijos 5.4 punktas yra nekorektiškas. Atkreipiame dėmesį, kad įrangos gamintojai kaip tik kuria ir naudoja kuo efektyvesnius glaudinimo algoritmus, kad įrašymo srautas būtų kuo mažesnis, nemažinant įrašo raiškos ar kokybės. Kuo mažesnis įrašymo duomenų srautas yra generuojamas, tuo mažiau duomenų perdavimo tinklo ir vaizdo įrašymo įrangos resursų yra naudojama, todėl reikalauti, kad įrašymo srautas būtų ne mažesnis nei 3 Mbps yra nekorektiška ir netikslinga. Jei vaizdo ir garso įrašas yra daromas maksimalia reikalaujama raiška ir kadrų skaičiumi, kuo mažesnis duomenų srautas bus generuojamas, tuo mažiau kietųjų diskų talpos bus išnaudojama ir tuo mažiau bus apkraunama duomenų perdavimo tinklo infrastruktūra. Siūlome pašalinti apribojimą įrašymo duomenų srautui ir reikalavimą išdėstyti taip:</w:t>
            </w:r>
          </w:p>
          <w:p w14:paraId="4BCC7367" w14:textId="77777777" w:rsidR="00C90B43" w:rsidRPr="00C90B43" w:rsidRDefault="00C90B43" w:rsidP="00C90B43">
            <w:pPr>
              <w:spacing w:after="0" w:line="240" w:lineRule="auto"/>
              <w:ind w:left="106" w:right="117"/>
              <w:jc w:val="both"/>
              <w:rPr>
                <w:rFonts w:ascii="Times New Roman" w:eastAsia="Calibri" w:hAnsi="Times New Roman" w:cs="Times New Roman"/>
                <w:bCs/>
                <w:i/>
                <w:iCs/>
                <w:color w:val="262626"/>
              </w:rPr>
            </w:pPr>
            <w:r w:rsidRPr="00C90B43">
              <w:rPr>
                <w:rFonts w:ascii="Times New Roman" w:eastAsia="Calibri" w:hAnsi="Times New Roman" w:cs="Times New Roman"/>
                <w:bCs/>
                <w:i/>
                <w:iCs/>
                <w:color w:val="262626"/>
              </w:rPr>
              <w:t>„Vaizdo ir garso įrašai turi būti saugomi 32/16/8/4 kanalų tinklinio įrašymo įrenginiuose 30 kalendorinių dienų. Tiekėjas turi parinkti pakankamą kiekį pakankamos talpos diskų, kad vaizdo ir garso įrašas būtų saugomas 30 kalendorinių dienų (įrašymo dažnis kiekvienai kamerai ne mažiau kaip 25 kadrai/sek., skiriamoji geba ne mažesnė kaip maksimali kameros rezoliucija.“;</w:t>
            </w:r>
          </w:p>
        </w:tc>
        <w:tc>
          <w:tcPr>
            <w:tcW w:w="4472" w:type="dxa"/>
            <w:tcBorders>
              <w:top w:val="single" w:sz="8" w:space="0" w:color="DDDDDD"/>
              <w:left w:val="nil"/>
              <w:bottom w:val="single" w:sz="8" w:space="0" w:color="DDDDDD"/>
              <w:right w:val="single" w:sz="8" w:space="0" w:color="DDDDDD"/>
            </w:tcBorders>
            <w:tcMar>
              <w:top w:w="30" w:type="dxa"/>
              <w:left w:w="30" w:type="dxa"/>
              <w:bottom w:w="20" w:type="dxa"/>
              <w:right w:w="30" w:type="dxa"/>
            </w:tcMar>
          </w:tcPr>
          <w:p w14:paraId="7D740E9B" w14:textId="77777777" w:rsidR="00C90B43" w:rsidRPr="00C90B43" w:rsidRDefault="00C90B43" w:rsidP="00C90B43">
            <w:pPr>
              <w:spacing w:after="120" w:line="240" w:lineRule="auto"/>
              <w:ind w:left="106" w:right="117"/>
              <w:jc w:val="both"/>
              <w:rPr>
                <w:rFonts w:ascii="Times New Roman" w:eastAsia="Calibri" w:hAnsi="Times New Roman" w:cs="Times New Roman"/>
                <w:bCs/>
                <w:i/>
                <w:iCs/>
                <w:color w:val="262626"/>
              </w:rPr>
            </w:pPr>
            <w:r w:rsidRPr="00C90B43">
              <w:rPr>
                <w:rFonts w:ascii="Times New Roman" w:eastAsia="Calibri" w:hAnsi="Times New Roman" w:cs="Times New Roman"/>
                <w:bCs/>
                <w:i/>
                <w:iCs/>
                <w:color w:val="262626"/>
              </w:rPr>
              <w:t>Atsižvelgiant į teikėjo paklausimą, techninės specifikacijos 5.4 punktas keičiamas ir  išdėstomas taip:</w:t>
            </w:r>
          </w:p>
          <w:p w14:paraId="6861487E" w14:textId="77777777" w:rsidR="00C90B43" w:rsidRPr="00C90B43" w:rsidRDefault="00C90B43" w:rsidP="00C90B43">
            <w:pPr>
              <w:spacing w:after="120" w:line="240" w:lineRule="auto"/>
              <w:ind w:left="106" w:right="117"/>
              <w:jc w:val="both"/>
              <w:rPr>
                <w:rFonts w:ascii="Times New Roman" w:eastAsia="Calibri" w:hAnsi="Times New Roman" w:cs="Times New Roman"/>
                <w:bCs/>
                <w:i/>
                <w:iCs/>
                <w:color w:val="262626"/>
              </w:rPr>
            </w:pPr>
            <w:r w:rsidRPr="00C90B43">
              <w:rPr>
                <w:rFonts w:ascii="Times New Roman" w:eastAsia="Calibri" w:hAnsi="Times New Roman" w:cs="Times New Roman"/>
                <w:bCs/>
                <w:i/>
                <w:iCs/>
                <w:color w:val="262626"/>
              </w:rPr>
              <w:t>„5.4. vaizdo ir garso įrašai turi būti saugomi 32/16/8/4 kanalų tinklinio įrašymo įrenginiuose 30 kalendorinių dienų. Tiekėjas turi parinkti pakankamą kiekį pakankamos talpos diskų, kad vaizdo ir garso įrašas būtų saugomas 30 kalendorinių dienų;“</w:t>
            </w:r>
          </w:p>
        </w:tc>
      </w:tr>
      <w:tr w:rsidR="00C90B43" w:rsidRPr="00C90B43" w14:paraId="0C6C8F14" w14:textId="77777777" w:rsidTr="00C67323">
        <w:trPr>
          <w:tblHeader/>
        </w:trPr>
        <w:tc>
          <w:tcPr>
            <w:tcW w:w="395" w:type="dxa"/>
            <w:tcBorders>
              <w:top w:val="single" w:sz="8" w:space="0" w:color="DDDDDD"/>
              <w:left w:val="single" w:sz="8" w:space="0" w:color="DDDDDD"/>
              <w:bottom w:val="single" w:sz="8" w:space="0" w:color="DDDDDD"/>
              <w:right w:val="single" w:sz="8" w:space="0" w:color="DDDDDD"/>
            </w:tcBorders>
            <w:tcMar>
              <w:top w:w="30" w:type="dxa"/>
              <w:left w:w="30" w:type="dxa"/>
              <w:bottom w:w="20" w:type="dxa"/>
              <w:right w:w="30" w:type="dxa"/>
            </w:tcMar>
          </w:tcPr>
          <w:p w14:paraId="2BFC386E" w14:textId="77777777" w:rsidR="00C90B43" w:rsidRPr="00C90B43" w:rsidRDefault="00C90B43" w:rsidP="00C90B43">
            <w:pPr>
              <w:spacing w:after="120" w:line="240" w:lineRule="auto"/>
              <w:jc w:val="center"/>
              <w:rPr>
                <w:rFonts w:ascii="Times New Roman" w:eastAsia="Calibri" w:hAnsi="Times New Roman" w:cs="Times New Roman"/>
                <w:bCs/>
                <w:i/>
                <w:iCs/>
                <w:color w:val="262626"/>
              </w:rPr>
            </w:pPr>
            <w:r w:rsidRPr="00C90B43">
              <w:rPr>
                <w:rFonts w:ascii="Times New Roman" w:eastAsia="Calibri" w:hAnsi="Times New Roman" w:cs="Times New Roman"/>
                <w:bCs/>
                <w:i/>
                <w:iCs/>
                <w:color w:val="262626"/>
              </w:rPr>
              <w:lastRenderedPageBreak/>
              <w:t>2.</w:t>
            </w:r>
          </w:p>
        </w:tc>
        <w:tc>
          <w:tcPr>
            <w:tcW w:w="4914" w:type="dxa"/>
            <w:tcBorders>
              <w:top w:val="single" w:sz="8" w:space="0" w:color="DDDDDD"/>
              <w:left w:val="nil"/>
              <w:bottom w:val="single" w:sz="8" w:space="0" w:color="DDDDDD"/>
              <w:right w:val="single" w:sz="8" w:space="0" w:color="DDDDDD"/>
            </w:tcBorders>
            <w:tcMar>
              <w:top w:w="30" w:type="dxa"/>
              <w:left w:w="30" w:type="dxa"/>
              <w:bottom w:w="20" w:type="dxa"/>
              <w:right w:w="30" w:type="dxa"/>
            </w:tcMar>
          </w:tcPr>
          <w:p w14:paraId="060DA09E" w14:textId="77777777" w:rsidR="00C90B43" w:rsidRPr="00C90B43" w:rsidRDefault="00C90B43" w:rsidP="00C90B43">
            <w:pPr>
              <w:spacing w:after="0" w:line="240" w:lineRule="auto"/>
              <w:ind w:left="106" w:right="117"/>
              <w:jc w:val="both"/>
              <w:rPr>
                <w:rFonts w:ascii="Times New Roman" w:eastAsia="Calibri" w:hAnsi="Times New Roman" w:cs="Times New Roman"/>
                <w:bCs/>
                <w:i/>
                <w:iCs/>
                <w:color w:val="262626"/>
              </w:rPr>
            </w:pPr>
            <w:r w:rsidRPr="00C90B43">
              <w:rPr>
                <w:rFonts w:ascii="Times New Roman" w:eastAsia="Calibri" w:hAnsi="Times New Roman" w:cs="Times New Roman"/>
                <w:bCs/>
                <w:i/>
                <w:iCs/>
                <w:color w:val="262626"/>
              </w:rPr>
              <w:t>Techninės specifikacijos 5.14 punktas yra perteklinis ir ribojantis konkurenciją. Rinkoje yra taikoma laisvoji prekyba, kai įrangą gali įsigyti ir parduoti visi norintys, nebūtinai susieti sutartiniais įsipareigojimais ar įgaliojimais su įrangos gamintojais, asmenys. Taip pat, perkamos įrangos garantinio remonto poreikį gali užtikrinti nebūtinai įrangos gamintojas ar jo įgaliotas atstovas. Perkančioji organizacija numato gedimų šalinimo terminus, per kuriuos tiekėjai turės pašalinti gedimus, tiekėjai nebūtinai turi būti įrangos gamintojai ar jų įgalioti atstovai, kad užtikrintų numatytų gedimų šalinimo terminų laikymąsi, todėl siūlome pašalinti 5.14 punktą, dėl to, kad jis yra perteklinis ir ribojantis konkurenciją;</w:t>
            </w:r>
          </w:p>
        </w:tc>
        <w:tc>
          <w:tcPr>
            <w:tcW w:w="4472" w:type="dxa"/>
            <w:tcBorders>
              <w:top w:val="single" w:sz="8" w:space="0" w:color="DDDDDD"/>
              <w:left w:val="nil"/>
              <w:bottom w:val="single" w:sz="8" w:space="0" w:color="DDDDDD"/>
              <w:right w:val="single" w:sz="8" w:space="0" w:color="DDDDDD"/>
            </w:tcBorders>
            <w:tcMar>
              <w:top w:w="30" w:type="dxa"/>
              <w:left w:w="30" w:type="dxa"/>
              <w:bottom w:w="20" w:type="dxa"/>
              <w:right w:w="30" w:type="dxa"/>
            </w:tcMar>
          </w:tcPr>
          <w:p w14:paraId="53D779E8" w14:textId="77777777" w:rsidR="00C90B43" w:rsidRPr="00C90B43" w:rsidRDefault="00C90B43" w:rsidP="00C90B43">
            <w:pPr>
              <w:spacing w:after="120" w:line="240" w:lineRule="auto"/>
              <w:ind w:left="106" w:right="117"/>
              <w:jc w:val="both"/>
              <w:rPr>
                <w:rFonts w:ascii="Times New Roman" w:eastAsia="Calibri" w:hAnsi="Times New Roman" w:cs="Times New Roman"/>
                <w:bCs/>
                <w:i/>
                <w:iCs/>
                <w:color w:val="262626"/>
              </w:rPr>
            </w:pPr>
            <w:r w:rsidRPr="00C90B43">
              <w:rPr>
                <w:rFonts w:ascii="Times New Roman" w:eastAsia="Calibri" w:hAnsi="Times New Roman" w:cs="Times New Roman"/>
                <w:bCs/>
                <w:i/>
                <w:iCs/>
                <w:color w:val="262626"/>
              </w:rPr>
              <w:t>Perkančioji organizacija nesutinka su pastaba dėl techninės specifikacijos 5.14 punkto. Pirkimo dokumentuose nustatytas reikalavimas tiekėjui būti gamintojo atstovu ar turėti gamintojo įgaliojimą nėra perteklinis ir nepažeidžia Lietuvos Respublikos viešųjų pirkimų įstatymo nuostatų bei principų. Reikalavimas nėra diskriminuojantis, kadangi perkančioji organizacija nereikalauja, jog tiekėjas būtų vienintelis gamintojo atstovas. Gamintojas gali suteikti atstovo statusą keliems ūkio subjektams, todėl dalyvauti pirkime gali visi tiekėjai, kurie yra gavę tokį statusą ar įgaliojimą. Tokiu būdu užtikrinamas konkurencijos principo laikymasis ir tiekėjų lygiateisiškumas. Šis reikalavimas nustatytas siekiant užtikrinti, kad įsigyjama įranga būtų tiekiama tik oficialiais gamintojo kanalais, turėtų gamintojo garantiją, kad būtų užtikrintas originalių atsarginių dalių tiekimas bei gamintojo autorizuotas aptarnavimas. Atsižvelgiant į tai, jog pirkimo objektas yra specializuota įranga, kuriai būtinas gamintojo palaikymas bei teisėti garantiniai įsipareigojimai, toks reikalavimas yra objektyviai būtinas ir proporcingas pirkimo tikslui. Nustatytas reikalavimas užtikrina, kad tiekėjas bus pajėgus tinkamai įvykdyti sutartį. Atsižvelgiant į tai, laikome, kad nustatytas reikalavimas yra teisėtas, proporcingas, neprieštarauja teisės aktų nuostatoms ir būtinas tam, kad perkančioji organizacija galėtų įsigyti patikimą, kokybišką ir gamintojo garantijomis užtikrintą įrangą.</w:t>
            </w:r>
          </w:p>
        </w:tc>
      </w:tr>
      <w:tr w:rsidR="00C90B43" w:rsidRPr="00C90B43" w14:paraId="699C7614" w14:textId="77777777" w:rsidTr="00C67323">
        <w:trPr>
          <w:tblHeader/>
        </w:trPr>
        <w:tc>
          <w:tcPr>
            <w:tcW w:w="395" w:type="dxa"/>
            <w:tcBorders>
              <w:top w:val="single" w:sz="8" w:space="0" w:color="DDDDDD"/>
              <w:left w:val="single" w:sz="8" w:space="0" w:color="DDDDDD"/>
              <w:bottom w:val="single" w:sz="8" w:space="0" w:color="DDDDDD"/>
              <w:right w:val="single" w:sz="8" w:space="0" w:color="DDDDDD"/>
            </w:tcBorders>
            <w:tcMar>
              <w:top w:w="30" w:type="dxa"/>
              <w:left w:w="30" w:type="dxa"/>
              <w:bottom w:w="20" w:type="dxa"/>
              <w:right w:w="30" w:type="dxa"/>
            </w:tcMar>
          </w:tcPr>
          <w:p w14:paraId="3BB9A4EB" w14:textId="77777777" w:rsidR="00C90B43" w:rsidRPr="00C90B43" w:rsidRDefault="00C90B43" w:rsidP="00C90B43">
            <w:pPr>
              <w:spacing w:after="120" w:line="240" w:lineRule="auto"/>
              <w:jc w:val="center"/>
              <w:rPr>
                <w:rFonts w:ascii="Times New Roman" w:eastAsia="Calibri" w:hAnsi="Times New Roman" w:cs="Times New Roman"/>
                <w:bCs/>
                <w:i/>
                <w:iCs/>
                <w:color w:val="262626"/>
              </w:rPr>
            </w:pPr>
            <w:r w:rsidRPr="00C90B43">
              <w:rPr>
                <w:rFonts w:ascii="Times New Roman" w:eastAsia="Calibri" w:hAnsi="Times New Roman" w:cs="Times New Roman"/>
                <w:bCs/>
                <w:i/>
                <w:iCs/>
                <w:color w:val="262626"/>
              </w:rPr>
              <w:t>3.</w:t>
            </w:r>
          </w:p>
        </w:tc>
        <w:tc>
          <w:tcPr>
            <w:tcW w:w="4914" w:type="dxa"/>
            <w:tcBorders>
              <w:top w:val="single" w:sz="8" w:space="0" w:color="DDDDDD"/>
              <w:left w:val="nil"/>
              <w:bottom w:val="single" w:sz="8" w:space="0" w:color="DDDDDD"/>
              <w:right w:val="single" w:sz="8" w:space="0" w:color="DDDDDD"/>
            </w:tcBorders>
            <w:tcMar>
              <w:top w:w="30" w:type="dxa"/>
              <w:left w:w="30" w:type="dxa"/>
              <w:bottom w:w="20" w:type="dxa"/>
              <w:right w:w="30" w:type="dxa"/>
            </w:tcMar>
          </w:tcPr>
          <w:p w14:paraId="5BF89D1E" w14:textId="77777777" w:rsidR="00C90B43" w:rsidRPr="00C90B43" w:rsidRDefault="00C90B43" w:rsidP="00C90B43">
            <w:pPr>
              <w:spacing w:after="0" w:line="240" w:lineRule="auto"/>
              <w:ind w:left="106" w:right="117"/>
              <w:jc w:val="both"/>
              <w:rPr>
                <w:rFonts w:ascii="Times New Roman" w:eastAsia="Calibri" w:hAnsi="Times New Roman" w:cs="Times New Roman"/>
                <w:bCs/>
                <w:i/>
                <w:iCs/>
                <w:color w:val="262626"/>
              </w:rPr>
            </w:pPr>
            <w:r w:rsidRPr="00C90B43">
              <w:rPr>
                <w:rFonts w:ascii="Times New Roman" w:eastAsia="Times New Roman" w:hAnsi="Times New Roman" w:cs="Times New Roman"/>
                <w:i/>
                <w:iCs/>
              </w:rPr>
              <w:t>Atsižvelgiant į tai, kad perkamas gan didelis kiekis įrangos, kurios tiekimas iš gamintojo gali trukti ilgiau nei mėnesį, taip pat, kad yra net 50 vnt. skirtingų objektų išsidėsčiusių skirtinguose miestuose, kuriuose reikės įrengti vaizdo stebėjimo sistemas, o darbų atlikimo laiką reikės derinti su perkančiąja organizacija, prašome numatyti ilgesnį 4.1 punkte nurodytą darbų atlikimo terminą, vaizdo stebėjimo sistemų įrengimui numatant bent  6 mėn.</w:t>
            </w:r>
          </w:p>
        </w:tc>
        <w:tc>
          <w:tcPr>
            <w:tcW w:w="4472" w:type="dxa"/>
            <w:tcBorders>
              <w:top w:val="single" w:sz="8" w:space="0" w:color="DDDDDD"/>
              <w:left w:val="nil"/>
              <w:bottom w:val="single" w:sz="8" w:space="0" w:color="DDDDDD"/>
              <w:right w:val="single" w:sz="8" w:space="0" w:color="DDDDDD"/>
            </w:tcBorders>
            <w:tcMar>
              <w:top w:w="30" w:type="dxa"/>
              <w:left w:w="30" w:type="dxa"/>
              <w:bottom w:w="20" w:type="dxa"/>
              <w:right w:w="30" w:type="dxa"/>
            </w:tcMar>
          </w:tcPr>
          <w:p w14:paraId="6BB06841" w14:textId="77777777" w:rsidR="00C90B43" w:rsidRPr="00C90B43" w:rsidRDefault="00C90B43" w:rsidP="00C90B43">
            <w:pPr>
              <w:spacing w:after="120" w:line="240" w:lineRule="auto"/>
              <w:ind w:left="106" w:right="117"/>
              <w:jc w:val="both"/>
              <w:rPr>
                <w:rFonts w:ascii="Times New Roman" w:eastAsia="Calibri" w:hAnsi="Times New Roman" w:cs="Times New Roman"/>
                <w:bCs/>
                <w:i/>
                <w:iCs/>
                <w:color w:val="262626"/>
              </w:rPr>
            </w:pPr>
            <w:r w:rsidRPr="00C90B43">
              <w:rPr>
                <w:rFonts w:ascii="Times New Roman" w:eastAsia="Calibri" w:hAnsi="Times New Roman" w:cs="Times New Roman"/>
                <w:bCs/>
                <w:i/>
                <w:iCs/>
                <w:color w:val="262626"/>
              </w:rPr>
              <w:t>Perkančioji organizacija nenumato keisti techninės specifikacijos 4.1 p. nustatyto termino, kadangi projekto veiklos finansuojamos tik iki 2026 m. balandžio 30 d.</w:t>
            </w:r>
          </w:p>
        </w:tc>
      </w:tr>
      <w:tr w:rsidR="00C90B43" w:rsidRPr="00C90B43" w14:paraId="20F04A0B" w14:textId="77777777" w:rsidTr="00C67323">
        <w:trPr>
          <w:tblHeader/>
        </w:trPr>
        <w:tc>
          <w:tcPr>
            <w:tcW w:w="395" w:type="dxa"/>
            <w:tcBorders>
              <w:top w:val="single" w:sz="8" w:space="0" w:color="DDDDDD"/>
              <w:left w:val="single" w:sz="8" w:space="0" w:color="DDDDDD"/>
              <w:bottom w:val="single" w:sz="8" w:space="0" w:color="DDDDDD"/>
              <w:right w:val="single" w:sz="8" w:space="0" w:color="DDDDDD"/>
            </w:tcBorders>
            <w:tcMar>
              <w:top w:w="30" w:type="dxa"/>
              <w:left w:w="30" w:type="dxa"/>
              <w:bottom w:w="20" w:type="dxa"/>
              <w:right w:w="30" w:type="dxa"/>
            </w:tcMar>
          </w:tcPr>
          <w:p w14:paraId="326ACFD5" w14:textId="77777777" w:rsidR="00C90B43" w:rsidRPr="00C90B43" w:rsidRDefault="00C90B43" w:rsidP="00C90B43">
            <w:pPr>
              <w:spacing w:after="120" w:line="240" w:lineRule="auto"/>
              <w:jc w:val="center"/>
              <w:rPr>
                <w:rFonts w:ascii="Times New Roman" w:eastAsia="Calibri" w:hAnsi="Times New Roman" w:cs="Times New Roman"/>
                <w:bCs/>
                <w:i/>
                <w:iCs/>
                <w:color w:val="262626"/>
              </w:rPr>
            </w:pPr>
            <w:r w:rsidRPr="00C90B43">
              <w:rPr>
                <w:rFonts w:ascii="Times New Roman" w:eastAsia="Calibri" w:hAnsi="Times New Roman" w:cs="Times New Roman"/>
                <w:bCs/>
                <w:i/>
                <w:iCs/>
                <w:color w:val="262626"/>
              </w:rPr>
              <w:t>4.</w:t>
            </w:r>
          </w:p>
        </w:tc>
        <w:tc>
          <w:tcPr>
            <w:tcW w:w="4914" w:type="dxa"/>
            <w:tcBorders>
              <w:top w:val="single" w:sz="8" w:space="0" w:color="DDDDDD"/>
              <w:left w:val="nil"/>
              <w:bottom w:val="single" w:sz="8" w:space="0" w:color="DDDDDD"/>
              <w:right w:val="single" w:sz="8" w:space="0" w:color="DDDDDD"/>
            </w:tcBorders>
            <w:tcMar>
              <w:top w:w="30" w:type="dxa"/>
              <w:left w:w="30" w:type="dxa"/>
              <w:bottom w:w="20" w:type="dxa"/>
              <w:right w:w="30" w:type="dxa"/>
            </w:tcMar>
          </w:tcPr>
          <w:p w14:paraId="46B3EDCE" w14:textId="77777777" w:rsidR="00C90B43" w:rsidRPr="00C90B43" w:rsidRDefault="00C90B43" w:rsidP="00C90B43">
            <w:pPr>
              <w:spacing w:after="0" w:line="240" w:lineRule="auto"/>
              <w:ind w:left="106" w:right="117"/>
              <w:jc w:val="both"/>
              <w:rPr>
                <w:rFonts w:ascii="Times New Roman" w:eastAsia="Times New Roman" w:hAnsi="Times New Roman" w:cs="Times New Roman"/>
                <w:i/>
                <w:iCs/>
              </w:rPr>
            </w:pPr>
            <w:r w:rsidRPr="00C90B43">
              <w:rPr>
                <w:rFonts w:ascii="Times New Roman" w:eastAsia="Times New Roman" w:hAnsi="Times New Roman" w:cs="Times New Roman"/>
                <w:i/>
                <w:iCs/>
              </w:rPr>
              <w:t xml:space="preserve">Siūlome pirkimo apimtyse numatyti tarpinius atsiskaitymus už atliktus darbus, numatant </w:t>
            </w:r>
            <w:proofErr w:type="spellStart"/>
            <w:r w:rsidRPr="00C90B43">
              <w:rPr>
                <w:rFonts w:ascii="Times New Roman" w:eastAsia="Times New Roman" w:hAnsi="Times New Roman" w:cs="Times New Roman"/>
                <w:i/>
                <w:iCs/>
              </w:rPr>
              <w:t>aktavimus</w:t>
            </w:r>
            <w:proofErr w:type="spellEnd"/>
            <w:r w:rsidRPr="00C90B43">
              <w:rPr>
                <w:rFonts w:ascii="Times New Roman" w:eastAsia="Times New Roman" w:hAnsi="Times New Roman" w:cs="Times New Roman"/>
                <w:i/>
                <w:iCs/>
              </w:rPr>
              <w:t xml:space="preserve"> už atskirų objektų vaizdo stebėjimo sistemų įrengimą</w:t>
            </w:r>
          </w:p>
        </w:tc>
        <w:tc>
          <w:tcPr>
            <w:tcW w:w="4472" w:type="dxa"/>
            <w:tcBorders>
              <w:top w:val="single" w:sz="8" w:space="0" w:color="DDDDDD"/>
              <w:left w:val="nil"/>
              <w:bottom w:val="single" w:sz="8" w:space="0" w:color="DDDDDD"/>
              <w:right w:val="single" w:sz="8" w:space="0" w:color="DDDDDD"/>
            </w:tcBorders>
            <w:tcMar>
              <w:top w:w="30" w:type="dxa"/>
              <w:left w:w="30" w:type="dxa"/>
              <w:bottom w:w="20" w:type="dxa"/>
              <w:right w:w="30" w:type="dxa"/>
            </w:tcMar>
          </w:tcPr>
          <w:p w14:paraId="7FB6BFFD" w14:textId="77777777" w:rsidR="00C90B43" w:rsidRPr="00C90B43" w:rsidRDefault="00C90B43" w:rsidP="00C90B43">
            <w:pPr>
              <w:spacing w:after="120" w:line="240" w:lineRule="auto"/>
              <w:ind w:left="106" w:right="117"/>
              <w:jc w:val="both"/>
              <w:rPr>
                <w:rFonts w:ascii="Times New Roman" w:eastAsia="Calibri" w:hAnsi="Times New Roman" w:cs="Times New Roman"/>
                <w:bCs/>
                <w:i/>
                <w:iCs/>
                <w:color w:val="262626"/>
              </w:rPr>
            </w:pPr>
            <w:r w:rsidRPr="00C90B43">
              <w:rPr>
                <w:rFonts w:ascii="Times New Roman" w:eastAsia="Calibri" w:hAnsi="Times New Roman" w:cs="Times New Roman"/>
                <w:bCs/>
                <w:i/>
                <w:iCs/>
                <w:color w:val="262626"/>
              </w:rPr>
              <w:t>Perkančioji organizacija nesutinka keisti atsiskaitymo tvarkos, kadangi prekių tiekimo laikotarpis yra trumpas ir perkančioji organizacija nenumato vykdyti tarpinių mokėjimų.</w:t>
            </w:r>
          </w:p>
        </w:tc>
      </w:tr>
    </w:tbl>
    <w:p w14:paraId="6CB7E37E" w14:textId="068DF0C4" w:rsidR="00DC3A2D" w:rsidRDefault="00DC3A2D" w:rsidP="003A72EE">
      <w:pPr>
        <w:tabs>
          <w:tab w:val="left" w:pos="5360"/>
        </w:tabs>
        <w:spacing w:line="240" w:lineRule="auto"/>
        <w:jc w:val="both"/>
        <w:rPr>
          <w:rFonts w:ascii="Times New Roman" w:hAnsi="Times New Roman" w:cs="Times New Roman"/>
          <w:sz w:val="24"/>
          <w:szCs w:val="24"/>
        </w:rPr>
      </w:pPr>
    </w:p>
    <w:p w14:paraId="746573D1" w14:textId="0B9876C0" w:rsidR="00694F49" w:rsidRPr="00BC18BF" w:rsidRDefault="00694F49" w:rsidP="00694F49">
      <w:pPr>
        <w:spacing w:line="240" w:lineRule="auto"/>
        <w:jc w:val="center"/>
        <w:rPr>
          <w:rFonts w:ascii="Times New Roman" w:hAnsi="Times New Roman" w:cs="Times New Roman"/>
          <w:sz w:val="24"/>
          <w:szCs w:val="24"/>
        </w:rPr>
      </w:pPr>
      <w:r>
        <w:rPr>
          <w:rFonts w:ascii="Times New Roman" w:hAnsi="Times New Roman" w:cs="Times New Roman"/>
          <w:sz w:val="24"/>
          <w:szCs w:val="24"/>
        </w:rPr>
        <w:t>______________</w:t>
      </w:r>
    </w:p>
    <w:sectPr w:rsidR="00694F49" w:rsidRPr="00BC18B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009"/>
    <w:rsid w:val="000321B5"/>
    <w:rsid w:val="001C3558"/>
    <w:rsid w:val="002B6EBA"/>
    <w:rsid w:val="002F1378"/>
    <w:rsid w:val="0030244F"/>
    <w:rsid w:val="003A72EE"/>
    <w:rsid w:val="004A4B70"/>
    <w:rsid w:val="004B43A7"/>
    <w:rsid w:val="00582BA4"/>
    <w:rsid w:val="005D1A35"/>
    <w:rsid w:val="00694F49"/>
    <w:rsid w:val="00737586"/>
    <w:rsid w:val="00914009"/>
    <w:rsid w:val="009A79E5"/>
    <w:rsid w:val="009F47DB"/>
    <w:rsid w:val="00BC18BF"/>
    <w:rsid w:val="00C71674"/>
    <w:rsid w:val="00C90B43"/>
    <w:rsid w:val="00DA7BCB"/>
    <w:rsid w:val="00DC3A2D"/>
    <w:rsid w:val="00E73DBC"/>
    <w:rsid w:val="00EF668B"/>
    <w:rsid w:val="00F308D3"/>
    <w:rsid w:val="00F66898"/>
    <w:rsid w:val="00F77B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30A07"/>
  <w15:chartTrackingRefBased/>
  <w15:docId w15:val="{491572DC-17FB-4919-94BB-75B520F19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ragraph">
    <w:name w:val="paragraph"/>
    <w:basedOn w:val="prastasis"/>
    <w:rsid w:val="00F66898"/>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F66898"/>
  </w:style>
  <w:style w:type="character" w:customStyle="1" w:styleId="eop">
    <w:name w:val="eop"/>
    <w:basedOn w:val="Numatytasispastraiposriftas"/>
    <w:rsid w:val="00F66898"/>
  </w:style>
  <w:style w:type="character" w:customStyle="1" w:styleId="contentcontrolboundarysink">
    <w:name w:val="contentcontrolboundarysink"/>
    <w:basedOn w:val="Numatytasispastraiposriftas"/>
    <w:rsid w:val="00F66898"/>
  </w:style>
  <w:style w:type="paragraph" w:styleId="Betarp">
    <w:name w:val="No Spacing"/>
    <w:uiPriority w:val="99"/>
    <w:qFormat/>
    <w:rsid w:val="00737586"/>
    <w:pPr>
      <w:spacing w:after="0" w:line="240" w:lineRule="auto"/>
    </w:pPr>
    <w:rPr>
      <w:rFonts w:ascii="Times New Roman" w:eastAsia="Calibri" w:hAnsi="Times New Roman" w:cs="Times New Roman"/>
      <w:sz w:val="24"/>
    </w:rPr>
  </w:style>
  <w:style w:type="character" w:styleId="Hipersaitas">
    <w:name w:val="Hyperlink"/>
    <w:basedOn w:val="Numatytasispastraiposriftas"/>
    <w:uiPriority w:val="99"/>
    <w:unhideWhenUsed/>
    <w:rsid w:val="00DC3A2D"/>
    <w:rPr>
      <w:color w:val="0563C1" w:themeColor="hyperlink"/>
      <w:u w:val="single"/>
    </w:rPr>
  </w:style>
  <w:style w:type="character" w:styleId="Komentaronuoroda">
    <w:name w:val="annotation reference"/>
    <w:basedOn w:val="Numatytasispastraiposriftas"/>
    <w:uiPriority w:val="99"/>
    <w:semiHidden/>
    <w:unhideWhenUsed/>
    <w:rsid w:val="000321B5"/>
    <w:rPr>
      <w:sz w:val="16"/>
      <w:szCs w:val="16"/>
    </w:rPr>
  </w:style>
  <w:style w:type="paragraph" w:styleId="Komentarotekstas">
    <w:name w:val="annotation text"/>
    <w:basedOn w:val="prastasis"/>
    <w:link w:val="KomentarotekstasDiagrama"/>
    <w:uiPriority w:val="99"/>
    <w:unhideWhenUsed/>
    <w:rsid w:val="000321B5"/>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0321B5"/>
    <w:rPr>
      <w:sz w:val="20"/>
      <w:szCs w:val="20"/>
    </w:rPr>
  </w:style>
  <w:style w:type="paragraph" w:styleId="Komentarotema">
    <w:name w:val="annotation subject"/>
    <w:basedOn w:val="Komentarotekstas"/>
    <w:next w:val="Komentarotekstas"/>
    <w:link w:val="KomentarotemaDiagrama"/>
    <w:uiPriority w:val="99"/>
    <w:semiHidden/>
    <w:unhideWhenUsed/>
    <w:rsid w:val="000321B5"/>
    <w:rPr>
      <w:b/>
      <w:bCs/>
    </w:rPr>
  </w:style>
  <w:style w:type="character" w:customStyle="1" w:styleId="KomentarotemaDiagrama">
    <w:name w:val="Komentaro tema Diagrama"/>
    <w:basedOn w:val="KomentarotekstasDiagrama"/>
    <w:link w:val="Komentarotema"/>
    <w:uiPriority w:val="99"/>
    <w:semiHidden/>
    <w:rsid w:val="000321B5"/>
    <w:rPr>
      <w:b/>
      <w:bCs/>
      <w:sz w:val="20"/>
      <w:szCs w:val="20"/>
    </w:rPr>
  </w:style>
  <w:style w:type="table" w:customStyle="1" w:styleId="Lentelstinklelis2">
    <w:name w:val="Lentelės tinklelis2"/>
    <w:basedOn w:val="prastojilentel"/>
    <w:next w:val="Lentelstinklelis"/>
    <w:uiPriority w:val="99"/>
    <w:rsid w:val="003A72EE"/>
    <w:pPr>
      <w:spacing w:after="0" w:line="240" w:lineRule="auto"/>
    </w:pPr>
    <w:rPr>
      <w:rFonts w:ascii="Calibri" w:eastAsia="Times New Roman" w:hAnsi="Calibri"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3A72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355000">
      <w:bodyDiv w:val="1"/>
      <w:marLeft w:val="0"/>
      <w:marRight w:val="0"/>
      <w:marTop w:val="0"/>
      <w:marBottom w:val="0"/>
      <w:divBdr>
        <w:top w:val="none" w:sz="0" w:space="0" w:color="auto"/>
        <w:left w:val="none" w:sz="0" w:space="0" w:color="auto"/>
        <w:bottom w:val="none" w:sz="0" w:space="0" w:color="auto"/>
        <w:right w:val="none" w:sz="0" w:space="0" w:color="auto"/>
      </w:divBdr>
      <w:divsChild>
        <w:div w:id="1824203705">
          <w:marLeft w:val="0"/>
          <w:marRight w:val="0"/>
          <w:marTop w:val="0"/>
          <w:marBottom w:val="0"/>
          <w:divBdr>
            <w:top w:val="none" w:sz="0" w:space="0" w:color="auto"/>
            <w:left w:val="none" w:sz="0" w:space="0" w:color="auto"/>
            <w:bottom w:val="none" w:sz="0" w:space="0" w:color="auto"/>
            <w:right w:val="none" w:sz="0" w:space="0" w:color="auto"/>
          </w:divBdr>
        </w:div>
        <w:div w:id="108816586">
          <w:marLeft w:val="0"/>
          <w:marRight w:val="0"/>
          <w:marTop w:val="0"/>
          <w:marBottom w:val="0"/>
          <w:divBdr>
            <w:top w:val="none" w:sz="0" w:space="0" w:color="auto"/>
            <w:left w:val="none" w:sz="0" w:space="0" w:color="auto"/>
            <w:bottom w:val="none" w:sz="0" w:space="0" w:color="auto"/>
            <w:right w:val="none" w:sz="0" w:space="0" w:color="auto"/>
          </w:divBdr>
        </w:div>
        <w:div w:id="8701871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3233</Words>
  <Characters>1843</Characters>
  <Application>Microsoft Office Word</Application>
  <DocSecurity>0</DocSecurity>
  <Lines>15</Lines>
  <Paragraphs>10</Paragraphs>
  <ScaleCrop>false</ScaleCrop>
  <Company/>
  <LinksUpToDate>false</LinksUpToDate>
  <CharactersWithSpaces>5066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Aistė Aničaitė-Stabingienė</dc:creator>
  <cp:keywords/>
  <dc:description/>
  <cp:lastModifiedBy>Rasa Malijauskienė</cp:lastModifiedBy>
  <cp:revision>12</cp:revision>
  <dcterms:created xsi:type="dcterms:W3CDTF">2025-05-06T07:30:00Z</dcterms:created>
  <dcterms:modified xsi:type="dcterms:W3CDTF">2025-09-12T08:09:00Z</dcterms:modified>
</cp:coreProperties>
</file>