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F54" w:rsidRDefault="00AF6F54" w:rsidP="00AF6F54">
      <w:pPr>
        <w:spacing w:after="0" w:line="240" w:lineRule="auto"/>
        <w:jc w:val="center"/>
        <w:rPr>
          <w:rFonts w:ascii="Times New Roman" w:hAnsi="Times New Roman"/>
          <w:b/>
          <w:sz w:val="24"/>
          <w:szCs w:val="24"/>
        </w:rPr>
      </w:pPr>
      <w:r>
        <w:rPr>
          <w:rFonts w:ascii="Times New Roman" w:hAnsi="Times New Roman"/>
          <w:b/>
          <w:sz w:val="24"/>
          <w:szCs w:val="24"/>
        </w:rPr>
        <w:t xml:space="preserve">                                                                                       Priedas</w:t>
      </w:r>
      <w:r w:rsidR="00892486">
        <w:rPr>
          <w:rFonts w:ascii="Times New Roman" w:hAnsi="Times New Roman"/>
          <w:b/>
          <w:sz w:val="24"/>
          <w:szCs w:val="24"/>
        </w:rPr>
        <w:t xml:space="preserve"> „</w:t>
      </w:r>
      <w:r w:rsidR="00892486" w:rsidRPr="006963A8">
        <w:rPr>
          <w:rFonts w:ascii="Times New Roman" w:hAnsi="Times New Roman" w:cs="Times New Roman"/>
          <w:sz w:val="24"/>
          <w:szCs w:val="24"/>
        </w:rPr>
        <w:t>Programinės įrangos licencijų palaikymo techninė specifikacija</w:t>
      </w:r>
      <w:r w:rsidR="00892486">
        <w:rPr>
          <w:rFonts w:ascii="Times New Roman" w:hAnsi="Times New Roman" w:cs="Times New Roman"/>
          <w:sz w:val="24"/>
          <w:szCs w:val="24"/>
        </w:rPr>
        <w:t>“</w:t>
      </w:r>
      <w:bookmarkStart w:id="0" w:name="_GoBack"/>
      <w:bookmarkEnd w:id="0"/>
    </w:p>
    <w:p w:rsidR="00AF6F54" w:rsidRDefault="00AF6F54" w:rsidP="00AF6F54">
      <w:pPr>
        <w:spacing w:after="0" w:line="240" w:lineRule="auto"/>
        <w:jc w:val="center"/>
        <w:rPr>
          <w:rFonts w:ascii="Times New Roman" w:hAnsi="Times New Roman"/>
          <w:b/>
          <w:sz w:val="24"/>
          <w:szCs w:val="24"/>
        </w:rPr>
      </w:pPr>
    </w:p>
    <w:p w:rsidR="00AF6F54" w:rsidRPr="000E7B53" w:rsidRDefault="00AF6F54" w:rsidP="00AF6F54">
      <w:pPr>
        <w:spacing w:after="0" w:line="240" w:lineRule="auto"/>
        <w:jc w:val="center"/>
        <w:rPr>
          <w:rFonts w:ascii="Times New Roman" w:hAnsi="Times New Roman"/>
          <w:b/>
          <w:sz w:val="24"/>
          <w:szCs w:val="24"/>
        </w:rPr>
      </w:pPr>
      <w:r>
        <w:rPr>
          <w:rFonts w:ascii="Times New Roman" w:hAnsi="Times New Roman"/>
          <w:b/>
          <w:sz w:val="24"/>
          <w:szCs w:val="24"/>
        </w:rPr>
        <w:t xml:space="preserve">PROGRAMINĖS ĮRANGOS  LICENCIJŲ PALAIKYMO </w:t>
      </w:r>
      <w:r w:rsidRPr="000E7B53">
        <w:rPr>
          <w:rFonts w:ascii="Times New Roman" w:hAnsi="Times New Roman"/>
          <w:b/>
          <w:sz w:val="24"/>
          <w:szCs w:val="24"/>
        </w:rPr>
        <w:br/>
        <w:t>TECHNINĖ SPECIFIKACIJA</w:t>
      </w:r>
    </w:p>
    <w:p w:rsidR="00AF6F54" w:rsidRPr="000E7B53" w:rsidRDefault="00AF6F54" w:rsidP="00AF6F54">
      <w:pPr>
        <w:suppressAutoHyphens/>
        <w:autoSpaceDE w:val="0"/>
        <w:autoSpaceDN w:val="0"/>
        <w:adjustRightInd w:val="0"/>
        <w:spacing w:after="0" w:line="240" w:lineRule="auto"/>
        <w:jc w:val="center"/>
        <w:rPr>
          <w:rFonts w:ascii="Times New Roman" w:eastAsia="Times New Roman" w:hAnsi="Times New Roman"/>
          <w:sz w:val="24"/>
          <w:szCs w:val="24"/>
          <w:lang w:eastAsia="ar-SA"/>
        </w:rPr>
      </w:pPr>
    </w:p>
    <w:p w:rsidR="00AF6F54" w:rsidRPr="000E7B53" w:rsidRDefault="00AF6F54" w:rsidP="00AF6F54">
      <w:pPr>
        <w:suppressAutoHyphens/>
        <w:spacing w:after="0" w:line="240" w:lineRule="auto"/>
        <w:jc w:val="center"/>
        <w:rPr>
          <w:rFonts w:ascii="Times New Roman" w:eastAsia="Times New Roman" w:hAnsi="Times New Roman"/>
          <w:sz w:val="24"/>
          <w:szCs w:val="24"/>
          <w:lang w:eastAsia="ar-SA"/>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505"/>
      </w:tblGrid>
      <w:tr w:rsidR="00AF6F54" w:rsidRPr="000E7B53" w:rsidTr="00DA7CC8">
        <w:trPr>
          <w:trHeight w:val="315"/>
        </w:trPr>
        <w:tc>
          <w:tcPr>
            <w:tcW w:w="567" w:type="dxa"/>
            <w:hideMark/>
          </w:tcPr>
          <w:p w:rsidR="00AF6F54" w:rsidRPr="00D15E75" w:rsidRDefault="00AF6F54" w:rsidP="00DA7CC8">
            <w:pPr>
              <w:pStyle w:val="ListParagraph"/>
              <w:numPr>
                <w:ilvl w:val="0"/>
                <w:numId w:val="9"/>
              </w:numPr>
              <w:spacing w:after="0" w:line="240" w:lineRule="auto"/>
              <w:ind w:hanging="824"/>
              <w:jc w:val="both"/>
              <w:rPr>
                <w:rFonts w:ascii="Times New Roman" w:hAnsi="Times New Roman" w:cs="Times New Roman"/>
                <w:b/>
                <w:sz w:val="24"/>
                <w:szCs w:val="24"/>
              </w:rPr>
            </w:pPr>
          </w:p>
        </w:tc>
        <w:tc>
          <w:tcPr>
            <w:tcW w:w="8505" w:type="dxa"/>
          </w:tcPr>
          <w:p w:rsidR="00AF6F54" w:rsidRPr="000E7B53" w:rsidRDefault="00AF6F54" w:rsidP="00DA7CC8">
            <w:pPr>
              <w:spacing w:after="0" w:line="240" w:lineRule="auto"/>
              <w:jc w:val="both"/>
              <w:rPr>
                <w:rFonts w:ascii="Times New Roman" w:hAnsi="Times New Roman" w:cs="Times New Roman"/>
                <w:b/>
                <w:sz w:val="24"/>
                <w:szCs w:val="24"/>
              </w:rPr>
            </w:pPr>
            <w:r w:rsidRPr="000E7B53">
              <w:rPr>
                <w:rFonts w:ascii="Times New Roman" w:eastAsia="Times New Roman" w:hAnsi="Times New Roman" w:cs="Times New Roman"/>
                <w:b/>
                <w:bCs/>
                <w:sz w:val="24"/>
                <w:szCs w:val="24"/>
                <w:lang w:eastAsia="ar-SA"/>
              </w:rPr>
              <w:t>BENDRIEJI REIKALAVIMAI ĮRANGAI:</w:t>
            </w:r>
          </w:p>
        </w:tc>
      </w:tr>
      <w:tr w:rsidR="00AF6F54" w:rsidRPr="000E7B53" w:rsidTr="00DA7CC8">
        <w:trPr>
          <w:trHeight w:val="315"/>
        </w:trPr>
        <w:tc>
          <w:tcPr>
            <w:tcW w:w="567" w:type="dxa"/>
          </w:tcPr>
          <w:p w:rsidR="00AF6F54" w:rsidRPr="000E7B53" w:rsidRDefault="00AF6F54" w:rsidP="00DA7CC8">
            <w:pPr>
              <w:pStyle w:val="ListParagraph"/>
              <w:numPr>
                <w:ilvl w:val="1"/>
                <w:numId w:val="1"/>
              </w:numPr>
              <w:tabs>
                <w:tab w:val="left" w:pos="360"/>
              </w:tabs>
              <w:spacing w:after="0" w:line="240" w:lineRule="auto"/>
              <w:ind w:hanging="763"/>
              <w:rPr>
                <w:rFonts w:ascii="Times New Roman" w:hAnsi="Times New Roman" w:cs="Times New Roman"/>
                <w:sz w:val="24"/>
                <w:szCs w:val="24"/>
              </w:rPr>
            </w:pPr>
          </w:p>
        </w:tc>
        <w:tc>
          <w:tcPr>
            <w:tcW w:w="8505" w:type="dxa"/>
          </w:tcPr>
          <w:p w:rsidR="00AF6F54" w:rsidRPr="00785A28" w:rsidRDefault="00AF6F54" w:rsidP="00DA7CC8">
            <w:pPr>
              <w:spacing w:after="0" w:line="240" w:lineRule="auto"/>
              <w:jc w:val="both"/>
              <w:rPr>
                <w:rFonts w:ascii="Times New Roman" w:hAnsi="Times New Roman" w:cs="Times New Roman"/>
                <w:color w:val="FF0000"/>
                <w:sz w:val="24"/>
                <w:szCs w:val="24"/>
              </w:rPr>
            </w:pPr>
            <w:r w:rsidRPr="00785A28">
              <w:rPr>
                <w:rFonts w:ascii="Times New Roman" w:hAnsi="Times New Roman" w:cs="Times New Roman"/>
                <w:sz w:val="24"/>
                <w:szCs w:val="24"/>
              </w:rPr>
              <w:t>Tiekėjas turi užtikrinti, kad gamintojas nėra paskelbęs žinios</w:t>
            </w:r>
            <w:r w:rsidRPr="00785A28">
              <w:rPr>
                <w:rFonts w:ascii="Times New Roman" w:hAnsi="Times New Roman" w:cs="Times New Roman"/>
                <w:color w:val="CC00FF"/>
                <w:sz w:val="24"/>
                <w:szCs w:val="24"/>
              </w:rPr>
              <w:t xml:space="preserve"> </w:t>
            </w:r>
            <w:r w:rsidRPr="00785A28">
              <w:rPr>
                <w:rFonts w:ascii="Times New Roman" w:hAnsi="Times New Roman" w:cs="Times New Roman"/>
                <w:sz w:val="24"/>
                <w:szCs w:val="24"/>
              </w:rPr>
              <w:t xml:space="preserve">apie siūlomos programinės įrangos gamybos arba tobulinimo nutraukimą (pvz., angl. </w:t>
            </w:r>
            <w:proofErr w:type="spellStart"/>
            <w:r w:rsidRPr="00785A28">
              <w:rPr>
                <w:rFonts w:ascii="Times New Roman" w:hAnsi="Times New Roman" w:cs="Times New Roman"/>
                <w:i/>
                <w:sz w:val="24"/>
                <w:szCs w:val="24"/>
              </w:rPr>
              <w:t>end</w:t>
            </w:r>
            <w:proofErr w:type="spellEnd"/>
            <w:r w:rsidRPr="00785A28">
              <w:rPr>
                <w:rFonts w:ascii="Times New Roman" w:hAnsi="Times New Roman" w:cs="Times New Roman"/>
                <w:i/>
                <w:sz w:val="24"/>
                <w:szCs w:val="24"/>
              </w:rPr>
              <w:t xml:space="preserve"> </w:t>
            </w:r>
            <w:proofErr w:type="spellStart"/>
            <w:r w:rsidRPr="00785A28">
              <w:rPr>
                <w:rFonts w:ascii="Times New Roman" w:hAnsi="Times New Roman" w:cs="Times New Roman"/>
                <w:i/>
                <w:sz w:val="24"/>
                <w:szCs w:val="24"/>
              </w:rPr>
              <w:t>of</w:t>
            </w:r>
            <w:proofErr w:type="spellEnd"/>
            <w:r w:rsidRPr="00785A28">
              <w:rPr>
                <w:rFonts w:ascii="Times New Roman" w:hAnsi="Times New Roman" w:cs="Times New Roman"/>
                <w:i/>
                <w:sz w:val="24"/>
                <w:szCs w:val="24"/>
              </w:rPr>
              <w:t xml:space="preserve"> </w:t>
            </w:r>
            <w:proofErr w:type="spellStart"/>
            <w:r w:rsidRPr="00785A28">
              <w:rPr>
                <w:rFonts w:ascii="Times New Roman" w:hAnsi="Times New Roman" w:cs="Times New Roman"/>
                <w:i/>
                <w:sz w:val="24"/>
                <w:szCs w:val="24"/>
              </w:rPr>
              <w:t>life</w:t>
            </w:r>
            <w:proofErr w:type="spellEnd"/>
            <w:r w:rsidRPr="00785A28">
              <w:rPr>
                <w:rFonts w:ascii="Times New Roman" w:hAnsi="Times New Roman" w:cs="Times New Roman"/>
                <w:i/>
                <w:sz w:val="24"/>
                <w:szCs w:val="24"/>
              </w:rPr>
              <w:t xml:space="preserve"> </w:t>
            </w:r>
            <w:proofErr w:type="spellStart"/>
            <w:r w:rsidRPr="00785A28">
              <w:rPr>
                <w:rFonts w:ascii="Times New Roman" w:hAnsi="Times New Roman" w:cs="Times New Roman"/>
                <w:i/>
                <w:sz w:val="24"/>
                <w:szCs w:val="24"/>
              </w:rPr>
              <w:t>time</w:t>
            </w:r>
            <w:proofErr w:type="spellEnd"/>
            <w:r w:rsidRPr="00785A28">
              <w:rPr>
                <w:rFonts w:ascii="Times New Roman" w:hAnsi="Times New Roman" w:cs="Times New Roman"/>
                <w:sz w:val="24"/>
                <w:szCs w:val="24"/>
              </w:rPr>
              <w:t xml:space="preserve"> ar </w:t>
            </w:r>
            <w:proofErr w:type="spellStart"/>
            <w:r w:rsidRPr="00785A28">
              <w:rPr>
                <w:rFonts w:ascii="Times New Roman" w:hAnsi="Times New Roman" w:cs="Times New Roman"/>
                <w:i/>
                <w:sz w:val="24"/>
                <w:szCs w:val="24"/>
              </w:rPr>
              <w:t>Discontinued</w:t>
            </w:r>
            <w:proofErr w:type="spellEnd"/>
            <w:r w:rsidRPr="00785A28">
              <w:rPr>
                <w:rFonts w:ascii="Times New Roman" w:hAnsi="Times New Roman" w:cs="Times New Roman"/>
                <w:sz w:val="24"/>
                <w:szCs w:val="24"/>
              </w:rPr>
              <w:t>).</w:t>
            </w:r>
          </w:p>
        </w:tc>
      </w:tr>
      <w:tr w:rsidR="00AF6F54" w:rsidRPr="000E7B53" w:rsidTr="00DA7CC8">
        <w:trPr>
          <w:trHeight w:val="315"/>
        </w:trPr>
        <w:tc>
          <w:tcPr>
            <w:tcW w:w="567" w:type="dxa"/>
          </w:tcPr>
          <w:p w:rsidR="00AF6F54" w:rsidRPr="000E7B53" w:rsidRDefault="00AF6F54" w:rsidP="00DA7CC8">
            <w:pPr>
              <w:pStyle w:val="ListParagraph"/>
              <w:numPr>
                <w:ilvl w:val="1"/>
                <w:numId w:val="1"/>
              </w:numPr>
              <w:tabs>
                <w:tab w:val="left" w:pos="360"/>
              </w:tabs>
              <w:spacing w:after="0" w:line="240" w:lineRule="auto"/>
              <w:ind w:hanging="763"/>
              <w:rPr>
                <w:rFonts w:ascii="Times New Roman" w:hAnsi="Times New Roman" w:cs="Times New Roman"/>
                <w:sz w:val="24"/>
                <w:szCs w:val="24"/>
              </w:rPr>
            </w:pPr>
          </w:p>
        </w:tc>
        <w:tc>
          <w:tcPr>
            <w:tcW w:w="8505" w:type="dxa"/>
          </w:tcPr>
          <w:p w:rsidR="00AF6F54" w:rsidRPr="00785A28" w:rsidRDefault="00AF6F54" w:rsidP="00DA7CC8">
            <w:pPr>
              <w:keepNext/>
              <w:keepLines/>
              <w:tabs>
                <w:tab w:val="left" w:pos="390"/>
                <w:tab w:val="left" w:pos="1035"/>
                <w:tab w:val="left" w:pos="1500"/>
              </w:tabs>
              <w:spacing w:after="0" w:line="240" w:lineRule="auto"/>
              <w:jc w:val="both"/>
              <w:rPr>
                <w:rFonts w:ascii="Times New Roman" w:hAnsi="Times New Roman" w:cs="Times New Roman"/>
                <w:color w:val="FF0000"/>
                <w:sz w:val="24"/>
                <w:szCs w:val="24"/>
              </w:rPr>
            </w:pPr>
            <w:r w:rsidRPr="00785A28">
              <w:rPr>
                <w:rFonts w:ascii="Times New Roman" w:hAnsi="Times New Roman" w:cs="Times New Roman"/>
                <w:sz w:val="24"/>
                <w:szCs w:val="24"/>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AF6F54" w:rsidRPr="000E7B53" w:rsidTr="00DA7CC8">
        <w:trPr>
          <w:trHeight w:val="315"/>
        </w:trPr>
        <w:tc>
          <w:tcPr>
            <w:tcW w:w="567" w:type="dxa"/>
          </w:tcPr>
          <w:p w:rsidR="00AF6F54" w:rsidRPr="000E7B53" w:rsidRDefault="00AF6F54" w:rsidP="00DA7CC8">
            <w:pPr>
              <w:pStyle w:val="ListParagraph"/>
              <w:numPr>
                <w:ilvl w:val="1"/>
                <w:numId w:val="1"/>
              </w:numPr>
              <w:tabs>
                <w:tab w:val="left" w:pos="360"/>
              </w:tabs>
              <w:spacing w:after="0" w:line="240" w:lineRule="auto"/>
              <w:ind w:hanging="763"/>
              <w:rPr>
                <w:rFonts w:ascii="Times New Roman" w:hAnsi="Times New Roman" w:cs="Times New Roman"/>
                <w:sz w:val="24"/>
                <w:szCs w:val="24"/>
              </w:rPr>
            </w:pPr>
          </w:p>
        </w:tc>
        <w:tc>
          <w:tcPr>
            <w:tcW w:w="8505" w:type="dxa"/>
          </w:tcPr>
          <w:p w:rsidR="00AF6F54" w:rsidRPr="00785A28" w:rsidRDefault="00AF6F54" w:rsidP="00DA7CC8">
            <w:pPr>
              <w:spacing w:after="0" w:line="240" w:lineRule="auto"/>
              <w:jc w:val="both"/>
              <w:rPr>
                <w:rFonts w:ascii="Times New Roman" w:hAnsi="Times New Roman" w:cs="Times New Roman"/>
                <w:color w:val="FF0000"/>
                <w:sz w:val="24"/>
                <w:szCs w:val="24"/>
              </w:rPr>
            </w:pPr>
            <w:r w:rsidRPr="00785A28">
              <w:rPr>
                <w:rFonts w:ascii="Times New Roman" w:hAnsi="Times New Roman" w:cs="Times New Roman"/>
                <w:sz w:val="24"/>
                <w:szCs w:val="24"/>
              </w:rPr>
              <w:t>Pardavėjas turi pateikti nuorodą į gamintojo interneto</w:t>
            </w:r>
            <w:r w:rsidRPr="00785A28">
              <w:rPr>
                <w:rFonts w:ascii="Times New Roman" w:hAnsi="Times New Roman" w:cs="Times New Roman"/>
                <w:color w:val="CC00FF"/>
                <w:sz w:val="24"/>
                <w:szCs w:val="24"/>
              </w:rPr>
              <w:t xml:space="preserve"> </w:t>
            </w:r>
            <w:r w:rsidRPr="00785A28">
              <w:rPr>
                <w:rFonts w:ascii="Times New Roman" w:hAnsi="Times New Roman" w:cs="Times New Roman"/>
                <w:sz w:val="24"/>
                <w:szCs w:val="24"/>
              </w:rPr>
              <w:t xml:space="preserve">puslapį, kuriame yra tiksli pasiūlymą atitinkančios programinės įrangos techninė specifikacija. </w:t>
            </w:r>
          </w:p>
        </w:tc>
      </w:tr>
      <w:tr w:rsidR="00AF6F54" w:rsidRPr="000E7B53" w:rsidTr="00DA7CC8">
        <w:trPr>
          <w:trHeight w:val="315"/>
        </w:trPr>
        <w:tc>
          <w:tcPr>
            <w:tcW w:w="567" w:type="dxa"/>
          </w:tcPr>
          <w:p w:rsidR="00AF6F54" w:rsidRPr="000E7B53" w:rsidRDefault="00AF6F54" w:rsidP="00DA7CC8">
            <w:pPr>
              <w:pStyle w:val="ListParagraph"/>
              <w:numPr>
                <w:ilvl w:val="1"/>
                <w:numId w:val="1"/>
              </w:numPr>
              <w:tabs>
                <w:tab w:val="left" w:pos="360"/>
              </w:tabs>
              <w:spacing w:after="0" w:line="240" w:lineRule="auto"/>
              <w:ind w:hanging="763"/>
              <w:rPr>
                <w:rFonts w:ascii="Times New Roman" w:hAnsi="Times New Roman" w:cs="Times New Roman"/>
                <w:sz w:val="24"/>
                <w:szCs w:val="24"/>
              </w:rPr>
            </w:pPr>
          </w:p>
        </w:tc>
        <w:tc>
          <w:tcPr>
            <w:tcW w:w="8505" w:type="dxa"/>
          </w:tcPr>
          <w:p w:rsidR="00AF6F54" w:rsidRDefault="00AF6F54" w:rsidP="00DA7CC8">
            <w:pPr>
              <w:tabs>
                <w:tab w:val="left" w:pos="390"/>
                <w:tab w:val="left" w:pos="1035"/>
                <w:tab w:val="left" w:pos="1500"/>
              </w:tabs>
              <w:spacing w:after="0" w:line="240" w:lineRule="auto"/>
              <w:jc w:val="both"/>
              <w:rPr>
                <w:rFonts w:ascii="Times New Roman" w:hAnsi="Times New Roman" w:cs="Times New Roman"/>
                <w:bCs/>
                <w:sz w:val="24"/>
                <w:szCs w:val="24"/>
              </w:rPr>
            </w:pPr>
            <w:r w:rsidRPr="00785A28">
              <w:rPr>
                <w:rFonts w:ascii="Times New Roman" w:hAnsi="Times New Roman" w:cs="Times New Roman"/>
                <w:bCs/>
                <w:sz w:val="24"/>
                <w:szCs w:val="24"/>
              </w:rPr>
              <w:t xml:space="preserve">Nustačius, kad įsigytoje programinėje įrangoje yra įdiegtas įtartinas, šnipinėjantis ar kokia kita </w:t>
            </w:r>
            <w:proofErr w:type="spellStart"/>
            <w:r w:rsidRPr="00785A28">
              <w:rPr>
                <w:rFonts w:ascii="Times New Roman" w:hAnsi="Times New Roman" w:cs="Times New Roman"/>
                <w:bCs/>
                <w:sz w:val="24"/>
                <w:szCs w:val="24"/>
              </w:rPr>
              <w:t>kenkėjiška</w:t>
            </w:r>
            <w:proofErr w:type="spellEnd"/>
            <w:r w:rsidRPr="00785A28">
              <w:rPr>
                <w:rFonts w:ascii="Times New Roman" w:hAnsi="Times New Roman" w:cs="Times New Roman"/>
                <w:bCs/>
                <w:sz w:val="24"/>
                <w:szCs w:val="24"/>
              </w:rPr>
              <w:t xml:space="preserve"> veikla užsiimantis programinis kodas, tai būtų traktuojama kaip reikalavimų neatitikimas ir sutarties sąlygų nesilaikymas:</w:t>
            </w:r>
          </w:p>
          <w:p w:rsidR="00AF6F54" w:rsidRPr="00785A28" w:rsidRDefault="00AF6F54" w:rsidP="00DA7CC8">
            <w:pPr>
              <w:tabs>
                <w:tab w:val="left" w:pos="390"/>
                <w:tab w:val="left" w:pos="1035"/>
                <w:tab w:val="left" w:pos="1500"/>
              </w:tabs>
              <w:spacing w:after="0" w:line="240" w:lineRule="auto"/>
              <w:jc w:val="both"/>
              <w:rPr>
                <w:rFonts w:ascii="Times New Roman" w:hAnsi="Times New Roman" w:cs="Times New Roman"/>
                <w:bCs/>
                <w:sz w:val="24"/>
                <w:szCs w:val="24"/>
              </w:rPr>
            </w:pPr>
            <w:r w:rsidRPr="00785A28">
              <w:rPr>
                <w:rFonts w:ascii="Times New Roman" w:hAnsi="Times New Roman" w:cs="Times New Roman"/>
                <w:bCs/>
                <w:sz w:val="24"/>
                <w:szCs w:val="24"/>
              </w:rPr>
              <w:t>a) įranga gražinama tiekėjui, arba keičiama nauja adekvačia ar geresne, tačiau saugumo reikalavimus atitinkančia įranga;</w:t>
            </w:r>
          </w:p>
          <w:p w:rsidR="00AF6F54" w:rsidRPr="00785A28" w:rsidRDefault="00AF6F54" w:rsidP="00DA7CC8">
            <w:pPr>
              <w:tabs>
                <w:tab w:val="left" w:pos="757"/>
              </w:tabs>
              <w:spacing w:after="0" w:line="240" w:lineRule="auto"/>
              <w:jc w:val="both"/>
              <w:rPr>
                <w:rFonts w:ascii="Times New Roman" w:hAnsi="Times New Roman" w:cs="Times New Roman"/>
                <w:color w:val="FF0000"/>
                <w:sz w:val="24"/>
                <w:szCs w:val="24"/>
              </w:rPr>
            </w:pPr>
            <w:r w:rsidRPr="00785A28">
              <w:rPr>
                <w:rFonts w:ascii="Times New Roman" w:hAnsi="Times New Roman" w:cs="Times New Roman"/>
                <w:bCs/>
                <w:sz w:val="24"/>
                <w:szCs w:val="24"/>
              </w:rPr>
              <w:t>b) tiekėjas padengia pirkimo proceso metu pirkėjo patirtą materialinę žalą.</w:t>
            </w:r>
          </w:p>
        </w:tc>
      </w:tr>
      <w:tr w:rsidR="00AF6F54" w:rsidRPr="000E7B53" w:rsidTr="00DA7CC8">
        <w:trPr>
          <w:trHeight w:val="315"/>
        </w:trPr>
        <w:tc>
          <w:tcPr>
            <w:tcW w:w="567" w:type="dxa"/>
          </w:tcPr>
          <w:p w:rsidR="00AF6F54" w:rsidRPr="000E7B53" w:rsidRDefault="00AF6F54" w:rsidP="00DA7CC8">
            <w:pPr>
              <w:pStyle w:val="ListParagraph"/>
              <w:numPr>
                <w:ilvl w:val="1"/>
                <w:numId w:val="1"/>
              </w:numPr>
              <w:tabs>
                <w:tab w:val="left" w:pos="360"/>
              </w:tabs>
              <w:spacing w:after="0" w:line="240" w:lineRule="auto"/>
              <w:ind w:hanging="763"/>
              <w:rPr>
                <w:rFonts w:ascii="Times New Roman" w:hAnsi="Times New Roman" w:cs="Times New Roman"/>
                <w:sz w:val="24"/>
                <w:szCs w:val="24"/>
              </w:rPr>
            </w:pPr>
          </w:p>
        </w:tc>
        <w:tc>
          <w:tcPr>
            <w:tcW w:w="8505" w:type="dxa"/>
          </w:tcPr>
          <w:p w:rsidR="00AF6F54" w:rsidRPr="00785A28" w:rsidRDefault="00AF6F54" w:rsidP="00DA7CC8">
            <w:pPr>
              <w:tabs>
                <w:tab w:val="left" w:pos="757"/>
              </w:tabs>
              <w:spacing w:after="0" w:line="240" w:lineRule="auto"/>
              <w:jc w:val="both"/>
              <w:rPr>
                <w:rFonts w:ascii="Times New Roman" w:hAnsi="Times New Roman" w:cs="Times New Roman"/>
                <w:color w:val="FF0000"/>
                <w:sz w:val="24"/>
                <w:szCs w:val="24"/>
              </w:rPr>
            </w:pPr>
            <w:r w:rsidRPr="00785A28">
              <w:rPr>
                <w:rFonts w:ascii="Times New Roman" w:hAnsi="Times New Roman" w:cs="Times New Roman"/>
                <w:bCs/>
                <w:sz w:val="24"/>
                <w:szCs w:val="24"/>
              </w:rPr>
              <w:t>Pirkimo objektas - prekės (įskaitant jų sudedamąsias dalis  bei prekių ir jų dalių gamintojus),  paslaugos ar darbai  turi nekelti grėsmės nacionaliniam saugumui.</w:t>
            </w:r>
          </w:p>
        </w:tc>
      </w:tr>
    </w:tbl>
    <w:p w:rsidR="00AF6F54" w:rsidRPr="000E7B53" w:rsidRDefault="00AF6F54" w:rsidP="00AF6F54">
      <w:pPr>
        <w:pStyle w:val="ListParagraph"/>
        <w:autoSpaceDE w:val="0"/>
        <w:spacing w:after="0" w:line="240" w:lineRule="auto"/>
        <w:ind w:left="360"/>
        <w:outlineLvl w:val="0"/>
        <w:rPr>
          <w:rFonts w:ascii="Times New Roman" w:hAnsi="Times New Roman" w:cs="Times New Roman"/>
          <w:b/>
          <w:bCs/>
          <w:sz w:val="24"/>
          <w:szCs w:val="24"/>
        </w:rPr>
      </w:pPr>
    </w:p>
    <w:p w:rsidR="00AF6F54" w:rsidRPr="003A4FE3" w:rsidRDefault="00AF6F54" w:rsidP="00AF6F54">
      <w:pPr>
        <w:pStyle w:val="ListParagraph"/>
        <w:numPr>
          <w:ilvl w:val="0"/>
          <w:numId w:val="1"/>
        </w:numPr>
        <w:tabs>
          <w:tab w:val="left" w:pos="142"/>
        </w:tabs>
        <w:autoSpaceDE w:val="0"/>
        <w:spacing w:after="0" w:line="240" w:lineRule="auto"/>
        <w:ind w:left="709" w:hanging="709"/>
        <w:jc w:val="both"/>
        <w:outlineLvl w:val="0"/>
        <w:rPr>
          <w:rFonts w:ascii="Times New Roman" w:hAnsi="Times New Roman" w:cs="Times New Roman"/>
          <w:b/>
          <w:sz w:val="24"/>
          <w:szCs w:val="24"/>
        </w:rPr>
      </w:pPr>
      <w:r w:rsidRPr="00785A28">
        <w:rPr>
          <w:rFonts w:ascii="Times New Roman" w:hAnsi="Times New Roman" w:cs="Times New Roman"/>
          <w:b/>
          <w:bCs/>
          <w:sz w:val="24"/>
          <w:szCs w:val="24"/>
        </w:rPr>
        <w:t xml:space="preserve">PROGRAMINĖS ĮRANGOS LICENCIJŲ PALAIKYMAS NR. 1 </w:t>
      </w:r>
    </w:p>
    <w:p w:rsidR="00AF6F54" w:rsidRPr="000E7B53" w:rsidRDefault="00AF6F54" w:rsidP="00AF6F54">
      <w:pPr>
        <w:pStyle w:val="ListParagraph"/>
        <w:tabs>
          <w:tab w:val="left" w:pos="142"/>
        </w:tabs>
        <w:autoSpaceDE w:val="0"/>
        <w:spacing w:after="0" w:line="240" w:lineRule="auto"/>
        <w:ind w:left="709"/>
        <w:jc w:val="both"/>
        <w:outlineLvl w:val="0"/>
        <w:rPr>
          <w:rFonts w:ascii="Times New Roman" w:hAnsi="Times New Roman" w:cs="Times New Roman"/>
          <w:b/>
          <w:sz w:val="24"/>
          <w:szCs w:val="24"/>
        </w:rPr>
      </w:pPr>
      <w:r w:rsidRPr="00785A28">
        <w:rPr>
          <w:rFonts w:ascii="Times New Roman" w:hAnsi="Times New Roman" w:cs="Times New Roman"/>
          <w:b/>
          <w:bCs/>
          <w:sz w:val="24"/>
          <w:szCs w:val="24"/>
        </w:rPr>
        <w:t>(BVPŽ kodas 72261000-2)</w:t>
      </w:r>
    </w:p>
    <w:p w:rsidR="00AF6F54" w:rsidRPr="000E7B53" w:rsidRDefault="00AF6F54" w:rsidP="00AF6F54">
      <w:pPr>
        <w:pStyle w:val="ListParagraph"/>
        <w:autoSpaceDE w:val="0"/>
        <w:spacing w:after="0" w:line="240" w:lineRule="auto"/>
        <w:ind w:left="360"/>
        <w:jc w:val="both"/>
        <w:outlineLvl w:val="0"/>
        <w:rPr>
          <w:rFonts w:ascii="Times New Roman" w:hAnsi="Times New Roman" w:cs="Times New Roman"/>
          <w:b/>
          <w:sz w:val="24"/>
          <w:szCs w:val="24"/>
        </w:rPr>
      </w:pPr>
    </w:p>
    <w:tbl>
      <w:tblPr>
        <w:tblStyle w:val="Lentelstinklelis2"/>
        <w:tblW w:w="46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6"/>
        <w:gridCol w:w="2498"/>
        <w:gridCol w:w="6166"/>
      </w:tblGrid>
      <w:tr w:rsidR="00AF6F54" w:rsidRPr="00785A28" w:rsidTr="00DA7CC8">
        <w:trPr>
          <w:hidden/>
        </w:trPr>
        <w:tc>
          <w:tcPr>
            <w:tcW w:w="317" w:type="pct"/>
          </w:tcPr>
          <w:p w:rsidR="00AF6F54" w:rsidRPr="008858FA" w:rsidRDefault="00AF6F54" w:rsidP="00DA7CC8">
            <w:pPr>
              <w:spacing w:after="0" w:line="240" w:lineRule="auto"/>
              <w:ind w:hanging="25"/>
              <w:jc w:val="both"/>
              <w:rPr>
                <w:rFonts w:ascii="Times New Roman" w:hAnsi="Times New Roman"/>
                <w:bCs/>
                <w:vanish/>
                <w:sz w:val="24"/>
                <w:szCs w:val="24"/>
                <w:lang w:val="en-GB"/>
              </w:rPr>
            </w:pPr>
          </w:p>
          <w:p w:rsidR="00AF6F54" w:rsidRPr="00822F31" w:rsidRDefault="00AF6F54" w:rsidP="00DA7CC8">
            <w:pPr>
              <w:pStyle w:val="ListParagraph"/>
              <w:numPr>
                <w:ilvl w:val="1"/>
                <w:numId w:val="1"/>
              </w:numPr>
              <w:spacing w:after="0" w:line="240" w:lineRule="auto"/>
              <w:ind w:left="0" w:hanging="25"/>
              <w:jc w:val="both"/>
              <w:rPr>
                <w:rFonts w:ascii="Times New Roman" w:hAnsi="Times New Roman"/>
                <w:bCs/>
                <w:sz w:val="24"/>
                <w:szCs w:val="24"/>
                <w:lang w:val="en-GB"/>
              </w:rPr>
            </w:pPr>
          </w:p>
        </w:tc>
        <w:tc>
          <w:tcPr>
            <w:tcW w:w="1350" w:type="pct"/>
          </w:tcPr>
          <w:p w:rsidR="00AF6F54" w:rsidRPr="00785A28" w:rsidRDefault="00AF6F54" w:rsidP="00DA7CC8">
            <w:pPr>
              <w:spacing w:after="0" w:line="240" w:lineRule="auto"/>
              <w:ind w:hanging="30"/>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Programinės įrangos pavadinimas</w:t>
            </w:r>
          </w:p>
        </w:tc>
        <w:tc>
          <w:tcPr>
            <w:tcW w:w="3333" w:type="pct"/>
          </w:tcPr>
          <w:p w:rsidR="00AF6F54" w:rsidRPr="00785A28" w:rsidRDefault="00AF6F54" w:rsidP="00DA7CC8">
            <w:pPr>
              <w:spacing w:after="0" w:line="240" w:lineRule="auto"/>
              <w:ind w:right="-98"/>
              <w:jc w:val="both"/>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 xml:space="preserve">Titus </w:t>
            </w:r>
            <w:proofErr w:type="spellStart"/>
            <w:r w:rsidRPr="00785A28">
              <w:rPr>
                <w:rFonts w:ascii="Times New Roman" w:eastAsia="Times New Roman" w:hAnsi="Times New Roman"/>
                <w:sz w:val="24"/>
                <w:szCs w:val="24"/>
                <w:lang w:eastAsia="lt-LT"/>
              </w:rPr>
              <w:t>Classification</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Suite</w:t>
            </w:r>
            <w:proofErr w:type="spellEnd"/>
            <w:r w:rsidRPr="00785A28">
              <w:rPr>
                <w:rFonts w:ascii="Times New Roman" w:eastAsia="Times New Roman" w:hAnsi="Times New Roman"/>
                <w:sz w:val="24"/>
                <w:szCs w:val="24"/>
                <w:lang w:eastAsia="lt-LT"/>
              </w:rPr>
              <w:t xml:space="preserve"> – </w:t>
            </w:r>
            <w:proofErr w:type="spellStart"/>
            <w:r w:rsidRPr="00785A28">
              <w:rPr>
                <w:rFonts w:ascii="Times New Roman" w:eastAsia="Times New Roman" w:hAnsi="Times New Roman"/>
                <w:sz w:val="24"/>
                <w:szCs w:val="24"/>
                <w:lang w:eastAsia="lt-LT"/>
              </w:rPr>
              <w:t>Military</w:t>
            </w:r>
            <w:proofErr w:type="spellEnd"/>
            <w:r w:rsidRPr="00785A28">
              <w:rPr>
                <w:rFonts w:ascii="Times New Roman" w:eastAsia="Times New Roman" w:hAnsi="Times New Roman"/>
                <w:sz w:val="24"/>
                <w:szCs w:val="24"/>
                <w:lang w:eastAsia="lt-LT"/>
              </w:rPr>
              <w:t>.</w:t>
            </w:r>
          </w:p>
        </w:tc>
      </w:tr>
      <w:tr w:rsidR="00AF6F54" w:rsidRPr="00785A28" w:rsidTr="00DA7CC8">
        <w:tc>
          <w:tcPr>
            <w:tcW w:w="317" w:type="pct"/>
          </w:tcPr>
          <w:p w:rsidR="00AF6F54" w:rsidRPr="00822F31" w:rsidRDefault="00AF6F54" w:rsidP="00DA7CC8">
            <w:pPr>
              <w:pStyle w:val="ListParagraph"/>
              <w:numPr>
                <w:ilvl w:val="1"/>
                <w:numId w:val="1"/>
              </w:numPr>
              <w:spacing w:after="0" w:line="240" w:lineRule="auto"/>
              <w:ind w:left="0" w:hanging="25"/>
              <w:jc w:val="both"/>
              <w:rPr>
                <w:rFonts w:ascii="Times New Roman" w:hAnsi="Times New Roman"/>
                <w:bCs/>
                <w:sz w:val="24"/>
                <w:szCs w:val="24"/>
                <w:lang w:val="en-GB"/>
              </w:rPr>
            </w:pPr>
          </w:p>
        </w:tc>
        <w:tc>
          <w:tcPr>
            <w:tcW w:w="1350" w:type="pct"/>
          </w:tcPr>
          <w:p w:rsidR="00AF6F54" w:rsidRPr="00785A28" w:rsidRDefault="00AF6F54" w:rsidP="00DA7CC8">
            <w:pPr>
              <w:spacing w:after="0" w:line="240" w:lineRule="auto"/>
              <w:ind w:hanging="30"/>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Reikalavimai programinės įrangos gamintojui</w:t>
            </w:r>
          </w:p>
        </w:tc>
        <w:tc>
          <w:tcPr>
            <w:tcW w:w="3333" w:type="pct"/>
          </w:tcPr>
          <w:p w:rsidR="00AF6F54" w:rsidRPr="00785A28" w:rsidRDefault="00AF6F54" w:rsidP="00DA7CC8">
            <w:pPr>
              <w:spacing w:after="0" w:line="240" w:lineRule="auto"/>
              <w:ind w:right="-98"/>
              <w:jc w:val="both"/>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Duomenų apsaugos programinės įrangos gamintojas turi būti įtrauktas į „</w:t>
            </w:r>
            <w:proofErr w:type="spellStart"/>
            <w:r w:rsidRPr="00785A28">
              <w:rPr>
                <w:rFonts w:ascii="Times New Roman" w:eastAsia="Times New Roman" w:hAnsi="Times New Roman"/>
                <w:sz w:val="24"/>
                <w:szCs w:val="24"/>
                <w:lang w:eastAsia="lt-LT"/>
              </w:rPr>
              <w:t>Nato</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Information</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Assurance</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Product</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Catalog</w:t>
            </w:r>
            <w:proofErr w:type="spellEnd"/>
            <w:r w:rsidRPr="00785A28">
              <w:rPr>
                <w:rFonts w:ascii="Times New Roman" w:eastAsia="Times New Roman" w:hAnsi="Times New Roman"/>
                <w:sz w:val="24"/>
                <w:szCs w:val="24"/>
                <w:lang w:eastAsia="lt-LT"/>
              </w:rPr>
              <w:t>“.</w:t>
            </w:r>
          </w:p>
        </w:tc>
      </w:tr>
      <w:tr w:rsidR="00AF6F54" w:rsidRPr="00785A28" w:rsidTr="00DA7CC8">
        <w:tc>
          <w:tcPr>
            <w:tcW w:w="317" w:type="pct"/>
          </w:tcPr>
          <w:p w:rsidR="00AF6F54" w:rsidRPr="00822F31" w:rsidRDefault="00AF6F54" w:rsidP="00DA7CC8">
            <w:pPr>
              <w:pStyle w:val="ListParagraph"/>
              <w:numPr>
                <w:ilvl w:val="1"/>
                <w:numId w:val="1"/>
              </w:numPr>
              <w:spacing w:after="0" w:line="240" w:lineRule="auto"/>
              <w:ind w:left="0" w:hanging="25"/>
              <w:jc w:val="both"/>
              <w:rPr>
                <w:rFonts w:ascii="Times New Roman" w:hAnsi="Times New Roman"/>
                <w:bCs/>
                <w:sz w:val="24"/>
                <w:szCs w:val="24"/>
                <w:lang w:val="en-GB"/>
              </w:rPr>
            </w:pPr>
          </w:p>
        </w:tc>
        <w:tc>
          <w:tcPr>
            <w:tcW w:w="1350" w:type="pct"/>
          </w:tcPr>
          <w:p w:rsidR="00AF6F54" w:rsidRPr="00785A28" w:rsidRDefault="00AF6F54" w:rsidP="00DA7CC8">
            <w:pPr>
              <w:spacing w:after="0" w:line="240" w:lineRule="auto"/>
              <w:ind w:hanging="30"/>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Garantijos ir licencijos</w:t>
            </w:r>
          </w:p>
        </w:tc>
        <w:tc>
          <w:tcPr>
            <w:tcW w:w="3333" w:type="pct"/>
          </w:tcPr>
          <w:p w:rsidR="00AF6F54" w:rsidRPr="00785A28" w:rsidRDefault="00AF6F54" w:rsidP="00DA7CC8">
            <w:pPr>
              <w:spacing w:after="0" w:line="240" w:lineRule="auto"/>
              <w:ind w:right="-98" w:hanging="30"/>
              <w:jc w:val="both"/>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Įsigyjamas programinės įrangos palaikymo paslaugos, kurios turi apimti:</w:t>
            </w:r>
          </w:p>
          <w:p w:rsidR="00AF6F54" w:rsidRPr="00785A28" w:rsidRDefault="00AF6F54" w:rsidP="00DA7CC8">
            <w:pPr>
              <w:numPr>
                <w:ilvl w:val="1"/>
                <w:numId w:val="2"/>
              </w:numPr>
              <w:spacing w:after="0" w:line="240" w:lineRule="auto"/>
              <w:ind w:right="-98"/>
              <w:jc w:val="both"/>
              <w:rPr>
                <w:rFonts w:ascii="Times New Roman" w:hAnsi="Times New Roman"/>
                <w:sz w:val="24"/>
                <w:szCs w:val="24"/>
                <w:lang w:val="en-GB"/>
              </w:rPr>
            </w:pPr>
            <w:proofErr w:type="spellStart"/>
            <w:r>
              <w:rPr>
                <w:rFonts w:ascii="Times New Roman" w:hAnsi="Times New Roman"/>
                <w:sz w:val="24"/>
                <w:szCs w:val="24"/>
                <w:lang w:val="en-GB"/>
              </w:rPr>
              <w:t>T</w:t>
            </w:r>
            <w:r w:rsidRPr="00785A28">
              <w:rPr>
                <w:rFonts w:ascii="Times New Roman" w:hAnsi="Times New Roman"/>
                <w:sz w:val="24"/>
                <w:szCs w:val="24"/>
                <w:lang w:val="en-GB"/>
              </w:rPr>
              <w:t>eisę</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toliau</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naudotis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šiuo</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metu</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Perkančiosios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organizacijos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naudojama</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programine</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įranga</w:t>
            </w:r>
            <w:proofErr w:type="spellEnd"/>
            <w:r w:rsidRPr="00785A28">
              <w:rPr>
                <w:rFonts w:ascii="Times New Roman" w:hAnsi="Times New Roman"/>
                <w:sz w:val="24"/>
                <w:szCs w:val="24"/>
                <w:lang w:val="en-GB"/>
              </w:rPr>
              <w:t xml:space="preserve"> Titus Classification Suite – Military ne </w:t>
            </w:r>
            <w:proofErr w:type="spellStart"/>
            <w:r w:rsidRPr="00785A28">
              <w:rPr>
                <w:rFonts w:ascii="Times New Roman" w:hAnsi="Times New Roman"/>
                <w:sz w:val="24"/>
                <w:szCs w:val="24"/>
                <w:lang w:val="en-GB"/>
              </w:rPr>
              <w:t>mažiau</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kaip</w:t>
            </w:r>
            <w:proofErr w:type="spellEnd"/>
            <w:r w:rsidRPr="00785A28">
              <w:rPr>
                <w:rFonts w:ascii="Times New Roman" w:hAnsi="Times New Roman"/>
                <w:sz w:val="24"/>
                <w:szCs w:val="24"/>
                <w:lang w:val="en-GB"/>
              </w:rPr>
              <w:t xml:space="preserve"> 500 </w:t>
            </w:r>
            <w:proofErr w:type="spellStart"/>
            <w:r w:rsidRPr="00785A28">
              <w:rPr>
                <w:rFonts w:ascii="Times New Roman" w:hAnsi="Times New Roman"/>
                <w:sz w:val="24"/>
                <w:szCs w:val="24"/>
                <w:lang w:val="en-GB"/>
              </w:rPr>
              <w:t>naudotojų</w:t>
            </w:r>
            <w:proofErr w:type="spellEnd"/>
            <w:r w:rsidRPr="00785A28">
              <w:rPr>
                <w:rFonts w:ascii="Times New Roman" w:hAnsi="Times New Roman"/>
                <w:sz w:val="24"/>
                <w:szCs w:val="24"/>
                <w:lang w:val="en-GB"/>
              </w:rPr>
              <w:t>;</w:t>
            </w:r>
          </w:p>
          <w:p w:rsidR="00AF6F54" w:rsidRDefault="00AF6F54" w:rsidP="00DA7CC8">
            <w:pPr>
              <w:numPr>
                <w:ilvl w:val="1"/>
                <w:numId w:val="2"/>
              </w:numPr>
              <w:spacing w:after="0" w:line="240" w:lineRule="auto"/>
              <w:ind w:right="-98"/>
              <w:jc w:val="both"/>
              <w:rPr>
                <w:rFonts w:ascii="Times New Roman" w:hAnsi="Times New Roman"/>
                <w:sz w:val="24"/>
                <w:szCs w:val="24"/>
                <w:lang w:val="en-GB"/>
              </w:rPr>
            </w:pPr>
            <w:proofErr w:type="spellStart"/>
            <w:r w:rsidRPr="00785A28">
              <w:rPr>
                <w:rFonts w:ascii="Times New Roman" w:hAnsi="Times New Roman"/>
                <w:sz w:val="24"/>
                <w:szCs w:val="24"/>
                <w:lang w:val="en-GB"/>
              </w:rPr>
              <w:t>teisę</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gauti</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programinės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įrangos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naujas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versijas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atnaujinimus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pataisymus</w:t>
            </w:r>
            <w:proofErr w:type="spellEnd"/>
            <w:r w:rsidRPr="00785A28">
              <w:rPr>
                <w:rFonts w:ascii="Times New Roman" w:hAnsi="Times New Roman"/>
                <w:sz w:val="24"/>
                <w:szCs w:val="24"/>
                <w:lang w:val="en-GB"/>
              </w:rPr>
              <w:t>;</w:t>
            </w:r>
          </w:p>
          <w:p w:rsidR="00AF6F54" w:rsidRPr="00785A28" w:rsidRDefault="00AF6F54" w:rsidP="00DA7CC8">
            <w:pPr>
              <w:numPr>
                <w:ilvl w:val="1"/>
                <w:numId w:val="2"/>
              </w:numPr>
              <w:spacing w:after="0" w:line="240" w:lineRule="auto"/>
              <w:ind w:right="-98"/>
              <w:jc w:val="both"/>
              <w:rPr>
                <w:rFonts w:ascii="Times New Roman" w:hAnsi="Times New Roman"/>
                <w:sz w:val="24"/>
                <w:szCs w:val="24"/>
                <w:lang w:val="en-GB"/>
              </w:rPr>
            </w:pPr>
            <w:proofErr w:type="spellStart"/>
            <w:proofErr w:type="gramStart"/>
            <w:r w:rsidRPr="00785A28">
              <w:rPr>
                <w:rFonts w:ascii="Times New Roman" w:hAnsi="Times New Roman"/>
                <w:sz w:val="24"/>
                <w:szCs w:val="24"/>
                <w:lang w:val="en-GB"/>
              </w:rPr>
              <w:t>teisę</w:t>
            </w:r>
            <w:proofErr w:type="spellEnd"/>
            <w:proofErr w:type="gram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registruoti</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pastebėtas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programinės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įrangos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klaidas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gedimus</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ir</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apie</w:t>
            </w:r>
            <w:proofErr w:type="spellEnd"/>
            <w:r w:rsidRPr="00785A28">
              <w:rPr>
                <w:rFonts w:ascii="Times New Roman" w:hAnsi="Times New Roman"/>
                <w:sz w:val="24"/>
                <w:szCs w:val="24"/>
                <w:lang w:val="en-GB"/>
              </w:rPr>
              <w:t xml:space="preserve"> tai </w:t>
            </w:r>
            <w:proofErr w:type="spellStart"/>
            <w:r w:rsidRPr="00785A28">
              <w:rPr>
                <w:rFonts w:ascii="Times New Roman" w:hAnsi="Times New Roman"/>
                <w:sz w:val="24"/>
                <w:szCs w:val="24"/>
                <w:lang w:val="en-GB"/>
              </w:rPr>
              <w:t>pranešti</w:t>
            </w:r>
            <w:proofErr w:type="spellEnd"/>
            <w:r w:rsidRPr="00785A28">
              <w:rPr>
                <w:rFonts w:ascii="Times New Roman" w:hAnsi="Times New Roman"/>
                <w:sz w:val="24"/>
                <w:szCs w:val="24"/>
                <w:lang w:val="en-GB"/>
              </w:rPr>
              <w:t xml:space="preserve"> el. </w:t>
            </w:r>
            <w:proofErr w:type="spellStart"/>
            <w:r w:rsidRPr="00785A28">
              <w:rPr>
                <w:rFonts w:ascii="Times New Roman" w:hAnsi="Times New Roman"/>
                <w:sz w:val="24"/>
                <w:szCs w:val="24"/>
                <w:lang w:val="en-GB"/>
              </w:rPr>
              <w:t>paštu</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arba</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kreipinį</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registruoti</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gamintojo</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palaikymo</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interneto</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svetainėje</w:t>
            </w:r>
            <w:proofErr w:type="spellEnd"/>
            <w:r>
              <w:rPr>
                <w:rFonts w:ascii="Times New Roman" w:hAnsi="Times New Roman"/>
                <w:sz w:val="24"/>
                <w:szCs w:val="24"/>
                <w:lang w:val="en-GB"/>
              </w:rPr>
              <w:t>.</w:t>
            </w:r>
          </w:p>
        </w:tc>
      </w:tr>
      <w:tr w:rsidR="00AF6F54" w:rsidRPr="00785A28" w:rsidTr="00DA7CC8">
        <w:tc>
          <w:tcPr>
            <w:tcW w:w="317" w:type="pct"/>
          </w:tcPr>
          <w:p w:rsidR="00AF6F54" w:rsidRPr="00822F31" w:rsidRDefault="00AF6F54" w:rsidP="00DA7CC8">
            <w:pPr>
              <w:pStyle w:val="ListParagraph"/>
              <w:numPr>
                <w:ilvl w:val="1"/>
                <w:numId w:val="1"/>
              </w:numPr>
              <w:spacing w:after="0" w:line="240" w:lineRule="auto"/>
              <w:ind w:left="0" w:hanging="25"/>
              <w:jc w:val="both"/>
              <w:rPr>
                <w:rFonts w:ascii="Times New Roman" w:hAnsi="Times New Roman"/>
                <w:bCs/>
                <w:sz w:val="24"/>
                <w:szCs w:val="24"/>
                <w:lang w:val="en-GB"/>
              </w:rPr>
            </w:pPr>
          </w:p>
        </w:tc>
        <w:tc>
          <w:tcPr>
            <w:tcW w:w="1350" w:type="pct"/>
          </w:tcPr>
          <w:p w:rsidR="00AF6F54" w:rsidRPr="00785A28" w:rsidRDefault="00AF6F54" w:rsidP="00DA7CC8">
            <w:pPr>
              <w:spacing w:after="0" w:line="240" w:lineRule="auto"/>
              <w:ind w:hanging="30"/>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Sistemos architektūra</w:t>
            </w:r>
          </w:p>
        </w:tc>
        <w:tc>
          <w:tcPr>
            <w:tcW w:w="3333" w:type="pct"/>
          </w:tcPr>
          <w:p w:rsidR="00AF6F54" w:rsidRPr="00785A28" w:rsidRDefault="00AF6F54" w:rsidP="00DA7CC8">
            <w:pPr>
              <w:spacing w:after="0" w:line="240" w:lineRule="auto"/>
              <w:ind w:hanging="30"/>
              <w:jc w:val="both"/>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 xml:space="preserve">Sistema turi turėti šiuos modulius: </w:t>
            </w:r>
          </w:p>
          <w:p w:rsidR="00AF6F54" w:rsidRDefault="00AF6F54" w:rsidP="00DA7CC8">
            <w:pPr>
              <w:numPr>
                <w:ilvl w:val="1"/>
                <w:numId w:val="3"/>
              </w:numPr>
              <w:spacing w:after="0" w:line="240" w:lineRule="auto"/>
              <w:jc w:val="both"/>
              <w:rPr>
                <w:rFonts w:ascii="Times New Roman" w:hAnsi="Times New Roman"/>
                <w:sz w:val="24"/>
                <w:szCs w:val="24"/>
                <w:lang w:val="en-GB"/>
              </w:rPr>
            </w:pPr>
            <w:proofErr w:type="spellStart"/>
            <w:r w:rsidRPr="00785A28">
              <w:rPr>
                <w:rFonts w:ascii="Times New Roman" w:hAnsi="Times New Roman"/>
                <w:sz w:val="24"/>
                <w:szCs w:val="24"/>
                <w:lang w:val="en-GB"/>
              </w:rPr>
              <w:t>valdymo</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modulį</w:t>
            </w:r>
            <w:proofErr w:type="spellEnd"/>
            <w:r w:rsidRPr="00785A28">
              <w:rPr>
                <w:rFonts w:ascii="Times New Roman" w:hAnsi="Times New Roman"/>
                <w:sz w:val="24"/>
                <w:szCs w:val="24"/>
                <w:lang w:val="en-GB"/>
              </w:rPr>
              <w:t>;</w:t>
            </w:r>
          </w:p>
          <w:p w:rsidR="00AF6F54" w:rsidRPr="00785A28" w:rsidRDefault="00AF6F54" w:rsidP="00DA7CC8">
            <w:pPr>
              <w:numPr>
                <w:ilvl w:val="1"/>
                <w:numId w:val="3"/>
              </w:numPr>
              <w:spacing w:after="0" w:line="240" w:lineRule="auto"/>
              <w:jc w:val="both"/>
              <w:rPr>
                <w:rFonts w:ascii="Times New Roman" w:hAnsi="Times New Roman"/>
                <w:sz w:val="24"/>
                <w:szCs w:val="24"/>
                <w:lang w:val="en-GB"/>
              </w:rPr>
            </w:pPr>
            <w:proofErr w:type="spellStart"/>
            <w:proofErr w:type="gramStart"/>
            <w:r w:rsidRPr="00785A28">
              <w:rPr>
                <w:rFonts w:ascii="Times New Roman" w:hAnsi="Times New Roman"/>
                <w:sz w:val="24"/>
                <w:szCs w:val="24"/>
                <w:lang w:val="en-GB"/>
              </w:rPr>
              <w:t>klasifikavimo</w:t>
            </w:r>
            <w:proofErr w:type="spellEnd"/>
            <w:proofErr w:type="gram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kompiuterinėse</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darbo</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vietose</w:t>
            </w:r>
            <w:proofErr w:type="spellEnd"/>
            <w:r w:rsidRPr="00785A28">
              <w:rPr>
                <w:rFonts w:ascii="Times New Roman" w:hAnsi="Times New Roman"/>
                <w:sz w:val="24"/>
                <w:szCs w:val="24"/>
                <w:lang w:val="en-GB"/>
              </w:rPr>
              <w:t xml:space="preserve"> </w:t>
            </w:r>
            <w:proofErr w:type="spellStart"/>
            <w:r w:rsidRPr="00785A28">
              <w:rPr>
                <w:rFonts w:ascii="Times New Roman" w:hAnsi="Times New Roman"/>
                <w:sz w:val="24"/>
                <w:szCs w:val="24"/>
                <w:lang w:val="en-GB"/>
              </w:rPr>
              <w:t>modulį</w:t>
            </w:r>
            <w:proofErr w:type="spellEnd"/>
            <w:r>
              <w:rPr>
                <w:rFonts w:ascii="Times New Roman" w:hAnsi="Times New Roman"/>
                <w:sz w:val="24"/>
                <w:szCs w:val="24"/>
                <w:lang w:val="en-GB"/>
              </w:rPr>
              <w:t>.</w:t>
            </w:r>
          </w:p>
        </w:tc>
      </w:tr>
      <w:tr w:rsidR="00AF6F54" w:rsidRPr="00785A28" w:rsidTr="00DA7CC8">
        <w:tc>
          <w:tcPr>
            <w:tcW w:w="317" w:type="pct"/>
          </w:tcPr>
          <w:p w:rsidR="00AF6F54" w:rsidRPr="00822F31" w:rsidRDefault="00AF6F54" w:rsidP="00DA7CC8">
            <w:pPr>
              <w:pStyle w:val="ListParagraph"/>
              <w:numPr>
                <w:ilvl w:val="1"/>
                <w:numId w:val="1"/>
              </w:numPr>
              <w:spacing w:after="0" w:line="240" w:lineRule="auto"/>
              <w:ind w:left="0" w:hanging="25"/>
              <w:jc w:val="both"/>
              <w:rPr>
                <w:rFonts w:ascii="Times New Roman" w:hAnsi="Times New Roman"/>
                <w:bCs/>
                <w:sz w:val="24"/>
                <w:szCs w:val="24"/>
                <w:lang w:val="en-GB"/>
              </w:rPr>
            </w:pPr>
          </w:p>
        </w:tc>
        <w:tc>
          <w:tcPr>
            <w:tcW w:w="1350" w:type="pct"/>
          </w:tcPr>
          <w:p w:rsidR="00AF6F54" w:rsidRPr="00785A28" w:rsidRDefault="00AF6F54" w:rsidP="00DA7CC8">
            <w:pPr>
              <w:spacing w:after="0" w:line="240" w:lineRule="auto"/>
              <w:ind w:hanging="30"/>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Funkciniai reikalavimai  sistemai</w:t>
            </w:r>
          </w:p>
        </w:tc>
        <w:tc>
          <w:tcPr>
            <w:tcW w:w="3333" w:type="pct"/>
          </w:tcPr>
          <w:p w:rsidR="00AF6F54" w:rsidRPr="00785A28" w:rsidRDefault="00AF6F54" w:rsidP="00DA7CC8">
            <w:pPr>
              <w:spacing w:after="0" w:line="240" w:lineRule="auto"/>
              <w:ind w:hanging="30"/>
              <w:jc w:val="both"/>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Turi leisti pridėti klasifikacijas  MS Office dokumentams.</w:t>
            </w:r>
          </w:p>
          <w:p w:rsidR="00AF6F54" w:rsidRPr="00785A28" w:rsidRDefault="00AF6F54" w:rsidP="00DA7CC8">
            <w:pPr>
              <w:spacing w:after="0" w:line="240" w:lineRule="auto"/>
              <w:ind w:hanging="30"/>
              <w:jc w:val="both"/>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Turi leisti pridėti klasifikacijas siunčiamiems el. laiškams.</w:t>
            </w:r>
          </w:p>
          <w:p w:rsidR="00AF6F54" w:rsidRPr="00785A28" w:rsidRDefault="00AF6F54" w:rsidP="00DA7CC8">
            <w:pPr>
              <w:spacing w:after="0" w:line="240" w:lineRule="auto"/>
              <w:ind w:hanging="30"/>
              <w:jc w:val="both"/>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Turi neleisti išsaugoti naujai sukurtos Microsoft Office bylos nepriskyrus bylai klasifikacijos</w:t>
            </w:r>
            <w:r>
              <w:rPr>
                <w:rFonts w:ascii="Times New Roman" w:eastAsia="Times New Roman" w:hAnsi="Times New Roman"/>
                <w:sz w:val="24"/>
                <w:szCs w:val="24"/>
                <w:lang w:eastAsia="lt-LT"/>
              </w:rPr>
              <w:t>.</w:t>
            </w:r>
          </w:p>
          <w:p w:rsidR="00AF6F54" w:rsidRPr="00785A28" w:rsidRDefault="00AF6F54" w:rsidP="00DA7CC8">
            <w:pPr>
              <w:spacing w:after="0" w:line="240" w:lineRule="auto"/>
              <w:jc w:val="both"/>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 xml:space="preserve">Sprendimo klasifikacijos žyma turi atitikti NATO CML  (angl. </w:t>
            </w:r>
            <w:proofErr w:type="spellStart"/>
            <w:r w:rsidRPr="00785A28">
              <w:rPr>
                <w:rFonts w:ascii="Times New Roman" w:eastAsia="Times New Roman" w:hAnsi="Times New Roman"/>
                <w:sz w:val="24"/>
                <w:szCs w:val="24"/>
                <w:lang w:eastAsia="lt-LT"/>
              </w:rPr>
              <w:t>Confidentiality</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Metadata</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Label</w:t>
            </w:r>
            <w:proofErr w:type="spellEnd"/>
            <w:r w:rsidRPr="00785A28">
              <w:rPr>
                <w:rFonts w:ascii="Times New Roman" w:eastAsia="Times New Roman" w:hAnsi="Times New Roman"/>
                <w:sz w:val="24"/>
                <w:szCs w:val="24"/>
                <w:lang w:eastAsia="lt-LT"/>
              </w:rPr>
              <w:t>) (NATO STANAG 4774) žymėjimo standartą.</w:t>
            </w:r>
          </w:p>
        </w:tc>
      </w:tr>
      <w:tr w:rsidR="00AF6F54" w:rsidRPr="00785A28" w:rsidTr="00DA7CC8">
        <w:tc>
          <w:tcPr>
            <w:tcW w:w="317" w:type="pct"/>
          </w:tcPr>
          <w:p w:rsidR="00AF6F54" w:rsidRPr="00822F31" w:rsidRDefault="00AF6F54" w:rsidP="00DA7CC8">
            <w:pPr>
              <w:pStyle w:val="ListParagraph"/>
              <w:numPr>
                <w:ilvl w:val="1"/>
                <w:numId w:val="1"/>
              </w:numPr>
              <w:spacing w:after="0" w:line="240" w:lineRule="auto"/>
              <w:ind w:left="0" w:hanging="25"/>
              <w:jc w:val="both"/>
              <w:rPr>
                <w:rFonts w:ascii="Times New Roman" w:hAnsi="Times New Roman"/>
                <w:bCs/>
                <w:sz w:val="24"/>
                <w:szCs w:val="24"/>
                <w:lang w:val="en-GB"/>
              </w:rPr>
            </w:pPr>
          </w:p>
        </w:tc>
        <w:tc>
          <w:tcPr>
            <w:tcW w:w="1350" w:type="pct"/>
          </w:tcPr>
          <w:p w:rsidR="00AF6F54" w:rsidRPr="00785A28" w:rsidRDefault="00AF6F54" w:rsidP="00DA7CC8">
            <w:pPr>
              <w:spacing w:after="0" w:line="240" w:lineRule="auto"/>
              <w:ind w:hanging="30"/>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Integracija su antivirusinės/duomenų nutekėjimo prevencijos programinės įrangos sprendimu</w:t>
            </w:r>
          </w:p>
        </w:tc>
        <w:tc>
          <w:tcPr>
            <w:tcW w:w="3333" w:type="pct"/>
          </w:tcPr>
          <w:p w:rsidR="00AF6F54" w:rsidRPr="00785A28" w:rsidRDefault="00AF6F54" w:rsidP="00DA7CC8">
            <w:pPr>
              <w:spacing w:after="0" w:line="240" w:lineRule="auto"/>
              <w:ind w:hanging="30"/>
              <w:jc w:val="both"/>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 xml:space="preserve">Turi integruotis su šiuo metu Perkančiosios organizacijos naudojama antivirusinės/duomenų nutekėjimo prevencijos programinės įranga </w:t>
            </w:r>
            <w:proofErr w:type="spellStart"/>
            <w:r w:rsidRPr="00785A28">
              <w:rPr>
                <w:rFonts w:ascii="Times New Roman" w:eastAsia="Times New Roman" w:hAnsi="Times New Roman"/>
                <w:sz w:val="24"/>
                <w:szCs w:val="24"/>
                <w:lang w:eastAsia="lt-LT"/>
              </w:rPr>
              <w:t>Trellix</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Protect</w:t>
            </w:r>
            <w:proofErr w:type="spellEnd"/>
            <w:r w:rsidRPr="00785A28">
              <w:rPr>
                <w:rFonts w:ascii="Times New Roman" w:eastAsia="Times New Roman" w:hAnsi="Times New Roman"/>
                <w:sz w:val="24"/>
                <w:szCs w:val="24"/>
                <w:lang w:eastAsia="lt-LT"/>
              </w:rPr>
              <w:t xml:space="preserve"> Standard, </w:t>
            </w:r>
            <w:proofErr w:type="spellStart"/>
            <w:r w:rsidRPr="00785A28">
              <w:rPr>
                <w:rFonts w:ascii="Times New Roman" w:eastAsia="Times New Roman" w:hAnsi="Times New Roman"/>
                <w:sz w:val="24"/>
                <w:szCs w:val="24"/>
                <w:lang w:eastAsia="lt-LT"/>
              </w:rPr>
              <w:t>Trellix</w:t>
            </w:r>
            <w:proofErr w:type="spellEnd"/>
            <w:r w:rsidRPr="00785A28">
              <w:rPr>
                <w:rFonts w:ascii="Times New Roman" w:eastAsia="Times New Roman" w:hAnsi="Times New Roman"/>
                <w:sz w:val="24"/>
                <w:szCs w:val="24"/>
                <w:lang w:eastAsia="lt-LT"/>
              </w:rPr>
              <w:t xml:space="preserve"> Data </w:t>
            </w:r>
            <w:proofErr w:type="spellStart"/>
            <w:r w:rsidRPr="00785A28">
              <w:rPr>
                <w:rFonts w:ascii="Times New Roman" w:eastAsia="Times New Roman" w:hAnsi="Times New Roman"/>
                <w:sz w:val="24"/>
                <w:szCs w:val="24"/>
                <w:lang w:eastAsia="lt-LT"/>
              </w:rPr>
              <w:t>Loss</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Prevention</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Endpoint</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ProtectPLUS</w:t>
            </w:r>
            <w:proofErr w:type="spellEnd"/>
            <w:r w:rsidRPr="00785A28">
              <w:rPr>
                <w:rFonts w:ascii="Times New Roman" w:eastAsia="Times New Roman" w:hAnsi="Times New Roman"/>
                <w:sz w:val="24"/>
                <w:szCs w:val="24"/>
                <w:lang w:eastAsia="lt-LT"/>
              </w:rPr>
              <w:t>, apsaugant dokumentus\bylas su atitinkamomis žymomis</w:t>
            </w:r>
            <w:r>
              <w:rPr>
                <w:rFonts w:ascii="Times New Roman" w:eastAsia="Times New Roman" w:hAnsi="Times New Roman"/>
                <w:sz w:val="24"/>
                <w:szCs w:val="24"/>
                <w:lang w:eastAsia="lt-LT"/>
              </w:rPr>
              <w:t>.</w:t>
            </w:r>
          </w:p>
          <w:p w:rsidR="00AF6F54" w:rsidRPr="00785A28" w:rsidRDefault="00AF6F54" w:rsidP="00DA7CC8">
            <w:pPr>
              <w:spacing w:after="0" w:line="240" w:lineRule="auto"/>
              <w:jc w:val="both"/>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 xml:space="preserve">Sprendimo agentus turi būti galima įdiegti naudojant šiuo metu Perkančiosios organizacijos naudojama antivirusinės/duomenų nutekėjimo prevencijos programinę įrangą </w:t>
            </w:r>
            <w:proofErr w:type="spellStart"/>
            <w:r w:rsidRPr="00785A28">
              <w:rPr>
                <w:rFonts w:ascii="Times New Roman" w:eastAsia="Times New Roman" w:hAnsi="Times New Roman"/>
                <w:sz w:val="24"/>
                <w:szCs w:val="24"/>
                <w:lang w:eastAsia="lt-LT"/>
              </w:rPr>
              <w:t>Trellix</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Protect</w:t>
            </w:r>
            <w:proofErr w:type="spellEnd"/>
            <w:r w:rsidRPr="00785A28">
              <w:rPr>
                <w:rFonts w:ascii="Times New Roman" w:eastAsia="Times New Roman" w:hAnsi="Times New Roman"/>
                <w:sz w:val="24"/>
                <w:szCs w:val="24"/>
                <w:lang w:eastAsia="lt-LT"/>
              </w:rPr>
              <w:t xml:space="preserve"> Standard, </w:t>
            </w:r>
            <w:proofErr w:type="spellStart"/>
            <w:r w:rsidRPr="00785A28">
              <w:rPr>
                <w:rFonts w:ascii="Times New Roman" w:eastAsia="Times New Roman" w:hAnsi="Times New Roman"/>
                <w:sz w:val="24"/>
                <w:szCs w:val="24"/>
                <w:lang w:eastAsia="lt-LT"/>
              </w:rPr>
              <w:t>Trellix</w:t>
            </w:r>
            <w:proofErr w:type="spellEnd"/>
            <w:r w:rsidRPr="00785A28">
              <w:rPr>
                <w:rFonts w:ascii="Times New Roman" w:eastAsia="Times New Roman" w:hAnsi="Times New Roman"/>
                <w:sz w:val="24"/>
                <w:szCs w:val="24"/>
                <w:lang w:eastAsia="lt-LT"/>
              </w:rPr>
              <w:t xml:space="preserve"> Data </w:t>
            </w:r>
            <w:proofErr w:type="spellStart"/>
            <w:r w:rsidRPr="00785A28">
              <w:rPr>
                <w:rFonts w:ascii="Times New Roman" w:eastAsia="Times New Roman" w:hAnsi="Times New Roman"/>
                <w:sz w:val="24"/>
                <w:szCs w:val="24"/>
                <w:lang w:eastAsia="lt-LT"/>
              </w:rPr>
              <w:t>Loss</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Prevention</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Endpoint</w:t>
            </w:r>
            <w:proofErr w:type="spellEnd"/>
            <w:r w:rsidRPr="00785A28">
              <w:rPr>
                <w:rFonts w:ascii="Times New Roman" w:eastAsia="Times New Roman" w:hAnsi="Times New Roman"/>
                <w:sz w:val="24"/>
                <w:szCs w:val="24"/>
                <w:lang w:eastAsia="lt-LT"/>
              </w:rPr>
              <w:t xml:space="preserve"> </w:t>
            </w:r>
            <w:proofErr w:type="spellStart"/>
            <w:r w:rsidRPr="00785A28">
              <w:rPr>
                <w:rFonts w:ascii="Times New Roman" w:eastAsia="Times New Roman" w:hAnsi="Times New Roman"/>
                <w:sz w:val="24"/>
                <w:szCs w:val="24"/>
                <w:lang w:eastAsia="lt-LT"/>
              </w:rPr>
              <w:t>ProtectPLUS</w:t>
            </w:r>
            <w:proofErr w:type="spellEnd"/>
            <w:r w:rsidRPr="00785A28">
              <w:rPr>
                <w:rFonts w:ascii="Times New Roman" w:eastAsia="Times New Roman" w:hAnsi="Times New Roman"/>
                <w:sz w:val="24"/>
                <w:szCs w:val="24"/>
                <w:lang w:eastAsia="lt-LT"/>
              </w:rPr>
              <w:t>.</w:t>
            </w:r>
          </w:p>
        </w:tc>
      </w:tr>
      <w:tr w:rsidR="00AF6F54" w:rsidRPr="00785A28" w:rsidTr="00DA7CC8">
        <w:tc>
          <w:tcPr>
            <w:tcW w:w="317" w:type="pct"/>
          </w:tcPr>
          <w:p w:rsidR="00AF6F54" w:rsidRPr="00822F31" w:rsidRDefault="00AF6F54" w:rsidP="00DA7CC8">
            <w:pPr>
              <w:pStyle w:val="ListParagraph"/>
              <w:numPr>
                <w:ilvl w:val="1"/>
                <w:numId w:val="1"/>
              </w:numPr>
              <w:spacing w:after="0" w:line="240" w:lineRule="auto"/>
              <w:ind w:left="0" w:hanging="25"/>
              <w:jc w:val="both"/>
              <w:rPr>
                <w:rFonts w:ascii="Times New Roman" w:hAnsi="Times New Roman"/>
                <w:bCs/>
                <w:sz w:val="24"/>
                <w:szCs w:val="24"/>
                <w:lang w:val="en-GB"/>
              </w:rPr>
            </w:pPr>
          </w:p>
        </w:tc>
        <w:tc>
          <w:tcPr>
            <w:tcW w:w="1350" w:type="pct"/>
          </w:tcPr>
          <w:p w:rsidR="00AF6F54" w:rsidRPr="00785A28" w:rsidRDefault="00AF6F54" w:rsidP="00DA7CC8">
            <w:pPr>
              <w:spacing w:after="0" w:line="240" w:lineRule="auto"/>
              <w:ind w:hanging="30"/>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Terminas</w:t>
            </w:r>
          </w:p>
        </w:tc>
        <w:tc>
          <w:tcPr>
            <w:tcW w:w="3333" w:type="pct"/>
            <w:shd w:val="clear" w:color="auto" w:fill="auto"/>
          </w:tcPr>
          <w:p w:rsidR="00AF6F54" w:rsidRPr="00785A28" w:rsidRDefault="00AF6F54" w:rsidP="00DA7CC8">
            <w:pPr>
              <w:spacing w:after="0" w:line="240" w:lineRule="auto"/>
              <w:jc w:val="both"/>
              <w:rPr>
                <w:rFonts w:ascii="Times New Roman" w:eastAsia="Times New Roman" w:hAnsi="Times New Roman"/>
                <w:sz w:val="24"/>
                <w:szCs w:val="24"/>
                <w:lang w:eastAsia="lt-LT"/>
              </w:rPr>
            </w:pPr>
            <w:r w:rsidRPr="00785A28">
              <w:rPr>
                <w:rFonts w:ascii="Times New Roman" w:eastAsia="Times New Roman" w:hAnsi="Times New Roman"/>
                <w:sz w:val="24"/>
                <w:szCs w:val="24"/>
                <w:lang w:eastAsia="lt-LT"/>
              </w:rPr>
              <w:t xml:space="preserve">Paslaugos susideda iš licencijos pratęsimo (aktyvavimo) ir palaikymo </w:t>
            </w:r>
            <w:proofErr w:type="spellStart"/>
            <w:r>
              <w:rPr>
                <w:rFonts w:ascii="Times New Roman" w:eastAsia="Times New Roman" w:hAnsi="Times New Roman"/>
                <w:sz w:val="24"/>
                <w:szCs w:val="24"/>
                <w:lang w:val="en-US" w:eastAsia="lt-LT"/>
              </w:rPr>
              <w:t>iki</w:t>
            </w:r>
            <w:proofErr w:type="spellEnd"/>
            <w:r>
              <w:rPr>
                <w:rFonts w:ascii="Times New Roman" w:eastAsia="Times New Roman" w:hAnsi="Times New Roman"/>
                <w:sz w:val="24"/>
                <w:szCs w:val="24"/>
                <w:lang w:val="en-US" w:eastAsia="lt-LT"/>
              </w:rPr>
              <w:t xml:space="preserve"> 2026</w:t>
            </w:r>
            <w:r w:rsidRPr="00785A28">
              <w:rPr>
                <w:rFonts w:ascii="Times New Roman" w:eastAsia="Times New Roman" w:hAnsi="Times New Roman"/>
                <w:sz w:val="24"/>
                <w:szCs w:val="24"/>
                <w:lang w:val="en-US" w:eastAsia="lt-LT"/>
              </w:rPr>
              <w:t>-09-23.</w:t>
            </w:r>
          </w:p>
        </w:tc>
      </w:tr>
    </w:tbl>
    <w:p w:rsidR="00AF6F54" w:rsidRDefault="00AF6F54" w:rsidP="00AF6F54">
      <w:pPr>
        <w:spacing w:after="0"/>
        <w:jc w:val="center"/>
        <w:rPr>
          <w:rFonts w:ascii="Times New Roman" w:hAnsi="Times New Roman" w:cs="Times New Roman"/>
          <w:b/>
          <w:sz w:val="24"/>
          <w:szCs w:val="24"/>
        </w:rPr>
      </w:pPr>
    </w:p>
    <w:p w:rsidR="00AF6F54" w:rsidRDefault="00AF6F54" w:rsidP="00AF6F54">
      <w:pPr>
        <w:pStyle w:val="ListParagraph"/>
        <w:numPr>
          <w:ilvl w:val="0"/>
          <w:numId w:val="1"/>
        </w:numPr>
        <w:tabs>
          <w:tab w:val="left" w:pos="0"/>
          <w:tab w:val="left" w:pos="709"/>
        </w:tabs>
        <w:spacing w:after="0"/>
        <w:ind w:left="851" w:hanging="851"/>
        <w:rPr>
          <w:rFonts w:ascii="Times New Roman" w:hAnsi="Times New Roman" w:cs="Times New Roman"/>
          <w:b/>
          <w:sz w:val="24"/>
          <w:szCs w:val="24"/>
        </w:rPr>
      </w:pPr>
      <w:r w:rsidRPr="00785A28">
        <w:rPr>
          <w:rFonts w:ascii="Times New Roman" w:hAnsi="Times New Roman" w:cs="Times New Roman"/>
          <w:b/>
          <w:sz w:val="24"/>
          <w:szCs w:val="24"/>
        </w:rPr>
        <w:t xml:space="preserve">PROGRAMINĖS ĮRANGOS LICENCIJŲ PALAIKYMAS NR. 2 </w:t>
      </w:r>
    </w:p>
    <w:p w:rsidR="00AF6F54" w:rsidRPr="003A4FE3" w:rsidRDefault="00AF6F54" w:rsidP="00AF6F54">
      <w:pPr>
        <w:tabs>
          <w:tab w:val="left" w:pos="0"/>
          <w:tab w:val="left" w:pos="709"/>
        </w:tabs>
        <w:spacing w:after="0"/>
        <w:rPr>
          <w:rFonts w:ascii="Times New Roman" w:hAnsi="Times New Roman" w:cs="Times New Roman"/>
          <w:b/>
          <w:sz w:val="24"/>
          <w:szCs w:val="24"/>
        </w:rPr>
      </w:pPr>
      <w:r>
        <w:rPr>
          <w:rFonts w:ascii="Times New Roman" w:hAnsi="Times New Roman" w:cs="Times New Roman"/>
          <w:b/>
          <w:sz w:val="24"/>
          <w:szCs w:val="24"/>
        </w:rPr>
        <w:tab/>
      </w:r>
      <w:r w:rsidRPr="003A4FE3">
        <w:rPr>
          <w:rFonts w:ascii="Times New Roman" w:hAnsi="Times New Roman" w:cs="Times New Roman"/>
          <w:b/>
          <w:sz w:val="24"/>
          <w:szCs w:val="24"/>
        </w:rPr>
        <w:t>(BVPŽ KODAS 72261000-2)</w:t>
      </w:r>
    </w:p>
    <w:tbl>
      <w:tblPr>
        <w:tblStyle w:val="Lentelstinklelis2"/>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4"/>
        <w:gridCol w:w="3350"/>
        <w:gridCol w:w="5886"/>
      </w:tblGrid>
      <w:tr w:rsidR="00AF6F54" w:rsidRPr="004C209E" w:rsidTr="00DA7CC8">
        <w:trPr>
          <w:trHeight w:val="579"/>
        </w:trPr>
        <w:tc>
          <w:tcPr>
            <w:tcW w:w="368" w:type="pct"/>
          </w:tcPr>
          <w:p w:rsidR="00AF6F54" w:rsidRPr="00385123" w:rsidRDefault="00AF6F54" w:rsidP="00DA7CC8">
            <w:pPr>
              <w:pStyle w:val="ListParagraph"/>
              <w:numPr>
                <w:ilvl w:val="1"/>
                <w:numId w:val="1"/>
              </w:numPr>
              <w:tabs>
                <w:tab w:val="left" w:pos="0"/>
              </w:tabs>
              <w:spacing w:after="0" w:line="240" w:lineRule="auto"/>
              <w:ind w:hanging="792"/>
              <w:jc w:val="both"/>
              <w:rPr>
                <w:rFonts w:ascii="Times New Roman" w:hAnsi="Times New Roman"/>
                <w:bCs/>
                <w:sz w:val="24"/>
                <w:szCs w:val="24"/>
              </w:rPr>
            </w:pPr>
          </w:p>
        </w:tc>
        <w:tc>
          <w:tcPr>
            <w:tcW w:w="1680" w:type="pct"/>
          </w:tcPr>
          <w:p w:rsidR="00AF6F54" w:rsidRPr="008858FA" w:rsidRDefault="00AF6F54" w:rsidP="00DA7CC8">
            <w:pPr>
              <w:spacing w:after="0" w:line="240" w:lineRule="auto"/>
              <w:ind w:left="-109"/>
              <w:rPr>
                <w:rFonts w:ascii="Times New Roman" w:hAnsi="Times New Roman"/>
                <w:sz w:val="24"/>
                <w:szCs w:val="24"/>
              </w:rPr>
            </w:pPr>
            <w:r w:rsidRPr="008858FA">
              <w:rPr>
                <w:rFonts w:ascii="Times New Roman" w:hAnsi="Times New Roman"/>
                <w:sz w:val="24"/>
                <w:szCs w:val="24"/>
              </w:rPr>
              <w:t>Programinės įrangos pavadinimas</w:t>
            </w:r>
          </w:p>
        </w:tc>
        <w:tc>
          <w:tcPr>
            <w:tcW w:w="2952" w:type="pct"/>
          </w:tcPr>
          <w:p w:rsidR="00AF6F54" w:rsidRPr="008858FA" w:rsidRDefault="00AF6F54" w:rsidP="00DA7CC8">
            <w:pPr>
              <w:spacing w:after="0" w:line="240" w:lineRule="auto"/>
              <w:jc w:val="both"/>
              <w:rPr>
                <w:rFonts w:ascii="Times New Roman" w:hAnsi="Times New Roman"/>
                <w:sz w:val="24"/>
                <w:szCs w:val="24"/>
              </w:rPr>
            </w:pPr>
            <w:proofErr w:type="spellStart"/>
            <w:r w:rsidRPr="008858FA">
              <w:rPr>
                <w:rFonts w:ascii="Times New Roman" w:hAnsi="Times New Roman"/>
                <w:sz w:val="24"/>
                <w:szCs w:val="24"/>
              </w:rPr>
              <w:t>Trellix</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Protect</w:t>
            </w:r>
            <w:proofErr w:type="spellEnd"/>
            <w:r w:rsidRPr="008858FA">
              <w:rPr>
                <w:rFonts w:ascii="Times New Roman" w:hAnsi="Times New Roman"/>
                <w:sz w:val="24"/>
                <w:szCs w:val="24"/>
              </w:rPr>
              <w:t xml:space="preserve"> Standard, </w:t>
            </w:r>
            <w:proofErr w:type="spellStart"/>
            <w:r w:rsidRPr="008858FA">
              <w:rPr>
                <w:rFonts w:ascii="Times New Roman" w:hAnsi="Times New Roman"/>
                <w:sz w:val="24"/>
                <w:szCs w:val="24"/>
              </w:rPr>
              <w:t>Trellix</w:t>
            </w:r>
            <w:proofErr w:type="spellEnd"/>
            <w:r w:rsidRPr="008858FA">
              <w:rPr>
                <w:rFonts w:ascii="Times New Roman" w:hAnsi="Times New Roman"/>
                <w:sz w:val="24"/>
                <w:szCs w:val="24"/>
              </w:rPr>
              <w:t xml:space="preserve"> Data </w:t>
            </w:r>
            <w:proofErr w:type="spellStart"/>
            <w:r w:rsidRPr="008858FA">
              <w:rPr>
                <w:rFonts w:ascii="Times New Roman" w:hAnsi="Times New Roman"/>
                <w:sz w:val="24"/>
                <w:szCs w:val="24"/>
              </w:rPr>
              <w:t>Loss</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Prevention</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Endpoint</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ProtectPLUS</w:t>
            </w:r>
            <w:proofErr w:type="spellEnd"/>
            <w:r w:rsidRPr="008858FA">
              <w:rPr>
                <w:rFonts w:ascii="Times New Roman" w:hAnsi="Times New Roman"/>
                <w:sz w:val="24"/>
                <w:szCs w:val="24"/>
              </w:rPr>
              <w:t>.</w:t>
            </w:r>
          </w:p>
        </w:tc>
      </w:tr>
      <w:tr w:rsidR="00AF6F54" w:rsidRPr="004C209E" w:rsidTr="00DA7CC8">
        <w:tc>
          <w:tcPr>
            <w:tcW w:w="368" w:type="pct"/>
          </w:tcPr>
          <w:p w:rsidR="00AF6F54" w:rsidRPr="00385123" w:rsidRDefault="00AF6F54" w:rsidP="00DA7CC8">
            <w:pPr>
              <w:pStyle w:val="ListParagraph"/>
              <w:numPr>
                <w:ilvl w:val="1"/>
                <w:numId w:val="1"/>
              </w:numPr>
              <w:spacing w:after="0" w:line="240" w:lineRule="auto"/>
              <w:ind w:hanging="792"/>
              <w:jc w:val="both"/>
              <w:rPr>
                <w:rFonts w:ascii="Times New Roman" w:hAnsi="Times New Roman"/>
                <w:bCs/>
                <w:sz w:val="24"/>
                <w:szCs w:val="24"/>
              </w:rPr>
            </w:pPr>
          </w:p>
        </w:tc>
        <w:tc>
          <w:tcPr>
            <w:tcW w:w="1680" w:type="pct"/>
          </w:tcPr>
          <w:p w:rsidR="00AF6F54" w:rsidRPr="008858FA" w:rsidRDefault="00AF6F54" w:rsidP="00DA7CC8">
            <w:pPr>
              <w:spacing w:line="240" w:lineRule="auto"/>
              <w:ind w:left="-109"/>
              <w:rPr>
                <w:rFonts w:ascii="Times New Roman" w:hAnsi="Times New Roman"/>
                <w:sz w:val="24"/>
                <w:szCs w:val="24"/>
              </w:rPr>
            </w:pPr>
            <w:r w:rsidRPr="008858FA">
              <w:rPr>
                <w:rFonts w:ascii="Times New Roman" w:hAnsi="Times New Roman"/>
                <w:sz w:val="24"/>
                <w:szCs w:val="24"/>
              </w:rPr>
              <w:t>Reikalavimai programinės įrangos gamintojui</w:t>
            </w:r>
          </w:p>
        </w:tc>
        <w:tc>
          <w:tcPr>
            <w:tcW w:w="2952" w:type="pct"/>
          </w:tcPr>
          <w:p w:rsidR="00AF6F54" w:rsidRPr="008858FA" w:rsidRDefault="00AF6F54" w:rsidP="00DA7CC8">
            <w:pPr>
              <w:spacing w:after="0" w:line="240" w:lineRule="auto"/>
              <w:jc w:val="both"/>
              <w:rPr>
                <w:rFonts w:ascii="Times New Roman" w:hAnsi="Times New Roman"/>
                <w:sz w:val="24"/>
                <w:szCs w:val="24"/>
              </w:rPr>
            </w:pPr>
            <w:r w:rsidRPr="008858FA">
              <w:rPr>
                <w:rFonts w:ascii="Times New Roman" w:hAnsi="Times New Roman"/>
                <w:sz w:val="24"/>
                <w:szCs w:val="24"/>
              </w:rPr>
              <w:t>Antivirusinės programinės įrangos gamintojas turi būti įtrauktas į „</w:t>
            </w:r>
            <w:proofErr w:type="spellStart"/>
            <w:r w:rsidRPr="008858FA">
              <w:rPr>
                <w:rFonts w:ascii="Times New Roman" w:hAnsi="Times New Roman"/>
                <w:sz w:val="24"/>
                <w:szCs w:val="24"/>
              </w:rPr>
              <w:t>Nato</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Information</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Assurance</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Product</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Catalog</w:t>
            </w:r>
            <w:proofErr w:type="spellEnd"/>
            <w:r w:rsidRPr="008858FA">
              <w:rPr>
                <w:rFonts w:ascii="Times New Roman" w:hAnsi="Times New Roman"/>
                <w:sz w:val="24"/>
                <w:szCs w:val="24"/>
              </w:rPr>
              <w:t>“.</w:t>
            </w:r>
          </w:p>
        </w:tc>
      </w:tr>
      <w:tr w:rsidR="00AF6F54" w:rsidRPr="004C209E" w:rsidTr="00DA7CC8">
        <w:tc>
          <w:tcPr>
            <w:tcW w:w="368" w:type="pct"/>
          </w:tcPr>
          <w:p w:rsidR="00AF6F54" w:rsidRPr="00385123" w:rsidRDefault="00AF6F54" w:rsidP="00DA7CC8">
            <w:pPr>
              <w:pStyle w:val="ListParagraph"/>
              <w:numPr>
                <w:ilvl w:val="1"/>
                <w:numId w:val="1"/>
              </w:numPr>
              <w:spacing w:after="0" w:line="240" w:lineRule="auto"/>
              <w:ind w:hanging="792"/>
              <w:jc w:val="both"/>
              <w:rPr>
                <w:rFonts w:ascii="Times New Roman" w:hAnsi="Times New Roman"/>
                <w:bCs/>
                <w:sz w:val="24"/>
                <w:szCs w:val="24"/>
              </w:rPr>
            </w:pPr>
          </w:p>
        </w:tc>
        <w:tc>
          <w:tcPr>
            <w:tcW w:w="1680" w:type="pct"/>
          </w:tcPr>
          <w:p w:rsidR="00AF6F54" w:rsidRPr="008858FA" w:rsidRDefault="00AF6F54" w:rsidP="00DA7CC8">
            <w:pPr>
              <w:spacing w:line="240" w:lineRule="auto"/>
              <w:ind w:left="-109"/>
              <w:rPr>
                <w:rFonts w:ascii="Times New Roman" w:hAnsi="Times New Roman"/>
                <w:sz w:val="24"/>
                <w:szCs w:val="24"/>
              </w:rPr>
            </w:pPr>
            <w:r w:rsidRPr="008858FA">
              <w:rPr>
                <w:rFonts w:ascii="Times New Roman" w:hAnsi="Times New Roman"/>
                <w:sz w:val="24"/>
                <w:szCs w:val="24"/>
              </w:rPr>
              <w:t>Garantijos ir licencijos</w:t>
            </w:r>
          </w:p>
        </w:tc>
        <w:tc>
          <w:tcPr>
            <w:tcW w:w="2952" w:type="pct"/>
          </w:tcPr>
          <w:p w:rsidR="00AF6F54" w:rsidRPr="008858FA" w:rsidRDefault="00AF6F54" w:rsidP="00DA7CC8">
            <w:pPr>
              <w:spacing w:after="0" w:line="240" w:lineRule="auto"/>
              <w:ind w:hanging="30"/>
              <w:jc w:val="both"/>
              <w:rPr>
                <w:rFonts w:ascii="Times New Roman" w:hAnsi="Times New Roman"/>
                <w:sz w:val="24"/>
                <w:szCs w:val="24"/>
              </w:rPr>
            </w:pPr>
            <w:r w:rsidRPr="008858FA">
              <w:rPr>
                <w:rFonts w:ascii="Times New Roman" w:hAnsi="Times New Roman"/>
                <w:sz w:val="24"/>
                <w:szCs w:val="24"/>
              </w:rPr>
              <w:t>Įsigyjamas programinės įrangos palaikymo paslaugos, kurios turi apimti:</w:t>
            </w:r>
          </w:p>
          <w:p w:rsidR="00AF6F54" w:rsidRPr="008858FA" w:rsidRDefault="00AF6F54" w:rsidP="00DA7CC8">
            <w:pPr>
              <w:pStyle w:val="ListParagraph"/>
              <w:numPr>
                <w:ilvl w:val="1"/>
                <w:numId w:val="2"/>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 xml:space="preserve">Teisę toliau naudotis šiuo metu Perkančiosios organizacijos naudojama programine įranga </w:t>
            </w:r>
            <w:proofErr w:type="spellStart"/>
            <w:r w:rsidRPr="008858FA">
              <w:rPr>
                <w:rFonts w:ascii="Times New Roman" w:hAnsi="Times New Roman"/>
                <w:sz w:val="24"/>
                <w:szCs w:val="24"/>
              </w:rPr>
              <w:t>Trellix</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Protect</w:t>
            </w:r>
            <w:proofErr w:type="spellEnd"/>
            <w:r w:rsidRPr="008858FA">
              <w:rPr>
                <w:rFonts w:ascii="Times New Roman" w:hAnsi="Times New Roman"/>
                <w:sz w:val="24"/>
                <w:szCs w:val="24"/>
              </w:rPr>
              <w:t xml:space="preserve"> Standard ne mažiau kaip 1117 naudotojų;</w:t>
            </w:r>
          </w:p>
          <w:p w:rsidR="00AF6F54" w:rsidRPr="008858FA" w:rsidRDefault="00AF6F54" w:rsidP="00DA7CC8">
            <w:pPr>
              <w:pStyle w:val="ListParagraph"/>
              <w:numPr>
                <w:ilvl w:val="1"/>
                <w:numId w:val="2"/>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 xml:space="preserve">Teisę toliau naudotis šiuo metu Perkančiosios organizacijos naudojama programine įranga </w:t>
            </w:r>
            <w:proofErr w:type="spellStart"/>
            <w:r w:rsidRPr="008858FA">
              <w:rPr>
                <w:rFonts w:ascii="Times New Roman" w:hAnsi="Times New Roman"/>
                <w:sz w:val="24"/>
                <w:szCs w:val="24"/>
              </w:rPr>
              <w:t>Trellix</w:t>
            </w:r>
            <w:proofErr w:type="spellEnd"/>
            <w:r w:rsidRPr="008858FA">
              <w:rPr>
                <w:rFonts w:ascii="Times New Roman" w:hAnsi="Times New Roman"/>
                <w:sz w:val="24"/>
                <w:szCs w:val="24"/>
              </w:rPr>
              <w:t xml:space="preserve"> Data </w:t>
            </w:r>
            <w:proofErr w:type="spellStart"/>
            <w:r w:rsidRPr="008858FA">
              <w:rPr>
                <w:rFonts w:ascii="Times New Roman" w:hAnsi="Times New Roman"/>
                <w:sz w:val="24"/>
                <w:szCs w:val="24"/>
              </w:rPr>
              <w:t>Loss</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Prevention</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Endpoint</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ProtectPLUS</w:t>
            </w:r>
            <w:proofErr w:type="spellEnd"/>
            <w:r w:rsidRPr="008858FA">
              <w:rPr>
                <w:rFonts w:ascii="Times New Roman" w:hAnsi="Times New Roman"/>
                <w:sz w:val="24"/>
                <w:szCs w:val="24"/>
              </w:rPr>
              <w:t xml:space="preserve"> ne mažiau kaip 1117 naudotojų;</w:t>
            </w:r>
          </w:p>
          <w:p w:rsidR="00AF6F54" w:rsidRDefault="00AF6F54" w:rsidP="00DA7CC8">
            <w:pPr>
              <w:pStyle w:val="ListParagraph"/>
              <w:numPr>
                <w:ilvl w:val="1"/>
                <w:numId w:val="2"/>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 xml:space="preserve">teisę gauti programinės įrangos naujas versijas, </w:t>
            </w:r>
            <w:proofErr w:type="spellStart"/>
            <w:r w:rsidRPr="008858FA">
              <w:rPr>
                <w:rFonts w:ascii="Times New Roman" w:hAnsi="Times New Roman"/>
                <w:sz w:val="24"/>
                <w:szCs w:val="24"/>
              </w:rPr>
              <w:t>atnaujinimus</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pataisymus</w:t>
            </w:r>
            <w:proofErr w:type="spellEnd"/>
            <w:r w:rsidRPr="008858FA">
              <w:rPr>
                <w:rFonts w:ascii="Times New Roman" w:hAnsi="Times New Roman"/>
                <w:sz w:val="24"/>
                <w:szCs w:val="24"/>
              </w:rPr>
              <w:t>;</w:t>
            </w:r>
          </w:p>
          <w:p w:rsidR="00AF6F54" w:rsidRPr="00385123" w:rsidRDefault="00AF6F54" w:rsidP="00DA7CC8">
            <w:pPr>
              <w:pStyle w:val="ListParagraph"/>
              <w:numPr>
                <w:ilvl w:val="1"/>
                <w:numId w:val="2"/>
              </w:numPr>
              <w:spacing w:after="0" w:line="240" w:lineRule="auto"/>
              <w:ind w:left="622" w:hanging="283"/>
              <w:jc w:val="both"/>
              <w:rPr>
                <w:rFonts w:ascii="Times New Roman" w:hAnsi="Times New Roman"/>
                <w:sz w:val="24"/>
                <w:szCs w:val="24"/>
              </w:rPr>
            </w:pPr>
            <w:r w:rsidRPr="00385123">
              <w:rPr>
                <w:rFonts w:ascii="Times New Roman" w:hAnsi="Times New Roman"/>
                <w:sz w:val="24"/>
                <w:szCs w:val="24"/>
              </w:rPr>
              <w:t>teisę registruoti pastebėtas programinės įrangos klaidas, gedimus ir apie tai pranešti el. paštu arba kreipinį registruoti gamintojo palaikymo interneto svetainėje;</w:t>
            </w:r>
          </w:p>
        </w:tc>
      </w:tr>
      <w:tr w:rsidR="00AF6F54" w:rsidRPr="004C209E" w:rsidTr="00DA7CC8">
        <w:tc>
          <w:tcPr>
            <w:tcW w:w="368" w:type="pct"/>
          </w:tcPr>
          <w:p w:rsidR="00AF6F54" w:rsidRPr="00385123" w:rsidRDefault="00AF6F54" w:rsidP="00DA7CC8">
            <w:pPr>
              <w:pStyle w:val="ListParagraph"/>
              <w:numPr>
                <w:ilvl w:val="1"/>
                <w:numId w:val="1"/>
              </w:numPr>
              <w:spacing w:after="0" w:line="240" w:lineRule="auto"/>
              <w:ind w:hanging="792"/>
              <w:jc w:val="both"/>
              <w:rPr>
                <w:rFonts w:ascii="Times New Roman" w:hAnsi="Times New Roman"/>
                <w:bCs/>
                <w:sz w:val="24"/>
                <w:szCs w:val="24"/>
              </w:rPr>
            </w:pPr>
          </w:p>
        </w:tc>
        <w:tc>
          <w:tcPr>
            <w:tcW w:w="1680" w:type="pct"/>
          </w:tcPr>
          <w:p w:rsidR="00AF6F54" w:rsidRPr="008858FA" w:rsidRDefault="00AF6F54" w:rsidP="00DA7CC8">
            <w:pPr>
              <w:spacing w:line="240" w:lineRule="auto"/>
              <w:ind w:left="-109"/>
              <w:rPr>
                <w:rFonts w:ascii="Times New Roman" w:hAnsi="Times New Roman"/>
                <w:sz w:val="24"/>
                <w:szCs w:val="24"/>
              </w:rPr>
            </w:pPr>
            <w:r w:rsidRPr="008858FA">
              <w:rPr>
                <w:rFonts w:ascii="Times New Roman" w:hAnsi="Times New Roman"/>
                <w:sz w:val="24"/>
                <w:szCs w:val="24"/>
              </w:rPr>
              <w:t>Sistemos architektūra</w:t>
            </w:r>
          </w:p>
        </w:tc>
        <w:tc>
          <w:tcPr>
            <w:tcW w:w="2952" w:type="pct"/>
          </w:tcPr>
          <w:p w:rsidR="00AF6F54" w:rsidRPr="008858FA" w:rsidRDefault="00AF6F54" w:rsidP="00DA7CC8">
            <w:pPr>
              <w:spacing w:after="0" w:line="240" w:lineRule="auto"/>
              <w:ind w:hanging="30"/>
              <w:jc w:val="both"/>
              <w:rPr>
                <w:rFonts w:ascii="Times New Roman" w:hAnsi="Times New Roman"/>
                <w:sz w:val="24"/>
                <w:szCs w:val="24"/>
              </w:rPr>
            </w:pPr>
            <w:r w:rsidRPr="008858FA">
              <w:rPr>
                <w:rFonts w:ascii="Times New Roman" w:hAnsi="Times New Roman"/>
                <w:sz w:val="24"/>
                <w:szCs w:val="24"/>
              </w:rPr>
              <w:t xml:space="preserve">Sistema turi turėti šiuos modulius: </w:t>
            </w:r>
          </w:p>
          <w:p w:rsidR="00AF6F54" w:rsidRPr="008858FA" w:rsidRDefault="00AF6F54" w:rsidP="00DA7CC8">
            <w:pPr>
              <w:pStyle w:val="ListParagraph"/>
              <w:numPr>
                <w:ilvl w:val="1"/>
                <w:numId w:val="4"/>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centrinio valdymo modulį;</w:t>
            </w:r>
          </w:p>
          <w:p w:rsidR="00AF6F54" w:rsidRDefault="00AF6F54" w:rsidP="00DA7CC8">
            <w:pPr>
              <w:pStyle w:val="ListParagraph"/>
              <w:numPr>
                <w:ilvl w:val="1"/>
                <w:numId w:val="4"/>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duomenų nutekėjimo prevencijos kompiuterinėse darbo vietose modulį;</w:t>
            </w:r>
          </w:p>
          <w:p w:rsidR="00AF6F54" w:rsidRPr="00385123" w:rsidRDefault="00AF6F54" w:rsidP="00DA7CC8">
            <w:pPr>
              <w:pStyle w:val="ListParagraph"/>
              <w:numPr>
                <w:ilvl w:val="1"/>
                <w:numId w:val="4"/>
              </w:numPr>
              <w:spacing w:after="0" w:line="240" w:lineRule="auto"/>
              <w:ind w:left="622" w:hanging="283"/>
              <w:jc w:val="both"/>
              <w:rPr>
                <w:rFonts w:ascii="Times New Roman" w:hAnsi="Times New Roman"/>
                <w:sz w:val="24"/>
                <w:szCs w:val="24"/>
              </w:rPr>
            </w:pPr>
            <w:r w:rsidRPr="00385123">
              <w:rPr>
                <w:rFonts w:ascii="Times New Roman" w:hAnsi="Times New Roman"/>
                <w:sz w:val="24"/>
                <w:szCs w:val="24"/>
              </w:rPr>
              <w:t>kompiuterinių darbo vi</w:t>
            </w:r>
            <w:r>
              <w:rPr>
                <w:rFonts w:ascii="Times New Roman" w:hAnsi="Times New Roman"/>
                <w:sz w:val="24"/>
                <w:szCs w:val="24"/>
              </w:rPr>
              <w:t>etų apsaugos nuo grėsmių modulį.</w:t>
            </w:r>
          </w:p>
        </w:tc>
      </w:tr>
      <w:tr w:rsidR="00AF6F54" w:rsidRPr="004C209E" w:rsidTr="00DA7CC8">
        <w:tc>
          <w:tcPr>
            <w:tcW w:w="368" w:type="pct"/>
          </w:tcPr>
          <w:p w:rsidR="00AF6F54" w:rsidRPr="00385123" w:rsidRDefault="00AF6F54" w:rsidP="00DA7CC8">
            <w:pPr>
              <w:pStyle w:val="ListParagraph"/>
              <w:numPr>
                <w:ilvl w:val="1"/>
                <w:numId w:val="1"/>
              </w:numPr>
              <w:spacing w:before="240" w:after="0" w:line="240" w:lineRule="auto"/>
              <w:ind w:hanging="792"/>
              <w:jc w:val="both"/>
              <w:rPr>
                <w:rFonts w:ascii="Times New Roman" w:hAnsi="Times New Roman"/>
                <w:bCs/>
                <w:sz w:val="24"/>
                <w:szCs w:val="24"/>
              </w:rPr>
            </w:pPr>
          </w:p>
        </w:tc>
        <w:tc>
          <w:tcPr>
            <w:tcW w:w="1680" w:type="pct"/>
          </w:tcPr>
          <w:p w:rsidR="00AF6F54" w:rsidRPr="008858FA" w:rsidRDefault="00AF6F54" w:rsidP="00DA7CC8">
            <w:pPr>
              <w:spacing w:after="0" w:line="240" w:lineRule="auto"/>
              <w:ind w:left="-109"/>
              <w:rPr>
                <w:rFonts w:ascii="Times New Roman" w:hAnsi="Times New Roman"/>
                <w:sz w:val="24"/>
                <w:szCs w:val="24"/>
              </w:rPr>
            </w:pPr>
            <w:r w:rsidRPr="008858FA">
              <w:rPr>
                <w:rFonts w:ascii="Times New Roman" w:hAnsi="Times New Roman"/>
                <w:sz w:val="24"/>
                <w:szCs w:val="24"/>
              </w:rPr>
              <w:t xml:space="preserve">Kompiuterinių darbo vietų duomenų prevencijos </w:t>
            </w:r>
            <w:r w:rsidRPr="008858FA">
              <w:rPr>
                <w:rFonts w:ascii="Times New Roman" w:hAnsi="Times New Roman"/>
                <w:sz w:val="24"/>
                <w:szCs w:val="24"/>
              </w:rPr>
              <w:lastRenderedPageBreak/>
              <w:t>kompiuterinėse darbo vietose sisteminio agento palaikomos OS versijos</w:t>
            </w:r>
          </w:p>
        </w:tc>
        <w:tc>
          <w:tcPr>
            <w:tcW w:w="2952" w:type="pct"/>
          </w:tcPr>
          <w:p w:rsidR="00AF6F54" w:rsidRPr="008858FA" w:rsidRDefault="00AF6F54" w:rsidP="00DA7CC8">
            <w:pPr>
              <w:spacing w:after="0" w:line="240" w:lineRule="auto"/>
              <w:ind w:hanging="30"/>
              <w:jc w:val="both"/>
              <w:rPr>
                <w:rFonts w:ascii="Times New Roman" w:hAnsi="Times New Roman"/>
                <w:sz w:val="24"/>
                <w:szCs w:val="24"/>
              </w:rPr>
            </w:pPr>
            <w:r w:rsidRPr="008858FA">
              <w:rPr>
                <w:rFonts w:ascii="Times New Roman" w:hAnsi="Times New Roman"/>
                <w:sz w:val="24"/>
                <w:szCs w:val="24"/>
              </w:rPr>
              <w:lastRenderedPageBreak/>
              <w:t>Agentas turi pilnai palaikyti šias operacines sistemas:</w:t>
            </w:r>
          </w:p>
          <w:p w:rsidR="00AF6F54" w:rsidRDefault="00AF6F54" w:rsidP="00DA7CC8">
            <w:pPr>
              <w:pStyle w:val="ListParagraph"/>
              <w:numPr>
                <w:ilvl w:val="1"/>
                <w:numId w:val="5"/>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Windows 10 (32-bit ir  64-bit);</w:t>
            </w:r>
          </w:p>
          <w:p w:rsidR="00AF6F54" w:rsidRPr="00385123" w:rsidRDefault="00AF6F54" w:rsidP="00DA7CC8">
            <w:pPr>
              <w:pStyle w:val="ListParagraph"/>
              <w:numPr>
                <w:ilvl w:val="1"/>
                <w:numId w:val="5"/>
              </w:numPr>
              <w:spacing w:after="0" w:line="240" w:lineRule="auto"/>
              <w:ind w:left="622" w:hanging="283"/>
              <w:jc w:val="both"/>
              <w:rPr>
                <w:rFonts w:ascii="Times New Roman" w:hAnsi="Times New Roman"/>
                <w:sz w:val="24"/>
                <w:szCs w:val="24"/>
              </w:rPr>
            </w:pPr>
            <w:r>
              <w:rPr>
                <w:rFonts w:ascii="Times New Roman" w:hAnsi="Times New Roman"/>
                <w:sz w:val="24"/>
                <w:szCs w:val="24"/>
              </w:rPr>
              <w:lastRenderedPageBreak/>
              <w:t xml:space="preserve">Windows Server 2019 (ir naujesnes </w:t>
            </w:r>
            <w:proofErr w:type="spellStart"/>
            <w:r>
              <w:rPr>
                <w:rFonts w:ascii="Times New Roman" w:hAnsi="Times New Roman"/>
                <w:sz w:val="24"/>
                <w:szCs w:val="24"/>
              </w:rPr>
              <w:t>windows</w:t>
            </w:r>
            <w:proofErr w:type="spellEnd"/>
            <w:r>
              <w:rPr>
                <w:rFonts w:ascii="Times New Roman" w:hAnsi="Times New Roman"/>
                <w:sz w:val="24"/>
                <w:szCs w:val="24"/>
              </w:rPr>
              <w:t xml:space="preserve"> </w:t>
            </w:r>
            <w:proofErr w:type="spellStart"/>
            <w:r>
              <w:rPr>
                <w:rFonts w:ascii="Times New Roman" w:hAnsi="Times New Roman"/>
                <w:sz w:val="24"/>
                <w:szCs w:val="24"/>
              </w:rPr>
              <w:t>server</w:t>
            </w:r>
            <w:proofErr w:type="spellEnd"/>
            <w:r>
              <w:rPr>
                <w:rFonts w:ascii="Times New Roman" w:hAnsi="Times New Roman"/>
                <w:sz w:val="24"/>
                <w:szCs w:val="24"/>
              </w:rPr>
              <w:t xml:space="preserve"> versijas).</w:t>
            </w:r>
          </w:p>
        </w:tc>
      </w:tr>
      <w:tr w:rsidR="00AF6F54" w:rsidRPr="004C209E" w:rsidTr="00DA7CC8">
        <w:trPr>
          <w:trHeight w:val="1344"/>
        </w:trPr>
        <w:tc>
          <w:tcPr>
            <w:tcW w:w="368" w:type="pct"/>
          </w:tcPr>
          <w:p w:rsidR="00AF6F54" w:rsidRPr="00385123" w:rsidRDefault="00AF6F54" w:rsidP="00DA7CC8">
            <w:pPr>
              <w:pStyle w:val="ListParagraph"/>
              <w:numPr>
                <w:ilvl w:val="1"/>
                <w:numId w:val="1"/>
              </w:numPr>
              <w:spacing w:after="0" w:line="240" w:lineRule="auto"/>
              <w:ind w:hanging="792"/>
              <w:jc w:val="both"/>
              <w:rPr>
                <w:rFonts w:ascii="Times New Roman" w:hAnsi="Times New Roman"/>
                <w:bCs/>
                <w:sz w:val="24"/>
                <w:szCs w:val="24"/>
              </w:rPr>
            </w:pPr>
          </w:p>
        </w:tc>
        <w:tc>
          <w:tcPr>
            <w:tcW w:w="1680" w:type="pct"/>
          </w:tcPr>
          <w:p w:rsidR="00AF6F54" w:rsidRPr="008858FA" w:rsidRDefault="00AF6F54" w:rsidP="00DA7CC8">
            <w:pPr>
              <w:spacing w:after="0" w:line="240" w:lineRule="auto"/>
              <w:ind w:left="-109"/>
              <w:rPr>
                <w:rFonts w:ascii="Times New Roman" w:hAnsi="Times New Roman"/>
                <w:sz w:val="24"/>
                <w:szCs w:val="24"/>
              </w:rPr>
            </w:pPr>
            <w:r w:rsidRPr="008858FA">
              <w:rPr>
                <w:rFonts w:ascii="Times New Roman" w:hAnsi="Times New Roman"/>
                <w:sz w:val="24"/>
                <w:szCs w:val="24"/>
              </w:rPr>
              <w:t>Kompiuterinių darbo vietų  apsaugos nuo grėsmių kompiuterinėse darbo vietose sisteminio agento palaikomos OS versijos</w:t>
            </w:r>
          </w:p>
        </w:tc>
        <w:tc>
          <w:tcPr>
            <w:tcW w:w="2952" w:type="pct"/>
          </w:tcPr>
          <w:p w:rsidR="00AF6F54" w:rsidRPr="008858FA" w:rsidRDefault="00AF6F54" w:rsidP="00DA7CC8">
            <w:pPr>
              <w:spacing w:line="240" w:lineRule="auto"/>
              <w:ind w:hanging="30"/>
              <w:jc w:val="both"/>
              <w:rPr>
                <w:rFonts w:ascii="Times New Roman" w:hAnsi="Times New Roman"/>
                <w:sz w:val="24"/>
                <w:szCs w:val="24"/>
              </w:rPr>
            </w:pPr>
            <w:r w:rsidRPr="008858FA">
              <w:rPr>
                <w:rFonts w:ascii="Times New Roman" w:hAnsi="Times New Roman"/>
                <w:sz w:val="24"/>
                <w:szCs w:val="24"/>
              </w:rPr>
              <w:t>Agentas turi pilnai palaikyti šias operacines sistemas:</w:t>
            </w:r>
          </w:p>
          <w:p w:rsidR="00AF6F54" w:rsidRPr="008858FA" w:rsidRDefault="00AF6F54" w:rsidP="00DA7CC8">
            <w:pPr>
              <w:pStyle w:val="ListParagraph"/>
              <w:numPr>
                <w:ilvl w:val="1"/>
                <w:numId w:val="6"/>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Windows 10 (32-bit ir  64-bit);</w:t>
            </w:r>
          </w:p>
          <w:p w:rsidR="00AF6F54" w:rsidRPr="00D15E75" w:rsidRDefault="00AF6F54" w:rsidP="00DA7CC8">
            <w:pPr>
              <w:pStyle w:val="ListParagraph"/>
              <w:numPr>
                <w:ilvl w:val="1"/>
                <w:numId w:val="6"/>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Windows Server 2019</w:t>
            </w:r>
            <w:r>
              <w:rPr>
                <w:rFonts w:ascii="Times New Roman" w:hAnsi="Times New Roman"/>
                <w:sz w:val="24"/>
                <w:szCs w:val="24"/>
              </w:rPr>
              <w:t xml:space="preserve"> (ir naujesnes </w:t>
            </w:r>
            <w:proofErr w:type="spellStart"/>
            <w:r>
              <w:rPr>
                <w:rFonts w:ascii="Times New Roman" w:hAnsi="Times New Roman"/>
                <w:sz w:val="24"/>
                <w:szCs w:val="24"/>
              </w:rPr>
              <w:t>windows</w:t>
            </w:r>
            <w:proofErr w:type="spellEnd"/>
            <w:r>
              <w:rPr>
                <w:rFonts w:ascii="Times New Roman" w:hAnsi="Times New Roman"/>
                <w:sz w:val="24"/>
                <w:szCs w:val="24"/>
              </w:rPr>
              <w:t xml:space="preserve"> </w:t>
            </w:r>
            <w:proofErr w:type="spellStart"/>
            <w:r>
              <w:rPr>
                <w:rFonts w:ascii="Times New Roman" w:hAnsi="Times New Roman"/>
                <w:sz w:val="24"/>
                <w:szCs w:val="24"/>
              </w:rPr>
              <w:t>server</w:t>
            </w:r>
            <w:proofErr w:type="spellEnd"/>
            <w:r>
              <w:rPr>
                <w:rFonts w:ascii="Times New Roman" w:hAnsi="Times New Roman"/>
                <w:sz w:val="24"/>
                <w:szCs w:val="24"/>
              </w:rPr>
              <w:t xml:space="preserve"> versijas).</w:t>
            </w:r>
          </w:p>
        </w:tc>
      </w:tr>
      <w:tr w:rsidR="00AF6F54" w:rsidRPr="004C209E" w:rsidTr="00DA7CC8">
        <w:tc>
          <w:tcPr>
            <w:tcW w:w="368" w:type="pct"/>
          </w:tcPr>
          <w:p w:rsidR="00AF6F54" w:rsidRPr="00385123" w:rsidRDefault="00AF6F54" w:rsidP="00DA7CC8">
            <w:pPr>
              <w:pStyle w:val="ListParagraph"/>
              <w:numPr>
                <w:ilvl w:val="1"/>
                <w:numId w:val="1"/>
              </w:numPr>
              <w:spacing w:after="0" w:line="240" w:lineRule="auto"/>
              <w:ind w:hanging="792"/>
              <w:jc w:val="both"/>
              <w:rPr>
                <w:rFonts w:ascii="Times New Roman" w:hAnsi="Times New Roman"/>
                <w:bCs/>
                <w:sz w:val="24"/>
                <w:szCs w:val="24"/>
              </w:rPr>
            </w:pPr>
          </w:p>
        </w:tc>
        <w:tc>
          <w:tcPr>
            <w:tcW w:w="1680" w:type="pct"/>
          </w:tcPr>
          <w:p w:rsidR="00AF6F54" w:rsidRPr="008858FA" w:rsidRDefault="00AF6F54" w:rsidP="00DA7CC8">
            <w:pPr>
              <w:spacing w:after="0" w:line="240" w:lineRule="auto"/>
              <w:ind w:left="-109"/>
              <w:rPr>
                <w:rFonts w:ascii="Times New Roman" w:hAnsi="Times New Roman"/>
                <w:sz w:val="24"/>
                <w:szCs w:val="24"/>
              </w:rPr>
            </w:pPr>
            <w:r w:rsidRPr="008858FA">
              <w:rPr>
                <w:rFonts w:ascii="Times New Roman" w:hAnsi="Times New Roman"/>
                <w:sz w:val="24"/>
                <w:szCs w:val="24"/>
              </w:rPr>
              <w:t>Centralizuoto sistemos valdymo naudotojo sąsajos reikalavimai</w:t>
            </w:r>
          </w:p>
        </w:tc>
        <w:tc>
          <w:tcPr>
            <w:tcW w:w="2952" w:type="pct"/>
          </w:tcPr>
          <w:p w:rsidR="00AF6F54" w:rsidRPr="008858FA" w:rsidRDefault="00AF6F54" w:rsidP="00DA7CC8">
            <w:pPr>
              <w:spacing w:after="0" w:line="240" w:lineRule="auto"/>
              <w:jc w:val="both"/>
              <w:rPr>
                <w:rFonts w:ascii="Times New Roman" w:hAnsi="Times New Roman"/>
                <w:sz w:val="24"/>
                <w:szCs w:val="24"/>
              </w:rPr>
            </w:pPr>
            <w:r w:rsidRPr="008858FA">
              <w:rPr>
                <w:rFonts w:ascii="Times New Roman" w:hAnsi="Times New Roman"/>
                <w:sz w:val="24"/>
                <w:szCs w:val="24"/>
              </w:rPr>
              <w:t>Turi turėti grafinį įrankį, kuris turi leisti centralizuotai valdyti sistemos stebėjimą, atlikti rezultatų analizę, konfigūravimą.</w:t>
            </w:r>
          </w:p>
        </w:tc>
      </w:tr>
      <w:tr w:rsidR="00AF6F54" w:rsidRPr="004C209E" w:rsidTr="00DA7CC8">
        <w:tc>
          <w:tcPr>
            <w:tcW w:w="368" w:type="pct"/>
          </w:tcPr>
          <w:p w:rsidR="00AF6F54" w:rsidRPr="00385123" w:rsidRDefault="00AF6F54" w:rsidP="00DA7CC8">
            <w:pPr>
              <w:pStyle w:val="ListParagraph"/>
              <w:numPr>
                <w:ilvl w:val="1"/>
                <w:numId w:val="1"/>
              </w:numPr>
              <w:spacing w:after="0" w:line="240" w:lineRule="auto"/>
              <w:ind w:hanging="792"/>
              <w:jc w:val="both"/>
              <w:rPr>
                <w:rFonts w:ascii="Times New Roman" w:hAnsi="Times New Roman"/>
                <w:bCs/>
                <w:sz w:val="24"/>
                <w:szCs w:val="24"/>
              </w:rPr>
            </w:pPr>
          </w:p>
        </w:tc>
        <w:tc>
          <w:tcPr>
            <w:tcW w:w="1680" w:type="pct"/>
          </w:tcPr>
          <w:p w:rsidR="00AF6F54" w:rsidRPr="008858FA" w:rsidRDefault="00AF6F54" w:rsidP="00DA7CC8">
            <w:pPr>
              <w:spacing w:line="240" w:lineRule="auto"/>
              <w:ind w:left="-109"/>
              <w:rPr>
                <w:rFonts w:ascii="Times New Roman" w:hAnsi="Times New Roman"/>
                <w:sz w:val="24"/>
                <w:szCs w:val="24"/>
              </w:rPr>
            </w:pPr>
            <w:r w:rsidRPr="008858FA">
              <w:rPr>
                <w:rFonts w:ascii="Times New Roman" w:hAnsi="Times New Roman"/>
                <w:sz w:val="24"/>
                <w:szCs w:val="24"/>
              </w:rPr>
              <w:t>Kompiuterizuotose  darbo vietose tvarkomos konfidencialia laikytinos informacijos apsaugos reikalavimai</w:t>
            </w:r>
          </w:p>
        </w:tc>
        <w:tc>
          <w:tcPr>
            <w:tcW w:w="2952" w:type="pct"/>
          </w:tcPr>
          <w:p w:rsidR="00AF6F54" w:rsidRPr="008858FA" w:rsidRDefault="00AF6F54" w:rsidP="00DA7CC8">
            <w:pPr>
              <w:spacing w:after="0" w:line="240" w:lineRule="auto"/>
              <w:ind w:hanging="30"/>
              <w:jc w:val="both"/>
              <w:rPr>
                <w:rFonts w:ascii="Times New Roman" w:hAnsi="Times New Roman"/>
                <w:sz w:val="24"/>
                <w:szCs w:val="24"/>
              </w:rPr>
            </w:pPr>
            <w:r w:rsidRPr="008858FA">
              <w:rPr>
                <w:rFonts w:ascii="Times New Roman" w:hAnsi="Times New Roman"/>
                <w:sz w:val="24"/>
                <w:szCs w:val="24"/>
              </w:rPr>
              <w:t>Turi būti palaikomos šios funkcijos:</w:t>
            </w:r>
          </w:p>
          <w:p w:rsidR="00AF6F54" w:rsidRPr="008858FA" w:rsidRDefault="00AF6F54" w:rsidP="00DA7CC8">
            <w:pPr>
              <w:pStyle w:val="ListParagraph"/>
              <w:numPr>
                <w:ilvl w:val="1"/>
                <w:numId w:val="7"/>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turi nuolat stebėti ir prevenciškai apsaugoti konfidencialius duomenis nuo nutekinimo iš kompiuterizuotų darbo vietų;</w:t>
            </w:r>
          </w:p>
          <w:p w:rsidR="00AF6F54" w:rsidRPr="008858FA" w:rsidRDefault="00AF6F54" w:rsidP="00DA7CC8">
            <w:pPr>
              <w:pStyle w:val="ListParagraph"/>
              <w:numPr>
                <w:ilvl w:val="1"/>
                <w:numId w:val="7"/>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turi leisti kontroliuoti išorinius informacijos įvedimo/išvedimo įrenginius ir laikmenas: USB atmintines (įskaitant ir įrenginius su atminties talpa), CD/DVD įrenginius, spausdintuvus, prijungtus išmaniuosius telefonus;</w:t>
            </w:r>
          </w:p>
          <w:p w:rsidR="00AF6F54" w:rsidRPr="008858FA" w:rsidRDefault="00AF6F54" w:rsidP="00DA7CC8">
            <w:pPr>
              <w:pStyle w:val="ListParagraph"/>
              <w:numPr>
                <w:ilvl w:val="1"/>
                <w:numId w:val="7"/>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turi turėti galimybę pateikti įspėjamuosius pranešimus  kompiuterizuotų darbo vietų naudotojams, kai pažeidžiami  nustatyti informacijos saugos reikalavimai;</w:t>
            </w:r>
          </w:p>
          <w:p w:rsidR="00AF6F54" w:rsidRPr="008858FA" w:rsidRDefault="00AF6F54" w:rsidP="00DA7CC8">
            <w:pPr>
              <w:pStyle w:val="ListParagraph"/>
              <w:numPr>
                <w:ilvl w:val="1"/>
                <w:numId w:val="7"/>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turi turėti galimybę formuoti ataskaitas apie kontroliuojamų duomenų kopijavimą į išorinius informacijos įvedimo/išvedimo įrenginius;</w:t>
            </w:r>
          </w:p>
          <w:p w:rsidR="00AF6F54" w:rsidRPr="008858FA" w:rsidRDefault="00AF6F54" w:rsidP="00DA7CC8">
            <w:pPr>
              <w:pStyle w:val="ListParagraph"/>
              <w:numPr>
                <w:ilvl w:val="1"/>
                <w:numId w:val="7"/>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turi pateikti informaciją apie prijungiamų išorinių informacijos įvedimo/išvedimo įrenginių ir laikmenų naudojimo statistiką;</w:t>
            </w:r>
          </w:p>
          <w:p w:rsidR="00AF6F54" w:rsidRPr="008858FA" w:rsidRDefault="00AF6F54" w:rsidP="00DA7CC8">
            <w:pPr>
              <w:pStyle w:val="ListParagraph"/>
              <w:numPr>
                <w:ilvl w:val="1"/>
                <w:numId w:val="7"/>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turi leisti apsaugoti konfidencialią informaciją nuo dalinio kopijavimo į kitą bylą (</w:t>
            </w:r>
            <w:proofErr w:type="spellStart"/>
            <w:r w:rsidRPr="008858FA">
              <w:rPr>
                <w:rFonts w:ascii="Times New Roman" w:hAnsi="Times New Roman"/>
                <w:sz w:val="24"/>
                <w:szCs w:val="24"/>
              </w:rPr>
              <w:t>copy</w:t>
            </w:r>
            <w:proofErr w:type="spellEnd"/>
            <w:r w:rsidRPr="008858FA">
              <w:rPr>
                <w:rFonts w:ascii="Times New Roman" w:hAnsi="Times New Roman"/>
                <w:sz w:val="24"/>
                <w:szCs w:val="24"/>
              </w:rPr>
              <w:t>/</w:t>
            </w:r>
            <w:proofErr w:type="spellStart"/>
            <w:r w:rsidRPr="008858FA">
              <w:rPr>
                <w:rFonts w:ascii="Times New Roman" w:hAnsi="Times New Roman"/>
                <w:sz w:val="24"/>
                <w:szCs w:val="24"/>
              </w:rPr>
              <w:t>paste</w:t>
            </w:r>
            <w:proofErr w:type="spellEnd"/>
            <w:r w:rsidRPr="008858FA">
              <w:rPr>
                <w:rFonts w:ascii="Times New Roman" w:hAnsi="Times New Roman"/>
                <w:sz w:val="24"/>
                <w:szCs w:val="24"/>
              </w:rPr>
              <w:t xml:space="preserve"> operacijos);</w:t>
            </w:r>
          </w:p>
          <w:p w:rsidR="00AF6F54" w:rsidRPr="008858FA" w:rsidRDefault="00AF6F54" w:rsidP="00DA7CC8">
            <w:pPr>
              <w:pStyle w:val="ListParagraph"/>
              <w:numPr>
                <w:ilvl w:val="1"/>
                <w:numId w:val="7"/>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turi kontroliuoti duomenų perdavimą – leisti arba blokuoti;</w:t>
            </w:r>
          </w:p>
          <w:p w:rsidR="00AF6F54" w:rsidRPr="008858FA" w:rsidRDefault="00AF6F54" w:rsidP="00DA7CC8">
            <w:pPr>
              <w:pStyle w:val="ListParagraph"/>
              <w:numPr>
                <w:ilvl w:val="1"/>
                <w:numId w:val="7"/>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turi turėti galimybę informuoti naudotojus, saugos administratorius ar saugos įgaliotinį apie apsaugos taisyklių pažeidimą;</w:t>
            </w:r>
          </w:p>
          <w:p w:rsidR="00AF6F54" w:rsidRDefault="00AF6F54" w:rsidP="00DA7CC8">
            <w:pPr>
              <w:pStyle w:val="ListParagraph"/>
              <w:numPr>
                <w:ilvl w:val="1"/>
                <w:numId w:val="7"/>
              </w:numPr>
              <w:spacing w:after="0" w:line="240" w:lineRule="auto"/>
              <w:ind w:left="622" w:hanging="283"/>
              <w:jc w:val="both"/>
              <w:rPr>
                <w:rFonts w:ascii="Times New Roman" w:hAnsi="Times New Roman"/>
                <w:sz w:val="24"/>
                <w:szCs w:val="24"/>
              </w:rPr>
            </w:pPr>
            <w:r w:rsidRPr="008858FA">
              <w:rPr>
                <w:rFonts w:ascii="Times New Roman" w:hAnsi="Times New Roman"/>
                <w:sz w:val="24"/>
                <w:szCs w:val="24"/>
              </w:rPr>
              <w:t>turi kontroliu</w:t>
            </w:r>
            <w:r>
              <w:rPr>
                <w:rFonts w:ascii="Times New Roman" w:hAnsi="Times New Roman"/>
                <w:sz w:val="24"/>
                <w:szCs w:val="24"/>
              </w:rPr>
              <w:t>oti saugomų duomenų spausdinimą;</w:t>
            </w:r>
          </w:p>
          <w:p w:rsidR="00AF6F54" w:rsidRPr="00385123" w:rsidRDefault="00AF6F54" w:rsidP="00DA7CC8">
            <w:pPr>
              <w:pStyle w:val="ListParagraph"/>
              <w:numPr>
                <w:ilvl w:val="1"/>
                <w:numId w:val="7"/>
              </w:numPr>
              <w:spacing w:after="0" w:line="240" w:lineRule="auto"/>
              <w:ind w:left="622" w:hanging="283"/>
              <w:jc w:val="both"/>
              <w:rPr>
                <w:rFonts w:ascii="Times New Roman" w:hAnsi="Times New Roman"/>
                <w:sz w:val="24"/>
                <w:szCs w:val="24"/>
              </w:rPr>
            </w:pPr>
            <w:r w:rsidRPr="00385123">
              <w:rPr>
                <w:rFonts w:ascii="Times New Roman" w:hAnsi="Times New Roman"/>
                <w:sz w:val="24"/>
                <w:szCs w:val="24"/>
              </w:rPr>
              <w:t>turi turėti galimybę automatiškai apsaugoti konfidencialia laikytiną informaciją nuo persiuntimo elektroniniu paštu.</w:t>
            </w:r>
          </w:p>
        </w:tc>
      </w:tr>
      <w:tr w:rsidR="00AF6F54" w:rsidRPr="004C209E" w:rsidTr="00DA7CC8">
        <w:tc>
          <w:tcPr>
            <w:tcW w:w="368" w:type="pct"/>
          </w:tcPr>
          <w:p w:rsidR="00AF6F54" w:rsidRPr="00385123" w:rsidRDefault="00AF6F54" w:rsidP="00DA7CC8">
            <w:pPr>
              <w:pStyle w:val="ListParagraph"/>
              <w:numPr>
                <w:ilvl w:val="1"/>
                <w:numId w:val="1"/>
              </w:numPr>
              <w:spacing w:before="240" w:after="0" w:line="240" w:lineRule="auto"/>
              <w:ind w:hanging="792"/>
              <w:jc w:val="both"/>
              <w:rPr>
                <w:rFonts w:ascii="Times New Roman" w:hAnsi="Times New Roman"/>
                <w:bCs/>
                <w:sz w:val="24"/>
                <w:szCs w:val="24"/>
              </w:rPr>
            </w:pPr>
          </w:p>
        </w:tc>
        <w:tc>
          <w:tcPr>
            <w:tcW w:w="1680" w:type="pct"/>
          </w:tcPr>
          <w:p w:rsidR="00AF6F54" w:rsidRPr="008858FA" w:rsidRDefault="00AF6F54" w:rsidP="00DA7CC8">
            <w:pPr>
              <w:spacing w:after="0" w:line="240" w:lineRule="auto"/>
              <w:ind w:left="-109"/>
              <w:rPr>
                <w:rFonts w:ascii="Times New Roman" w:hAnsi="Times New Roman"/>
                <w:sz w:val="24"/>
                <w:szCs w:val="24"/>
              </w:rPr>
            </w:pPr>
            <w:r w:rsidRPr="008858FA">
              <w:rPr>
                <w:rFonts w:ascii="Times New Roman" w:hAnsi="Times New Roman"/>
                <w:sz w:val="24"/>
                <w:szCs w:val="24"/>
              </w:rPr>
              <w:t>Kompiuterinių darbo vietų  apsaugos nuo grėsmių kompiuterinėse darbo vietose bendri reikalavimai</w:t>
            </w:r>
          </w:p>
        </w:tc>
        <w:tc>
          <w:tcPr>
            <w:tcW w:w="2952" w:type="pct"/>
          </w:tcPr>
          <w:p w:rsidR="00AF6F54" w:rsidRPr="008858FA" w:rsidRDefault="00AF6F54" w:rsidP="00DA7CC8">
            <w:pPr>
              <w:spacing w:after="0" w:line="240" w:lineRule="auto"/>
              <w:ind w:hanging="30"/>
              <w:jc w:val="both"/>
              <w:rPr>
                <w:rFonts w:ascii="Times New Roman" w:hAnsi="Times New Roman"/>
                <w:sz w:val="24"/>
                <w:szCs w:val="24"/>
              </w:rPr>
            </w:pPr>
            <w:r w:rsidRPr="008858FA">
              <w:rPr>
                <w:rFonts w:ascii="Times New Roman" w:hAnsi="Times New Roman"/>
                <w:sz w:val="24"/>
                <w:szCs w:val="24"/>
              </w:rPr>
              <w:t>Turi turėti šias funkcijas:</w:t>
            </w:r>
          </w:p>
          <w:p w:rsidR="00AF6F54" w:rsidRPr="008858FA" w:rsidRDefault="00AF6F54" w:rsidP="00DA7CC8">
            <w:pPr>
              <w:pStyle w:val="ListParagraph"/>
              <w:numPr>
                <w:ilvl w:val="1"/>
                <w:numId w:val="8"/>
              </w:numPr>
              <w:spacing w:after="0" w:line="240" w:lineRule="auto"/>
              <w:ind w:left="622" w:hanging="362"/>
              <w:jc w:val="both"/>
              <w:rPr>
                <w:rFonts w:ascii="Times New Roman" w:hAnsi="Times New Roman"/>
                <w:sz w:val="24"/>
                <w:szCs w:val="24"/>
              </w:rPr>
            </w:pPr>
            <w:r w:rsidRPr="008858FA">
              <w:rPr>
                <w:rFonts w:ascii="Times New Roman" w:hAnsi="Times New Roman"/>
                <w:sz w:val="24"/>
                <w:szCs w:val="24"/>
              </w:rPr>
              <w:t xml:space="preserve">mašininio apsimokinimo (angl. </w:t>
            </w:r>
            <w:proofErr w:type="spellStart"/>
            <w:r w:rsidRPr="008858FA">
              <w:rPr>
                <w:rFonts w:ascii="Times New Roman" w:hAnsi="Times New Roman"/>
                <w:sz w:val="24"/>
                <w:szCs w:val="24"/>
              </w:rPr>
              <w:t>machine</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learning</w:t>
            </w:r>
            <w:proofErr w:type="spellEnd"/>
            <w:r w:rsidRPr="008858FA">
              <w:rPr>
                <w:rFonts w:ascii="Times New Roman" w:hAnsi="Times New Roman"/>
                <w:sz w:val="24"/>
                <w:szCs w:val="24"/>
              </w:rPr>
              <w:t xml:space="preserve">) elgesio klasifikavimą nulinės dienos (angl. </w:t>
            </w:r>
            <w:proofErr w:type="spellStart"/>
            <w:r w:rsidRPr="008858FA">
              <w:rPr>
                <w:rFonts w:ascii="Times New Roman" w:hAnsi="Times New Roman"/>
                <w:sz w:val="24"/>
                <w:szCs w:val="24"/>
              </w:rPr>
              <w:t>zero</w:t>
            </w:r>
            <w:proofErr w:type="spellEnd"/>
            <w:r w:rsidRPr="008858FA">
              <w:rPr>
                <w:rFonts w:ascii="Times New Roman" w:hAnsi="Times New Roman"/>
                <w:sz w:val="24"/>
                <w:szCs w:val="24"/>
              </w:rPr>
              <w:t xml:space="preserve"> </w:t>
            </w:r>
            <w:proofErr w:type="spellStart"/>
            <w:r w:rsidRPr="008858FA">
              <w:rPr>
                <w:rFonts w:ascii="Times New Roman" w:hAnsi="Times New Roman"/>
                <w:sz w:val="24"/>
                <w:szCs w:val="24"/>
              </w:rPr>
              <w:t>day</w:t>
            </w:r>
            <w:proofErr w:type="spellEnd"/>
            <w:r w:rsidRPr="008858FA">
              <w:rPr>
                <w:rFonts w:ascii="Times New Roman" w:hAnsi="Times New Roman"/>
                <w:sz w:val="24"/>
                <w:szCs w:val="24"/>
              </w:rPr>
              <w:t>) grėsmėms aptikti;</w:t>
            </w:r>
          </w:p>
          <w:p w:rsidR="00AF6F54" w:rsidRPr="008858FA" w:rsidRDefault="00AF6F54" w:rsidP="00DA7CC8">
            <w:pPr>
              <w:pStyle w:val="ListParagraph"/>
              <w:numPr>
                <w:ilvl w:val="1"/>
                <w:numId w:val="8"/>
              </w:numPr>
              <w:spacing w:after="0" w:line="240" w:lineRule="auto"/>
              <w:ind w:left="622" w:hanging="362"/>
              <w:jc w:val="both"/>
              <w:rPr>
                <w:rFonts w:ascii="Times New Roman" w:hAnsi="Times New Roman"/>
                <w:sz w:val="24"/>
                <w:szCs w:val="24"/>
              </w:rPr>
            </w:pPr>
            <w:r w:rsidRPr="008858FA">
              <w:rPr>
                <w:rFonts w:ascii="Times New Roman" w:hAnsi="Times New Roman"/>
                <w:sz w:val="24"/>
                <w:szCs w:val="24"/>
              </w:rPr>
              <w:t>kompiuterinių darbo vietų apsaugą nuo tikslinių atakų;</w:t>
            </w:r>
          </w:p>
          <w:p w:rsidR="00AF6F54" w:rsidRDefault="00AF6F54" w:rsidP="00DA7CC8">
            <w:pPr>
              <w:pStyle w:val="ListParagraph"/>
              <w:numPr>
                <w:ilvl w:val="1"/>
                <w:numId w:val="8"/>
              </w:numPr>
              <w:spacing w:after="0" w:line="240" w:lineRule="auto"/>
              <w:ind w:left="622" w:hanging="362"/>
              <w:jc w:val="both"/>
              <w:rPr>
                <w:rFonts w:ascii="Times New Roman" w:hAnsi="Times New Roman"/>
                <w:sz w:val="24"/>
                <w:szCs w:val="24"/>
              </w:rPr>
            </w:pPr>
            <w:r w:rsidRPr="008858FA">
              <w:rPr>
                <w:rFonts w:ascii="Times New Roman" w:hAnsi="Times New Roman"/>
                <w:sz w:val="24"/>
                <w:szCs w:val="24"/>
              </w:rPr>
              <w:t xml:space="preserve">apsaugoti nuo </w:t>
            </w:r>
            <w:proofErr w:type="spellStart"/>
            <w:r w:rsidRPr="008858FA">
              <w:rPr>
                <w:rFonts w:ascii="Times New Roman" w:hAnsi="Times New Roman"/>
                <w:sz w:val="24"/>
                <w:szCs w:val="24"/>
              </w:rPr>
              <w:t>script-based</w:t>
            </w:r>
            <w:proofErr w:type="spellEnd"/>
            <w:r w:rsidRPr="008858FA">
              <w:rPr>
                <w:rFonts w:ascii="Times New Roman" w:hAnsi="Times New Roman"/>
                <w:sz w:val="24"/>
                <w:szCs w:val="24"/>
              </w:rPr>
              <w:t xml:space="preserve"> atakų;</w:t>
            </w:r>
          </w:p>
          <w:p w:rsidR="00AF6F54" w:rsidRPr="00385123" w:rsidRDefault="00AF6F54" w:rsidP="00DA7CC8">
            <w:pPr>
              <w:pStyle w:val="ListParagraph"/>
              <w:numPr>
                <w:ilvl w:val="1"/>
                <w:numId w:val="8"/>
              </w:numPr>
              <w:spacing w:after="0" w:line="240" w:lineRule="auto"/>
              <w:ind w:left="622" w:hanging="362"/>
              <w:jc w:val="both"/>
              <w:rPr>
                <w:rFonts w:ascii="Times New Roman" w:hAnsi="Times New Roman"/>
                <w:sz w:val="24"/>
                <w:szCs w:val="24"/>
              </w:rPr>
            </w:pPr>
            <w:r w:rsidRPr="00385123">
              <w:rPr>
                <w:rFonts w:ascii="Times New Roman" w:hAnsi="Times New Roman"/>
                <w:sz w:val="24"/>
                <w:szCs w:val="24"/>
              </w:rPr>
              <w:lastRenderedPageBreak/>
              <w:t xml:space="preserve">apsaugoti kompiuterines darbo vietas nuo </w:t>
            </w:r>
            <w:proofErr w:type="spellStart"/>
            <w:r w:rsidRPr="00385123">
              <w:rPr>
                <w:rFonts w:ascii="Times New Roman" w:hAnsi="Times New Roman"/>
                <w:sz w:val="24"/>
                <w:szCs w:val="24"/>
              </w:rPr>
              <w:t>ransomware</w:t>
            </w:r>
            <w:proofErr w:type="spellEnd"/>
            <w:r w:rsidRPr="00385123">
              <w:rPr>
                <w:rFonts w:ascii="Times New Roman" w:hAnsi="Times New Roman"/>
                <w:sz w:val="24"/>
                <w:szCs w:val="24"/>
              </w:rPr>
              <w:t xml:space="preserve"> ir </w:t>
            </w:r>
            <w:proofErr w:type="spellStart"/>
            <w:r w:rsidRPr="00385123">
              <w:rPr>
                <w:rFonts w:ascii="Times New Roman" w:hAnsi="Times New Roman"/>
                <w:sz w:val="24"/>
                <w:szCs w:val="24"/>
              </w:rPr>
              <w:t>greyware</w:t>
            </w:r>
            <w:proofErr w:type="spellEnd"/>
            <w:r w:rsidRPr="00385123">
              <w:rPr>
                <w:rFonts w:ascii="Times New Roman" w:hAnsi="Times New Roman"/>
                <w:sz w:val="24"/>
                <w:szCs w:val="24"/>
              </w:rPr>
              <w:t>.</w:t>
            </w:r>
          </w:p>
        </w:tc>
      </w:tr>
      <w:tr w:rsidR="00AF6F54" w:rsidRPr="004C209E" w:rsidTr="00DA7CC8">
        <w:tc>
          <w:tcPr>
            <w:tcW w:w="368" w:type="pct"/>
          </w:tcPr>
          <w:p w:rsidR="00AF6F54" w:rsidRPr="00385123" w:rsidRDefault="00AF6F54" w:rsidP="00DA7CC8">
            <w:pPr>
              <w:pStyle w:val="ListParagraph"/>
              <w:numPr>
                <w:ilvl w:val="1"/>
                <w:numId w:val="1"/>
              </w:numPr>
              <w:spacing w:after="0" w:line="240" w:lineRule="auto"/>
              <w:ind w:hanging="792"/>
              <w:jc w:val="both"/>
              <w:rPr>
                <w:rFonts w:ascii="Times New Roman" w:hAnsi="Times New Roman"/>
                <w:bCs/>
                <w:sz w:val="24"/>
                <w:szCs w:val="24"/>
              </w:rPr>
            </w:pPr>
          </w:p>
        </w:tc>
        <w:tc>
          <w:tcPr>
            <w:tcW w:w="1680" w:type="pct"/>
          </w:tcPr>
          <w:p w:rsidR="00AF6F54" w:rsidRPr="008858FA" w:rsidRDefault="00AF6F54" w:rsidP="00DA7CC8">
            <w:pPr>
              <w:spacing w:line="240" w:lineRule="auto"/>
              <w:ind w:left="-109"/>
              <w:rPr>
                <w:rFonts w:ascii="Times New Roman" w:hAnsi="Times New Roman"/>
                <w:sz w:val="24"/>
                <w:szCs w:val="24"/>
              </w:rPr>
            </w:pPr>
            <w:r w:rsidRPr="008858FA">
              <w:rPr>
                <w:rFonts w:ascii="Times New Roman" w:hAnsi="Times New Roman"/>
                <w:sz w:val="24"/>
                <w:szCs w:val="24"/>
              </w:rPr>
              <w:t>Terminas</w:t>
            </w:r>
          </w:p>
        </w:tc>
        <w:tc>
          <w:tcPr>
            <w:tcW w:w="2952" w:type="pct"/>
          </w:tcPr>
          <w:p w:rsidR="00AF6F54" w:rsidRPr="008858FA" w:rsidRDefault="00AF6F54" w:rsidP="00DA7CC8">
            <w:pPr>
              <w:spacing w:after="0" w:line="240" w:lineRule="auto"/>
              <w:jc w:val="both"/>
              <w:rPr>
                <w:rFonts w:ascii="Times New Roman" w:hAnsi="Times New Roman"/>
                <w:sz w:val="24"/>
                <w:szCs w:val="24"/>
              </w:rPr>
            </w:pPr>
            <w:r w:rsidRPr="008858FA">
              <w:rPr>
                <w:rFonts w:ascii="Times New Roman" w:hAnsi="Times New Roman"/>
                <w:sz w:val="24"/>
                <w:szCs w:val="24"/>
              </w:rPr>
              <w:t xml:space="preserve">Paslaugos susideda iš licencijos pratęsimo (aktyvavimo) ir palaikymo </w:t>
            </w:r>
            <w:proofErr w:type="spellStart"/>
            <w:r>
              <w:rPr>
                <w:rFonts w:ascii="Times New Roman" w:hAnsi="Times New Roman"/>
                <w:sz w:val="24"/>
                <w:szCs w:val="24"/>
                <w:lang w:val="en-US"/>
              </w:rPr>
              <w:t>iki</w:t>
            </w:r>
            <w:proofErr w:type="spellEnd"/>
            <w:r>
              <w:rPr>
                <w:rFonts w:ascii="Times New Roman" w:hAnsi="Times New Roman"/>
                <w:sz w:val="24"/>
                <w:szCs w:val="24"/>
                <w:lang w:val="en-US"/>
              </w:rPr>
              <w:t xml:space="preserve"> 2026</w:t>
            </w:r>
            <w:r w:rsidRPr="008858FA">
              <w:rPr>
                <w:rFonts w:ascii="Times New Roman" w:hAnsi="Times New Roman"/>
                <w:sz w:val="24"/>
                <w:szCs w:val="24"/>
                <w:lang w:val="en-US"/>
              </w:rPr>
              <w:t>-09-23.</w:t>
            </w:r>
          </w:p>
        </w:tc>
      </w:tr>
    </w:tbl>
    <w:p w:rsidR="002B1E87" w:rsidRDefault="002B1E87"/>
    <w:sectPr w:rsidR="002B1E87" w:rsidSect="00AF6F54">
      <w:pgSz w:w="12240" w:h="15840"/>
      <w:pgMar w:top="810"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EEF"/>
    <w:multiLevelType w:val="hybridMultilevel"/>
    <w:tmpl w:val="1AD85314"/>
    <w:lvl w:ilvl="0" w:tplc="04270001">
      <w:start w:val="1"/>
      <w:numFmt w:val="bullet"/>
      <w:lvlText w:val=""/>
      <w:lvlJc w:val="left"/>
      <w:pPr>
        <w:ind w:left="690" w:hanging="360"/>
      </w:pPr>
      <w:rPr>
        <w:rFonts w:ascii="Symbol" w:hAnsi="Symbol" w:hint="default"/>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1" w15:restartNumberingAfterBreak="0">
    <w:nsid w:val="081B127F"/>
    <w:multiLevelType w:val="hybridMultilevel"/>
    <w:tmpl w:val="982AF85A"/>
    <w:lvl w:ilvl="0" w:tplc="04270001">
      <w:start w:val="1"/>
      <w:numFmt w:val="bullet"/>
      <w:lvlText w:val=""/>
      <w:lvlJc w:val="left"/>
      <w:pPr>
        <w:ind w:left="690" w:hanging="360"/>
      </w:pPr>
      <w:rPr>
        <w:rFonts w:ascii="Symbol" w:hAnsi="Symbol" w:hint="default"/>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2" w15:restartNumberingAfterBreak="0">
    <w:nsid w:val="13A311BB"/>
    <w:multiLevelType w:val="hybridMultilevel"/>
    <w:tmpl w:val="BFEEAAE8"/>
    <w:lvl w:ilvl="0" w:tplc="04270001">
      <w:start w:val="1"/>
      <w:numFmt w:val="bullet"/>
      <w:lvlText w:val=""/>
      <w:lvlJc w:val="left"/>
      <w:pPr>
        <w:ind w:left="690" w:hanging="360"/>
      </w:pPr>
      <w:rPr>
        <w:rFonts w:ascii="Symbol" w:hAnsi="Symbol" w:hint="default"/>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3" w15:restartNumberingAfterBreak="0">
    <w:nsid w:val="27760D8A"/>
    <w:multiLevelType w:val="hybridMultilevel"/>
    <w:tmpl w:val="0D0602E6"/>
    <w:lvl w:ilvl="0" w:tplc="04270001">
      <w:start w:val="1"/>
      <w:numFmt w:val="bullet"/>
      <w:lvlText w:val=""/>
      <w:lvlJc w:val="left"/>
      <w:pPr>
        <w:ind w:left="690" w:hanging="360"/>
      </w:pPr>
      <w:rPr>
        <w:rFonts w:ascii="Symbol" w:hAnsi="Symbol" w:hint="default"/>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4" w15:restartNumberingAfterBreak="0">
    <w:nsid w:val="2D7B70B2"/>
    <w:multiLevelType w:val="hybridMultilevel"/>
    <w:tmpl w:val="7E5067BC"/>
    <w:lvl w:ilvl="0" w:tplc="04270001">
      <w:start w:val="1"/>
      <w:numFmt w:val="bullet"/>
      <w:lvlText w:val=""/>
      <w:lvlJc w:val="left"/>
      <w:pPr>
        <w:ind w:left="690" w:hanging="360"/>
      </w:pPr>
      <w:rPr>
        <w:rFonts w:ascii="Symbol" w:hAnsi="Symbol" w:hint="default"/>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5" w15:restartNumberingAfterBreak="0">
    <w:nsid w:val="3D716796"/>
    <w:multiLevelType w:val="hybridMultilevel"/>
    <w:tmpl w:val="4F26DEB2"/>
    <w:lvl w:ilvl="0" w:tplc="04270001">
      <w:start w:val="1"/>
      <w:numFmt w:val="bullet"/>
      <w:lvlText w:val=""/>
      <w:lvlJc w:val="left"/>
      <w:pPr>
        <w:ind w:left="690" w:hanging="360"/>
      </w:pPr>
      <w:rPr>
        <w:rFonts w:ascii="Symbol" w:hAnsi="Symbol" w:hint="default"/>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6" w15:restartNumberingAfterBreak="0">
    <w:nsid w:val="49407028"/>
    <w:multiLevelType w:val="hybridMultilevel"/>
    <w:tmpl w:val="FA02D7C8"/>
    <w:lvl w:ilvl="0" w:tplc="C9323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C17907"/>
    <w:multiLevelType w:val="hybridMultilevel"/>
    <w:tmpl w:val="21EA7D76"/>
    <w:lvl w:ilvl="0" w:tplc="04270001">
      <w:start w:val="1"/>
      <w:numFmt w:val="bullet"/>
      <w:lvlText w:val=""/>
      <w:lvlJc w:val="left"/>
      <w:pPr>
        <w:ind w:left="690" w:hanging="360"/>
      </w:pPr>
      <w:rPr>
        <w:rFonts w:ascii="Symbol" w:hAnsi="Symbol" w:hint="default"/>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8" w15:restartNumberingAfterBreak="0">
    <w:nsid w:val="69716E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
  </w:num>
  <w:num w:numId="3">
    <w:abstractNumId w:val="3"/>
  </w:num>
  <w:num w:numId="4">
    <w:abstractNumId w:val="7"/>
  </w:num>
  <w:num w:numId="5">
    <w:abstractNumId w:val="1"/>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54"/>
    <w:rsid w:val="002B1E87"/>
    <w:rsid w:val="00892486"/>
    <w:rsid w:val="00AF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1D08"/>
  <w15:chartTrackingRefBased/>
  <w15:docId w15:val="{C1926CB7-991B-430D-8BF0-7A2C7082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F54"/>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AF6F5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AF6F54"/>
    <w:rPr>
      <w:lang w:val="lt-LT"/>
    </w:rPr>
  </w:style>
  <w:style w:type="table" w:styleId="TableGrid">
    <w:name w:val="Table Grid"/>
    <w:basedOn w:val="TableNormal"/>
    <w:uiPriority w:val="59"/>
    <w:rsid w:val="00AF6F54"/>
    <w:pPr>
      <w:spacing w:after="0" w:line="200" w:lineRule="atLeast"/>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F6F54"/>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1086</Words>
  <Characters>6193</Characters>
  <Application>Microsoft Office Word</Application>
  <DocSecurity>0</DocSecurity>
  <Lines>51</Lines>
  <Paragraphs>14</Paragraphs>
  <ScaleCrop>false</ScaleCrop>
  <Company>ITT prie KAM</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2</cp:revision>
  <dcterms:created xsi:type="dcterms:W3CDTF">2025-09-10T06:58:00Z</dcterms:created>
  <dcterms:modified xsi:type="dcterms:W3CDTF">2025-09-12T10:24:00Z</dcterms:modified>
</cp:coreProperties>
</file>